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Default Extension="jpeg" ContentType="image/jpeg"/>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10"/>
        </w:rPr>
      </w:pPr>
    </w:p>
    <w:p>
      <w:pPr>
        <w:pStyle w:val="BodyText"/>
        <w:ind w:left="101"/>
        <w:rPr>
          <w:rFonts w:ascii="Times New Roman"/>
          <w:sz w:val="20"/>
        </w:rPr>
      </w:pPr>
      <w:r>
        <w:rPr>
          <w:rFonts w:ascii="Times New Roman"/>
          <w:sz w:val="20"/>
        </w:rPr>
        <w:drawing>
          <wp:inline distT="0" distB="0" distL="0" distR="0">
            <wp:extent cx="1647974" cy="1466850"/>
            <wp:effectExtent l="0" t="0" r="0" b="0"/>
            <wp:docPr id="1" name="image1.png" descr=""/>
            <wp:cNvGraphicFramePr>
              <a:graphicFrameLocks noChangeAspect="1"/>
            </wp:cNvGraphicFramePr>
            <a:graphic>
              <a:graphicData uri="http://schemas.openxmlformats.org/drawingml/2006/picture">
                <pic:pic>
                  <pic:nvPicPr>
                    <pic:cNvPr id="2" name="image1.png"/>
                    <pic:cNvPicPr/>
                  </pic:nvPicPr>
                  <pic:blipFill>
                    <a:blip r:embed="rId6" cstate="print"/>
                    <a:stretch>
                      <a:fillRect/>
                    </a:stretch>
                  </pic:blipFill>
                  <pic:spPr>
                    <a:xfrm>
                      <a:off x="0" y="0"/>
                      <a:ext cx="1647974" cy="1466850"/>
                    </a:xfrm>
                    <a:prstGeom prst="rect">
                      <a:avLst/>
                    </a:prstGeom>
                  </pic:spPr>
                </pic:pic>
              </a:graphicData>
            </a:graphic>
          </wp:inline>
        </w:drawing>
      </w:r>
      <w:r>
        <w:rPr>
          <w:rFonts w:ascii="Times New Roman"/>
          <w:sz w:val="20"/>
        </w:rPr>
      </w:r>
    </w:p>
    <w:p>
      <w:pPr>
        <w:spacing w:before="37"/>
        <w:ind w:left="372" w:right="116" w:firstLine="0"/>
        <w:jc w:val="center"/>
        <w:rPr>
          <w:rFonts w:ascii="Cambria" w:hAnsi="Cambria"/>
          <w:sz w:val="36"/>
        </w:rPr>
      </w:pPr>
      <w:r>
        <w:rPr>
          <w:rFonts w:ascii="Cambria" w:hAnsi="Cambria"/>
          <w:sz w:val="36"/>
        </w:rPr>
        <w:t>UNIVERSIDAD AUTÓNOMA DEL ESTADO DE MÉXICO</w:t>
      </w:r>
    </w:p>
    <w:p>
      <w:pPr>
        <w:pStyle w:val="BodyText"/>
        <w:rPr>
          <w:rFonts w:ascii="Cambria"/>
          <w:sz w:val="36"/>
        </w:rPr>
      </w:pPr>
    </w:p>
    <w:p>
      <w:pPr>
        <w:pStyle w:val="BodyText"/>
        <w:spacing w:line="360" w:lineRule="auto" w:before="282"/>
        <w:ind w:left="2287" w:right="2029"/>
        <w:jc w:val="center"/>
        <w:rPr>
          <w:rFonts w:ascii="Cambria"/>
        </w:rPr>
      </w:pPr>
      <w:r>
        <w:rPr>
          <w:rFonts w:ascii="Cambria"/>
        </w:rPr>
        <w:t>DOCTORADO EN CIENCIAS AGROPECUARIAS Y RECURSOS NATURALES</w:t>
      </w:r>
    </w:p>
    <w:p>
      <w:pPr>
        <w:pStyle w:val="BodyText"/>
        <w:rPr>
          <w:rFonts w:ascii="Cambria"/>
        </w:rPr>
      </w:pPr>
    </w:p>
    <w:p>
      <w:pPr>
        <w:pStyle w:val="BodyText"/>
        <w:rPr>
          <w:rFonts w:ascii="Cambria"/>
        </w:rPr>
      </w:pPr>
    </w:p>
    <w:p>
      <w:pPr>
        <w:pStyle w:val="BodyText"/>
        <w:spacing w:before="11"/>
        <w:rPr>
          <w:rFonts w:ascii="Cambria"/>
          <w:sz w:val="35"/>
        </w:rPr>
      </w:pPr>
    </w:p>
    <w:p>
      <w:pPr>
        <w:spacing w:line="360" w:lineRule="auto" w:before="0"/>
        <w:ind w:left="373" w:right="116" w:firstLine="0"/>
        <w:jc w:val="center"/>
        <w:rPr>
          <w:rFonts w:ascii="Cambria" w:hAnsi="Cambria"/>
          <w:sz w:val="28"/>
        </w:rPr>
      </w:pPr>
      <w:r>
        <w:rPr>
          <w:rFonts w:ascii="Cambria" w:hAnsi="Cambria"/>
          <w:sz w:val="28"/>
        </w:rPr>
        <w:t>Impacto Ambiental derivado del uso del Metalaxil para Control del Tizón Tardío (</w:t>
      </w:r>
      <w:r>
        <w:rPr>
          <w:rFonts w:ascii="Cambria" w:hAnsi="Cambria"/>
          <w:i/>
          <w:sz w:val="28"/>
        </w:rPr>
        <w:t>Phytophthora infestans</w:t>
      </w:r>
      <w:r>
        <w:rPr>
          <w:rFonts w:ascii="Cambria" w:hAnsi="Cambria"/>
          <w:sz w:val="28"/>
        </w:rPr>
        <w:t>) en Cultivos Comerciales de Papa (</w:t>
      </w:r>
      <w:r>
        <w:rPr>
          <w:rFonts w:ascii="Cambria" w:hAnsi="Cambria"/>
          <w:i/>
          <w:sz w:val="28"/>
        </w:rPr>
        <w:t>Solanum tuberosum</w:t>
      </w:r>
      <w:r>
        <w:rPr>
          <w:rFonts w:ascii="Cambria" w:hAnsi="Cambria"/>
          <w:sz w:val="28"/>
        </w:rPr>
        <w:t>)</w:t>
      </w:r>
    </w:p>
    <w:p>
      <w:pPr>
        <w:pStyle w:val="BodyText"/>
        <w:rPr>
          <w:rFonts w:ascii="Cambria"/>
          <w:sz w:val="28"/>
        </w:rPr>
      </w:pPr>
    </w:p>
    <w:p>
      <w:pPr>
        <w:pStyle w:val="BodyText"/>
        <w:rPr>
          <w:rFonts w:ascii="Cambria"/>
          <w:sz w:val="28"/>
        </w:rPr>
      </w:pPr>
    </w:p>
    <w:p>
      <w:pPr>
        <w:spacing w:before="201"/>
        <w:ind w:left="371" w:right="116" w:firstLine="0"/>
        <w:jc w:val="center"/>
        <w:rPr>
          <w:rFonts w:ascii="Cambria"/>
          <w:sz w:val="43"/>
        </w:rPr>
      </w:pPr>
      <w:r>
        <w:rPr>
          <w:rFonts w:ascii="Cambria"/>
          <w:sz w:val="43"/>
        </w:rPr>
        <w:t>T E S I S</w:t>
      </w:r>
    </w:p>
    <w:p>
      <w:pPr>
        <w:pStyle w:val="BodyText"/>
        <w:rPr>
          <w:rFonts w:ascii="Cambria"/>
          <w:sz w:val="44"/>
        </w:rPr>
      </w:pPr>
    </w:p>
    <w:p>
      <w:pPr>
        <w:pStyle w:val="BodyText"/>
        <w:spacing w:before="1"/>
        <w:rPr>
          <w:rFonts w:ascii="Cambria"/>
          <w:sz w:val="38"/>
        </w:rPr>
      </w:pPr>
    </w:p>
    <w:p>
      <w:pPr>
        <w:pStyle w:val="BodyText"/>
        <w:spacing w:line="360" w:lineRule="auto"/>
        <w:ind w:left="1692" w:right="1433"/>
        <w:jc w:val="center"/>
        <w:rPr>
          <w:rFonts w:ascii="Cambria"/>
        </w:rPr>
      </w:pPr>
      <w:r>
        <w:rPr>
          <w:rFonts w:ascii="Cambria"/>
        </w:rPr>
        <w:t>QUE PARA OBTENER EL GRADO DE DOCTOR EN CIENCIAS AGROPECUARIAS  Y RECURSOS NATURALES</w:t>
      </w:r>
    </w:p>
    <w:p>
      <w:pPr>
        <w:pStyle w:val="BodyText"/>
        <w:spacing w:before="7"/>
        <w:rPr>
          <w:rFonts w:ascii="Cambria"/>
          <w:sz w:val="35"/>
        </w:rPr>
      </w:pPr>
    </w:p>
    <w:p>
      <w:pPr>
        <w:pStyle w:val="BodyText"/>
        <w:ind w:left="372" w:right="116"/>
        <w:jc w:val="center"/>
        <w:rPr>
          <w:rFonts w:ascii="Cambria"/>
        </w:rPr>
      </w:pPr>
      <w:r>
        <w:rPr>
          <w:rFonts w:ascii="Cambria"/>
        </w:rPr>
        <w:t>PRESENTA</w:t>
      </w:r>
    </w:p>
    <w:p>
      <w:pPr>
        <w:spacing w:before="141"/>
        <w:ind w:left="370" w:right="116" w:firstLine="0"/>
        <w:jc w:val="center"/>
        <w:rPr>
          <w:rFonts w:ascii="Cambria" w:hAnsi="Cambria"/>
          <w:sz w:val="28"/>
        </w:rPr>
      </w:pPr>
      <w:r>
        <w:rPr>
          <w:rFonts w:ascii="Cambria" w:hAnsi="Cambria"/>
          <w:sz w:val="28"/>
        </w:rPr>
        <w:t>CARLOS ALFONSO LÓPEZ ORONA</w:t>
      </w:r>
    </w:p>
    <w:p>
      <w:pPr>
        <w:spacing w:after="0"/>
        <w:jc w:val="center"/>
        <w:rPr>
          <w:rFonts w:ascii="Cambria" w:hAnsi="Cambria"/>
          <w:sz w:val="28"/>
        </w:rPr>
        <w:sectPr>
          <w:footerReference w:type="default" r:id="rId5"/>
          <w:type w:val="continuous"/>
          <w:pgSz w:w="12240" w:h="15840"/>
          <w:pgMar w:footer="1623" w:top="1500" w:bottom="1820" w:left="1420" w:right="1680"/>
        </w:sectPr>
      </w:pPr>
    </w:p>
    <w:p>
      <w:pPr>
        <w:pStyle w:val="BodyText"/>
        <w:spacing w:before="9"/>
        <w:rPr>
          <w:rFonts w:ascii="Cambria"/>
          <w:sz w:val="9"/>
        </w:rPr>
      </w:pPr>
    </w:p>
    <w:p>
      <w:pPr>
        <w:pStyle w:val="BodyText"/>
        <w:ind w:left="101"/>
        <w:rPr>
          <w:rFonts w:ascii="Cambria"/>
          <w:sz w:val="20"/>
        </w:rPr>
      </w:pPr>
      <w:r>
        <w:rPr>
          <w:rFonts w:ascii="Cambria"/>
          <w:sz w:val="20"/>
        </w:rPr>
        <w:drawing>
          <wp:inline distT="0" distB="0" distL="0" distR="0">
            <wp:extent cx="1506566" cy="1341120"/>
            <wp:effectExtent l="0" t="0" r="0" b="0"/>
            <wp:docPr id="3" name="image1.png" descr=""/>
            <wp:cNvGraphicFramePr>
              <a:graphicFrameLocks noChangeAspect="1"/>
            </wp:cNvGraphicFramePr>
            <a:graphic>
              <a:graphicData uri="http://schemas.openxmlformats.org/drawingml/2006/picture">
                <pic:pic>
                  <pic:nvPicPr>
                    <pic:cNvPr id="4" name="image1.png"/>
                    <pic:cNvPicPr/>
                  </pic:nvPicPr>
                  <pic:blipFill>
                    <a:blip r:embed="rId6" cstate="print"/>
                    <a:stretch>
                      <a:fillRect/>
                    </a:stretch>
                  </pic:blipFill>
                  <pic:spPr>
                    <a:xfrm>
                      <a:off x="0" y="0"/>
                      <a:ext cx="1506566" cy="1341120"/>
                    </a:xfrm>
                    <a:prstGeom prst="rect">
                      <a:avLst/>
                    </a:prstGeom>
                  </pic:spPr>
                </pic:pic>
              </a:graphicData>
            </a:graphic>
          </wp:inline>
        </w:drawing>
      </w:r>
      <w:r>
        <w:rPr>
          <w:rFonts w:ascii="Cambria"/>
          <w:sz w:val="20"/>
        </w:rPr>
      </w:r>
    </w:p>
    <w:p>
      <w:pPr>
        <w:pStyle w:val="BodyText"/>
        <w:spacing w:before="9"/>
        <w:rPr>
          <w:rFonts w:ascii="Cambria"/>
          <w:sz w:val="15"/>
        </w:rPr>
      </w:pPr>
    </w:p>
    <w:p>
      <w:pPr>
        <w:spacing w:before="50"/>
        <w:ind w:left="407" w:right="331" w:firstLine="0"/>
        <w:jc w:val="center"/>
        <w:rPr>
          <w:rFonts w:ascii="Cambria" w:hAnsi="Cambria"/>
          <w:sz w:val="36"/>
        </w:rPr>
      </w:pPr>
      <w:r>
        <w:rPr>
          <w:rFonts w:ascii="Cambria" w:hAnsi="Cambria"/>
          <w:sz w:val="36"/>
        </w:rPr>
        <w:t>UNIVERSIDAD AUTÓNOMA DEL ESTADO DE MÉXICO</w:t>
      </w:r>
    </w:p>
    <w:p>
      <w:pPr>
        <w:pStyle w:val="BodyText"/>
        <w:rPr>
          <w:rFonts w:ascii="Cambria"/>
          <w:sz w:val="36"/>
        </w:rPr>
      </w:pPr>
    </w:p>
    <w:p>
      <w:pPr>
        <w:pStyle w:val="BodyText"/>
        <w:spacing w:line="360" w:lineRule="auto" w:before="282"/>
        <w:ind w:left="2107" w:right="2029"/>
        <w:jc w:val="center"/>
        <w:rPr>
          <w:rFonts w:ascii="Cambria"/>
        </w:rPr>
      </w:pPr>
      <w:r>
        <w:rPr>
          <w:rFonts w:ascii="Cambria"/>
        </w:rPr>
        <w:t>DOCTORADO EN CIENCIAS AGROPECUARIAS Y RECURSOS NATURALES</w:t>
      </w:r>
    </w:p>
    <w:p>
      <w:pPr>
        <w:pStyle w:val="BodyText"/>
        <w:rPr>
          <w:rFonts w:ascii="Cambria"/>
        </w:rPr>
      </w:pPr>
    </w:p>
    <w:p>
      <w:pPr>
        <w:pStyle w:val="BodyText"/>
        <w:rPr>
          <w:rFonts w:ascii="Cambria"/>
        </w:rPr>
      </w:pPr>
    </w:p>
    <w:p>
      <w:pPr>
        <w:spacing w:line="357" w:lineRule="auto" w:before="143"/>
        <w:ind w:left="946" w:right="98" w:hanging="754"/>
        <w:jc w:val="left"/>
        <w:rPr>
          <w:rFonts w:ascii="Cambria" w:hAnsi="Cambria"/>
          <w:sz w:val="28"/>
        </w:rPr>
      </w:pPr>
      <w:r>
        <w:rPr>
          <w:rFonts w:ascii="Cambria" w:hAnsi="Cambria"/>
          <w:sz w:val="28"/>
        </w:rPr>
        <w:t>Impacto Ambiental derivado del uso del Metalaxil para Control del Tizón Tardío (</w:t>
      </w:r>
      <w:r>
        <w:rPr>
          <w:rFonts w:ascii="Cambria" w:hAnsi="Cambria"/>
          <w:i/>
          <w:sz w:val="28"/>
        </w:rPr>
        <w:t>Phytophthora infestans</w:t>
      </w:r>
      <w:r>
        <w:rPr>
          <w:rFonts w:ascii="Cambria" w:hAnsi="Cambria"/>
          <w:sz w:val="28"/>
        </w:rPr>
        <w:t>) en Cultivos Comerciales de Papa</w:t>
      </w:r>
    </w:p>
    <w:p>
      <w:pPr>
        <w:spacing w:before="5"/>
        <w:ind w:left="3524" w:right="98" w:firstLine="0"/>
        <w:jc w:val="left"/>
        <w:rPr>
          <w:rFonts w:ascii="Cambria"/>
          <w:sz w:val="28"/>
        </w:rPr>
      </w:pPr>
      <w:r>
        <w:rPr>
          <w:rFonts w:ascii="Cambria"/>
          <w:sz w:val="28"/>
        </w:rPr>
        <w:t>(</w:t>
      </w:r>
      <w:r>
        <w:rPr>
          <w:rFonts w:ascii="Cambria"/>
          <w:i/>
          <w:sz w:val="28"/>
        </w:rPr>
        <w:t>Solanum tuberosum</w:t>
      </w:r>
      <w:r>
        <w:rPr>
          <w:rFonts w:ascii="Cambria"/>
          <w:sz w:val="28"/>
        </w:rPr>
        <w:t>)</w:t>
      </w:r>
    </w:p>
    <w:p>
      <w:pPr>
        <w:pStyle w:val="BodyText"/>
        <w:rPr>
          <w:rFonts w:ascii="Cambria"/>
          <w:sz w:val="28"/>
        </w:rPr>
      </w:pPr>
    </w:p>
    <w:p>
      <w:pPr>
        <w:pStyle w:val="BodyText"/>
        <w:spacing w:before="8"/>
        <w:rPr>
          <w:rFonts w:ascii="Cambria"/>
          <w:sz w:val="22"/>
        </w:rPr>
      </w:pPr>
    </w:p>
    <w:p>
      <w:pPr>
        <w:spacing w:before="0"/>
        <w:ind w:left="406" w:right="331" w:firstLine="0"/>
        <w:jc w:val="center"/>
        <w:rPr>
          <w:rFonts w:ascii="Cambria"/>
          <w:sz w:val="43"/>
        </w:rPr>
      </w:pPr>
      <w:r>
        <w:rPr>
          <w:rFonts w:ascii="Cambria"/>
          <w:sz w:val="43"/>
        </w:rPr>
        <w:t>T E S I S</w:t>
      </w:r>
    </w:p>
    <w:p>
      <w:pPr>
        <w:pStyle w:val="BodyText"/>
        <w:spacing w:line="355" w:lineRule="auto" w:before="262"/>
        <w:ind w:left="1512" w:right="1433"/>
        <w:jc w:val="center"/>
        <w:rPr>
          <w:rFonts w:ascii="Cambria"/>
        </w:rPr>
      </w:pPr>
      <w:r>
        <w:rPr>
          <w:rFonts w:ascii="Cambria"/>
        </w:rPr>
        <w:t>QUE PARA OBTENER EL GRADO DE DOCTOR EN CIENCIAS AGROPECUARIAS  Y RECURSOS NATURALES</w:t>
      </w:r>
    </w:p>
    <w:p>
      <w:pPr>
        <w:pStyle w:val="BodyText"/>
        <w:rPr>
          <w:rFonts w:ascii="Cambria"/>
        </w:rPr>
      </w:pPr>
    </w:p>
    <w:p>
      <w:pPr>
        <w:pStyle w:val="BodyText"/>
        <w:spacing w:before="147"/>
        <w:ind w:left="407" w:right="331"/>
        <w:jc w:val="center"/>
        <w:rPr>
          <w:rFonts w:ascii="Cambria"/>
        </w:rPr>
      </w:pPr>
      <w:r>
        <w:rPr>
          <w:rFonts w:ascii="Cambria"/>
        </w:rPr>
        <w:t>PRESENTA</w:t>
      </w:r>
    </w:p>
    <w:p>
      <w:pPr>
        <w:spacing w:before="141"/>
        <w:ind w:left="405" w:right="331" w:firstLine="0"/>
        <w:jc w:val="center"/>
        <w:rPr>
          <w:rFonts w:ascii="Cambria" w:hAnsi="Cambria"/>
          <w:sz w:val="28"/>
        </w:rPr>
      </w:pPr>
      <w:r>
        <w:rPr>
          <w:rFonts w:ascii="Cambria" w:hAnsi="Cambria"/>
          <w:sz w:val="28"/>
        </w:rPr>
        <w:t>CARLOS ALFONSO LÓPEZ ORONA</w:t>
      </w:r>
    </w:p>
    <w:p>
      <w:pPr>
        <w:pStyle w:val="BodyText"/>
        <w:rPr>
          <w:rFonts w:ascii="Cambria"/>
          <w:sz w:val="28"/>
        </w:rPr>
      </w:pPr>
    </w:p>
    <w:p>
      <w:pPr>
        <w:pStyle w:val="BodyText"/>
        <w:spacing w:before="236"/>
        <w:ind w:left="407" w:right="331"/>
        <w:jc w:val="center"/>
        <w:rPr>
          <w:rFonts w:ascii="Cambria" w:hAnsi="Cambria"/>
        </w:rPr>
      </w:pPr>
      <w:r>
        <w:rPr>
          <w:rFonts w:ascii="Cambria" w:hAnsi="Cambria"/>
        </w:rPr>
        <w:t>COMITÉ DE TUTORES</w:t>
      </w:r>
    </w:p>
    <w:p>
      <w:pPr>
        <w:pStyle w:val="BodyText"/>
        <w:spacing w:before="2"/>
        <w:ind w:left="2595" w:right="2515" w:hanging="2"/>
        <w:jc w:val="center"/>
        <w:rPr>
          <w:rFonts w:ascii="Cambria" w:hAnsi="Cambria"/>
        </w:rPr>
      </w:pPr>
      <w:r>
        <w:rPr>
          <w:rFonts w:ascii="Cambria" w:hAnsi="Cambria"/>
        </w:rPr>
        <w:t>Dr. Angel Roberto Martínez Campos Dra. Claudia Giovanna Peñuelas Rivas Dra. Tizbe Teresa Arteaga Reyes</w:t>
      </w:r>
    </w:p>
    <w:p>
      <w:pPr>
        <w:spacing w:after="0"/>
        <w:jc w:val="center"/>
        <w:rPr>
          <w:rFonts w:ascii="Cambria" w:hAnsi="Cambria"/>
        </w:rPr>
        <w:sectPr>
          <w:footerReference w:type="default" r:id="rId7"/>
          <w:pgSz w:w="12240" w:h="15840"/>
          <w:pgMar w:footer="1906" w:header="0" w:top="1500" w:bottom="2100" w:left="1600" w:right="1680"/>
        </w:sect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spacing w:before="191"/>
        <w:ind w:left="0" w:right="105" w:firstLine="0"/>
        <w:jc w:val="right"/>
        <w:rPr>
          <w:rFonts w:ascii="Times New Roman"/>
          <w:b/>
          <w:i/>
          <w:sz w:val="28"/>
        </w:rPr>
      </w:pPr>
      <w:r>
        <w:rPr>
          <w:rFonts w:ascii="Times New Roman"/>
          <w:b/>
          <w:i/>
          <w:spacing w:val="24"/>
          <w:w w:val="103"/>
          <w:sz w:val="28"/>
        </w:rPr>
        <w:t>Ap</w:t>
      </w:r>
      <w:r>
        <w:rPr>
          <w:rFonts w:ascii="Times New Roman"/>
          <w:b/>
          <w:i/>
          <w:spacing w:val="23"/>
          <w:w w:val="106"/>
          <w:sz w:val="28"/>
        </w:rPr>
        <w:t>r</w:t>
      </w:r>
      <w:r>
        <w:rPr>
          <w:rFonts w:ascii="Times New Roman"/>
          <w:b/>
          <w:i/>
          <w:spacing w:val="23"/>
          <w:w w:val="83"/>
          <w:sz w:val="28"/>
        </w:rPr>
        <w:t>e</w:t>
      </w:r>
      <w:r>
        <w:rPr>
          <w:rFonts w:ascii="Times New Roman"/>
          <w:b/>
          <w:i/>
          <w:spacing w:val="24"/>
          <w:w w:val="100"/>
          <w:sz w:val="28"/>
        </w:rPr>
        <w:t>n</w:t>
      </w:r>
      <w:r>
        <w:rPr>
          <w:rFonts w:ascii="Times New Roman"/>
          <w:b/>
          <w:i/>
          <w:spacing w:val="24"/>
          <w:w w:val="102"/>
          <w:sz w:val="28"/>
        </w:rPr>
        <w:t>d</w:t>
      </w:r>
      <w:r>
        <w:rPr>
          <w:rFonts w:ascii="Times New Roman"/>
          <w:b/>
          <w:i/>
          <w:spacing w:val="23"/>
          <w:w w:val="83"/>
          <w:sz w:val="28"/>
        </w:rPr>
        <w:t>e</w:t>
      </w:r>
      <w:r>
        <w:rPr>
          <w:rFonts w:ascii="Times New Roman"/>
          <w:b/>
          <w:i/>
          <w:w w:val="106"/>
          <w:sz w:val="28"/>
        </w:rPr>
        <w:t>r</w:t>
      </w:r>
      <w:r>
        <w:rPr>
          <w:rFonts w:ascii="Times New Roman"/>
          <w:b/>
          <w:i/>
          <w:sz w:val="28"/>
        </w:rPr>
        <w:t> </w:t>
      </w:r>
      <w:r>
        <w:rPr>
          <w:rFonts w:ascii="Times New Roman"/>
          <w:b/>
          <w:i/>
          <w:spacing w:val="-15"/>
          <w:sz w:val="28"/>
        </w:rPr>
        <w:t> </w:t>
      </w:r>
      <w:r>
        <w:rPr>
          <w:rFonts w:ascii="Times New Roman"/>
          <w:b/>
          <w:i/>
          <w:spacing w:val="23"/>
          <w:w w:val="83"/>
          <w:sz w:val="28"/>
        </w:rPr>
        <w:t>e</w:t>
      </w:r>
      <w:r>
        <w:rPr>
          <w:rFonts w:ascii="Times New Roman"/>
          <w:b/>
          <w:i/>
          <w:w w:val="90"/>
          <w:sz w:val="28"/>
        </w:rPr>
        <w:t>s</w:t>
      </w:r>
      <w:r>
        <w:rPr>
          <w:rFonts w:ascii="Times New Roman"/>
          <w:b/>
          <w:i/>
          <w:sz w:val="28"/>
        </w:rPr>
        <w:t> </w:t>
      </w:r>
      <w:r>
        <w:rPr>
          <w:rFonts w:ascii="Times New Roman"/>
          <w:b/>
          <w:i/>
          <w:spacing w:val="-15"/>
          <w:sz w:val="28"/>
        </w:rPr>
        <w:t> </w:t>
      </w:r>
      <w:r>
        <w:rPr>
          <w:rFonts w:ascii="Times New Roman"/>
          <w:b/>
          <w:i/>
          <w:spacing w:val="24"/>
          <w:w w:val="85"/>
          <w:sz w:val="28"/>
        </w:rPr>
        <w:t>c</w:t>
      </w:r>
      <w:r>
        <w:rPr>
          <w:rFonts w:ascii="Times New Roman"/>
          <w:b/>
          <w:i/>
          <w:spacing w:val="24"/>
          <w:w w:val="85"/>
          <w:sz w:val="28"/>
        </w:rPr>
        <w:t>o</w:t>
      </w:r>
      <w:r>
        <w:rPr>
          <w:rFonts w:ascii="Times New Roman"/>
          <w:b/>
          <w:i/>
          <w:spacing w:val="24"/>
          <w:w w:val="94"/>
          <w:sz w:val="28"/>
        </w:rPr>
        <w:t>m</w:t>
      </w:r>
      <w:r>
        <w:rPr>
          <w:rFonts w:ascii="Times New Roman"/>
          <w:b/>
          <w:i/>
          <w:w w:val="94"/>
          <w:sz w:val="28"/>
        </w:rPr>
        <w:t>o</w:t>
      </w:r>
      <w:r>
        <w:rPr>
          <w:rFonts w:ascii="Times New Roman"/>
          <w:b/>
          <w:i/>
          <w:sz w:val="28"/>
        </w:rPr>
        <w:t> </w:t>
      </w:r>
      <w:r>
        <w:rPr>
          <w:rFonts w:ascii="Times New Roman"/>
          <w:b/>
          <w:i/>
          <w:spacing w:val="-15"/>
          <w:sz w:val="28"/>
        </w:rPr>
        <w:t> </w:t>
      </w:r>
      <w:r>
        <w:rPr>
          <w:rFonts w:ascii="Times New Roman"/>
          <w:b/>
          <w:i/>
          <w:spacing w:val="23"/>
          <w:w w:val="106"/>
          <w:sz w:val="28"/>
        </w:rPr>
        <w:t>r</w:t>
      </w:r>
      <w:r>
        <w:rPr>
          <w:rFonts w:ascii="Times New Roman"/>
          <w:b/>
          <w:i/>
          <w:spacing w:val="23"/>
          <w:w w:val="83"/>
          <w:sz w:val="28"/>
        </w:rPr>
        <w:t>e</w:t>
      </w:r>
      <w:r>
        <w:rPr>
          <w:rFonts w:ascii="Times New Roman"/>
          <w:b/>
          <w:i/>
          <w:spacing w:val="24"/>
          <w:w w:val="101"/>
          <w:sz w:val="28"/>
        </w:rPr>
        <w:t>ma</w:t>
      </w:r>
      <w:r>
        <w:rPr>
          <w:rFonts w:ascii="Times New Roman"/>
          <w:b/>
          <w:i/>
          <w:w w:val="106"/>
          <w:sz w:val="28"/>
        </w:rPr>
        <w:t>r</w:t>
      </w:r>
      <w:r>
        <w:rPr>
          <w:rFonts w:ascii="Times New Roman"/>
          <w:b/>
          <w:i/>
          <w:sz w:val="28"/>
        </w:rPr>
        <w:t> </w:t>
      </w:r>
      <w:r>
        <w:rPr>
          <w:rFonts w:ascii="Times New Roman"/>
          <w:b/>
          <w:i/>
          <w:spacing w:val="-15"/>
          <w:sz w:val="28"/>
        </w:rPr>
        <w:t> </w:t>
      </w:r>
      <w:r>
        <w:rPr>
          <w:rFonts w:ascii="Times New Roman"/>
          <w:b/>
          <w:i/>
          <w:spacing w:val="24"/>
          <w:w w:val="85"/>
          <w:sz w:val="28"/>
        </w:rPr>
        <w:t>c</w:t>
      </w:r>
      <w:r>
        <w:rPr>
          <w:rFonts w:ascii="Times New Roman"/>
          <w:b/>
          <w:i/>
          <w:spacing w:val="24"/>
          <w:w w:val="85"/>
          <w:sz w:val="28"/>
        </w:rPr>
        <w:t>o</w:t>
      </w:r>
      <w:r>
        <w:rPr>
          <w:rFonts w:ascii="Times New Roman"/>
          <w:b/>
          <w:i/>
          <w:spacing w:val="24"/>
          <w:w w:val="100"/>
          <w:sz w:val="28"/>
        </w:rPr>
        <w:t>n</w:t>
      </w:r>
      <w:r>
        <w:rPr>
          <w:rFonts w:ascii="Times New Roman"/>
          <w:b/>
          <w:i/>
          <w:spacing w:val="24"/>
          <w:w w:val="126"/>
          <w:sz w:val="28"/>
        </w:rPr>
        <w:t>t</w:t>
      </w:r>
      <w:r>
        <w:rPr>
          <w:rFonts w:ascii="Times New Roman"/>
          <w:b/>
          <w:i/>
          <w:spacing w:val="23"/>
          <w:w w:val="106"/>
          <w:sz w:val="28"/>
        </w:rPr>
        <w:t>r</w:t>
      </w:r>
      <w:r>
        <w:rPr>
          <w:rFonts w:ascii="Times New Roman"/>
          <w:b/>
          <w:i/>
          <w:w w:val="102"/>
          <w:sz w:val="28"/>
        </w:rPr>
        <w:t>a</w:t>
      </w:r>
      <w:r>
        <w:rPr>
          <w:rFonts w:ascii="Times New Roman"/>
          <w:b/>
          <w:i/>
          <w:sz w:val="28"/>
        </w:rPr>
        <w:t> </w:t>
      </w:r>
      <w:r>
        <w:rPr>
          <w:rFonts w:ascii="Times New Roman"/>
          <w:b/>
          <w:i/>
          <w:spacing w:val="-15"/>
          <w:sz w:val="28"/>
        </w:rPr>
        <w:t> </w:t>
      </w:r>
      <w:r>
        <w:rPr>
          <w:rFonts w:ascii="Times New Roman"/>
          <w:b/>
          <w:i/>
          <w:spacing w:val="24"/>
          <w:w w:val="85"/>
          <w:sz w:val="28"/>
        </w:rPr>
        <w:t>c</w:t>
      </w:r>
      <w:r>
        <w:rPr>
          <w:rFonts w:ascii="Times New Roman"/>
          <w:b/>
          <w:i/>
          <w:spacing w:val="24"/>
          <w:w w:val="85"/>
          <w:sz w:val="28"/>
        </w:rPr>
        <w:t>o</w:t>
      </w:r>
      <w:r>
        <w:rPr>
          <w:rFonts w:ascii="Times New Roman"/>
          <w:b/>
          <w:i/>
          <w:spacing w:val="23"/>
          <w:w w:val="106"/>
          <w:sz w:val="28"/>
        </w:rPr>
        <w:t>rr</w:t>
      </w:r>
      <w:r>
        <w:rPr>
          <w:rFonts w:ascii="Times New Roman"/>
          <w:b/>
          <w:i/>
          <w:spacing w:val="23"/>
          <w:w w:val="105"/>
          <w:sz w:val="28"/>
        </w:rPr>
        <w:t>i</w:t>
      </w:r>
      <w:r>
        <w:rPr>
          <w:rFonts w:ascii="Times New Roman"/>
          <w:b/>
          <w:i/>
          <w:spacing w:val="23"/>
          <w:w w:val="83"/>
          <w:sz w:val="28"/>
        </w:rPr>
        <w:t>e</w:t>
      </w:r>
      <w:r>
        <w:rPr>
          <w:rFonts w:ascii="Times New Roman"/>
          <w:b/>
          <w:i/>
          <w:spacing w:val="24"/>
          <w:w w:val="100"/>
          <w:sz w:val="28"/>
        </w:rPr>
        <w:t>n</w:t>
      </w:r>
      <w:r>
        <w:rPr>
          <w:rFonts w:ascii="Times New Roman"/>
          <w:b/>
          <w:i/>
          <w:spacing w:val="24"/>
          <w:w w:val="126"/>
          <w:sz w:val="28"/>
        </w:rPr>
        <w:t>t</w:t>
      </w:r>
      <w:r>
        <w:rPr>
          <w:rFonts w:ascii="Times New Roman"/>
          <w:b/>
          <w:i/>
          <w:spacing w:val="23"/>
          <w:w w:val="83"/>
          <w:sz w:val="28"/>
        </w:rPr>
        <w:t>e</w:t>
      </w:r>
      <w:r>
        <w:rPr>
          <w:rFonts w:ascii="Times New Roman"/>
          <w:b/>
          <w:i/>
          <w:w w:val="61"/>
          <w:sz w:val="28"/>
        </w:rPr>
        <w:t>:</w:t>
      </w:r>
      <w:r>
        <w:rPr>
          <w:rFonts w:ascii="Times New Roman"/>
          <w:b/>
          <w:i/>
          <w:sz w:val="28"/>
        </w:rPr>
        <w:t> </w:t>
      </w:r>
      <w:r>
        <w:rPr>
          <w:rFonts w:ascii="Times New Roman"/>
          <w:b/>
          <w:i/>
          <w:spacing w:val="-16"/>
          <w:sz w:val="28"/>
        </w:rPr>
        <w:t> </w:t>
      </w:r>
      <w:r>
        <w:rPr>
          <w:rFonts w:ascii="Times New Roman"/>
          <w:b/>
          <w:i/>
          <w:spacing w:val="23"/>
          <w:w w:val="83"/>
          <w:sz w:val="28"/>
        </w:rPr>
        <w:t>e</w:t>
      </w:r>
      <w:r>
        <w:rPr>
          <w:rFonts w:ascii="Times New Roman"/>
          <w:b/>
          <w:i/>
          <w:w w:val="100"/>
          <w:sz w:val="28"/>
        </w:rPr>
        <w:t>n</w:t>
      </w:r>
      <w:r>
        <w:rPr>
          <w:rFonts w:ascii="Times New Roman"/>
          <w:b/>
          <w:i/>
          <w:sz w:val="28"/>
        </w:rPr>
        <w:t> </w:t>
      </w:r>
      <w:r>
        <w:rPr>
          <w:rFonts w:ascii="Times New Roman"/>
          <w:b/>
          <w:i/>
          <w:spacing w:val="-15"/>
          <w:sz w:val="28"/>
        </w:rPr>
        <w:t> </w:t>
      </w:r>
      <w:r>
        <w:rPr>
          <w:rFonts w:ascii="Times New Roman"/>
          <w:b/>
          <w:i/>
          <w:spacing w:val="24"/>
          <w:w w:val="85"/>
          <w:sz w:val="28"/>
        </w:rPr>
        <w:t>c</w:t>
      </w:r>
      <w:r>
        <w:rPr>
          <w:rFonts w:ascii="Times New Roman"/>
          <w:b/>
          <w:i/>
          <w:spacing w:val="24"/>
          <w:w w:val="100"/>
          <w:sz w:val="28"/>
        </w:rPr>
        <w:t>u</w:t>
      </w:r>
      <w:r>
        <w:rPr>
          <w:rFonts w:ascii="Times New Roman"/>
          <w:b/>
          <w:i/>
          <w:spacing w:val="24"/>
          <w:w w:val="102"/>
          <w:sz w:val="28"/>
        </w:rPr>
        <w:t>a</w:t>
      </w:r>
      <w:r>
        <w:rPr>
          <w:rFonts w:ascii="Times New Roman"/>
          <w:b/>
          <w:i/>
          <w:spacing w:val="24"/>
          <w:w w:val="100"/>
          <w:sz w:val="28"/>
        </w:rPr>
        <w:t>n</w:t>
      </w:r>
      <w:r>
        <w:rPr>
          <w:rFonts w:ascii="Times New Roman"/>
          <w:b/>
          <w:i/>
          <w:spacing w:val="24"/>
          <w:w w:val="126"/>
          <w:sz w:val="28"/>
        </w:rPr>
        <w:t>t</w:t>
      </w:r>
      <w:r>
        <w:rPr>
          <w:rFonts w:ascii="Times New Roman"/>
          <w:b/>
          <w:i/>
          <w:w w:val="85"/>
          <w:sz w:val="28"/>
        </w:rPr>
        <w:t>o</w:t>
      </w:r>
      <w:r>
        <w:rPr>
          <w:rFonts w:ascii="Times New Roman"/>
          <w:b/>
          <w:i/>
          <w:sz w:val="28"/>
        </w:rPr>
        <w:t> </w:t>
      </w:r>
      <w:r>
        <w:rPr>
          <w:rFonts w:ascii="Times New Roman"/>
          <w:b/>
          <w:i/>
          <w:spacing w:val="-15"/>
          <w:sz w:val="28"/>
        </w:rPr>
        <w:t> </w:t>
      </w:r>
      <w:r>
        <w:rPr>
          <w:rFonts w:ascii="Times New Roman"/>
          <w:b/>
          <w:i/>
          <w:spacing w:val="23"/>
          <w:w w:val="90"/>
          <w:sz w:val="28"/>
        </w:rPr>
        <w:t>s</w:t>
      </w:r>
      <w:r>
        <w:rPr>
          <w:rFonts w:ascii="Times New Roman"/>
          <w:b/>
          <w:i/>
          <w:w w:val="83"/>
          <w:sz w:val="28"/>
        </w:rPr>
        <w:t>e</w:t>
      </w:r>
      <w:r>
        <w:rPr>
          <w:rFonts w:ascii="Times New Roman"/>
          <w:b/>
          <w:i/>
          <w:sz w:val="28"/>
        </w:rPr>
        <w:t> </w:t>
      </w:r>
      <w:r>
        <w:rPr>
          <w:rFonts w:ascii="Times New Roman"/>
          <w:b/>
          <w:i/>
          <w:spacing w:val="-15"/>
          <w:sz w:val="28"/>
        </w:rPr>
        <w:t> </w:t>
      </w:r>
      <w:r>
        <w:rPr>
          <w:rFonts w:ascii="Times New Roman"/>
          <w:b/>
          <w:i/>
          <w:spacing w:val="24"/>
          <w:w w:val="102"/>
          <w:sz w:val="28"/>
        </w:rPr>
        <w:t>d</w:t>
      </w:r>
      <w:r>
        <w:rPr>
          <w:rFonts w:ascii="Times New Roman"/>
          <w:b/>
          <w:i/>
          <w:spacing w:val="23"/>
          <w:w w:val="83"/>
          <w:sz w:val="28"/>
        </w:rPr>
        <w:t>e</w:t>
      </w:r>
      <w:r>
        <w:rPr>
          <w:rFonts w:ascii="Times New Roman"/>
          <w:b/>
          <w:i/>
          <w:spacing w:val="23"/>
          <w:w w:val="95"/>
          <w:sz w:val="28"/>
        </w:rPr>
        <w:t>j</w:t>
      </w:r>
      <w:r>
        <w:rPr>
          <w:rFonts w:ascii="Times New Roman"/>
          <w:b/>
          <w:i/>
          <w:spacing w:val="24"/>
          <w:w w:val="102"/>
          <w:sz w:val="28"/>
        </w:rPr>
        <w:t>a</w:t>
      </w:r>
      <w:r>
        <w:rPr>
          <w:rFonts w:ascii="Times New Roman"/>
          <w:b/>
          <w:i/>
          <w:w w:val="82"/>
          <w:sz w:val="28"/>
        </w:rPr>
        <w:t>,</w:t>
      </w:r>
    </w:p>
    <w:p>
      <w:pPr>
        <w:spacing w:before="124"/>
        <w:ind w:left="0" w:right="104" w:firstLine="0"/>
        <w:jc w:val="right"/>
        <w:rPr>
          <w:rFonts w:ascii="Times New Roman"/>
          <w:b/>
          <w:i/>
          <w:sz w:val="28"/>
        </w:rPr>
      </w:pPr>
      <w:r>
        <w:rPr>
          <w:rFonts w:ascii="Times New Roman"/>
          <w:b/>
          <w:i/>
          <w:w w:val="95"/>
          <w:sz w:val="28"/>
        </w:rPr>
        <w:t>se retrocede.</w:t>
      </w:r>
    </w:p>
    <w:p>
      <w:pPr>
        <w:pStyle w:val="BodyText"/>
        <w:rPr>
          <w:rFonts w:ascii="Times New Roman"/>
          <w:b/>
          <w:i/>
          <w:sz w:val="28"/>
        </w:rPr>
      </w:pPr>
    </w:p>
    <w:p>
      <w:pPr>
        <w:pStyle w:val="BodyText"/>
        <w:rPr>
          <w:rFonts w:ascii="Times New Roman"/>
          <w:b/>
          <w:i/>
          <w:sz w:val="28"/>
        </w:rPr>
      </w:pPr>
    </w:p>
    <w:p>
      <w:pPr>
        <w:pStyle w:val="BodyText"/>
        <w:spacing w:before="7"/>
        <w:rPr>
          <w:rFonts w:ascii="Times New Roman"/>
          <w:b/>
          <w:i/>
          <w:sz w:val="31"/>
        </w:rPr>
      </w:pPr>
    </w:p>
    <w:p>
      <w:pPr>
        <w:spacing w:before="0"/>
        <w:ind w:left="0" w:right="105" w:firstLine="0"/>
        <w:jc w:val="right"/>
        <w:rPr>
          <w:rFonts w:ascii="Times New Roman"/>
          <w:b/>
          <w:i/>
          <w:sz w:val="28"/>
        </w:rPr>
      </w:pPr>
      <w:r>
        <w:rPr>
          <w:rFonts w:ascii="Times New Roman"/>
          <w:b/>
          <w:i/>
          <w:w w:val="105"/>
          <w:sz w:val="28"/>
        </w:rPr>
        <w:t>Edward B. Britten</w:t>
      </w:r>
    </w:p>
    <w:p>
      <w:pPr>
        <w:spacing w:after="0"/>
        <w:jc w:val="right"/>
        <w:rPr>
          <w:rFonts w:ascii="Times New Roman"/>
          <w:sz w:val="28"/>
        </w:rPr>
        <w:sectPr>
          <w:footerReference w:type="default" r:id="rId8"/>
          <w:pgSz w:w="12240" w:h="15840"/>
          <w:pgMar w:footer="0" w:header="0" w:top="1500" w:bottom="280" w:left="1720" w:right="1620"/>
        </w:sectPr>
      </w:pPr>
    </w:p>
    <w:p>
      <w:pPr>
        <w:pStyle w:val="BodyText"/>
        <w:spacing w:before="6"/>
        <w:rPr>
          <w:rFonts w:ascii="Times New Roman"/>
          <w:b/>
          <w:i/>
          <w:sz w:val="16"/>
        </w:rPr>
      </w:pPr>
    </w:p>
    <w:p>
      <w:pPr>
        <w:pStyle w:val="Heading1"/>
        <w:spacing w:before="52"/>
        <w:ind w:right="86"/>
        <w:jc w:val="center"/>
        <w:rPr>
          <w:rFonts w:ascii="Calibri"/>
        </w:rPr>
      </w:pPr>
      <w:bookmarkStart w:name="_TOC_250041" w:id="1"/>
      <w:bookmarkEnd w:id="1"/>
      <w:r>
        <w:rPr>
          <w:rFonts w:ascii="Calibri"/>
        </w:rPr>
        <w:t>RESUMEN</w:t>
      </w:r>
    </w:p>
    <w:p>
      <w:pPr>
        <w:pStyle w:val="BodyText"/>
        <w:spacing w:before="1"/>
        <w:rPr>
          <w:rFonts w:ascii="Calibri"/>
          <w:b/>
          <w:sz w:val="32"/>
        </w:rPr>
      </w:pPr>
    </w:p>
    <w:p>
      <w:pPr>
        <w:pStyle w:val="BodyText"/>
        <w:spacing w:line="480" w:lineRule="auto" w:before="1"/>
        <w:ind w:left="239" w:right="260"/>
        <w:jc w:val="both"/>
      </w:pPr>
      <w:r>
        <w:rPr>
          <w:color w:val="141413"/>
        </w:rPr>
        <w:t>El presente trabajo demostró que el patrón de uso de fungicidas utilizados en el cultivo de la papa (</w:t>
      </w:r>
      <w:r>
        <w:rPr>
          <w:i/>
          <w:color w:val="141413"/>
        </w:rPr>
        <w:t>Solanum tuberosum</w:t>
      </w:r>
      <w:r>
        <w:rPr>
          <w:color w:val="141413"/>
        </w:rPr>
        <w:t>) para controlar </w:t>
      </w:r>
      <w:r>
        <w:rPr>
          <w:i/>
          <w:color w:val="141413"/>
        </w:rPr>
        <w:t>Phytophthora infestans </w:t>
      </w:r>
      <w:r>
        <w:rPr>
          <w:color w:val="141413"/>
        </w:rPr>
        <w:t>es insostenible, debido a que los costos de remoción de los excedentes de fungicidas aplicados rebasan las ganancias que se obtienen durante el tiempo de vida productiva de los sistemas que aplican dosis superiores a lo recomendado. </w:t>
      </w:r>
      <w:r>
        <w:rPr/>
        <w:t>Los cultivos comerciales de papa tratados con metalaxil tuvieron presencia de cepas homotálicas de </w:t>
      </w:r>
      <w:r>
        <w:rPr>
          <w:i/>
        </w:rPr>
        <w:t>Phytophthora infestans </w:t>
      </w:r>
      <w:r>
        <w:rPr/>
        <w:t>que fueron capaces de producir oosporas por sí mismas, estas son el inóculo inicial para las epidemias y representan el medio para la recombinación sexual. Se determinó que el homotalismo es una condición genética de propagación del Tizón Tardío; ya que los aislamientos homotálicos fueron capaces de producir descendencia homotálica a través de la producción de esporangios y zoosporas. La capacidad que presentan los aislamientos homotálicos de producir de manera asexual descendencia homotálica le permite al patógeno un rápido crecimiento de su población en el tejido de la planta, así como una rápida propagación de aislamientos homotálicos hacia plantas dentro de la misma parcela y parcelas vecinas. El presente trabajo demostró que el control químico debe ser sustituido como el principal método de control para </w:t>
      </w:r>
      <w:r>
        <w:rPr>
          <w:i/>
        </w:rPr>
        <w:t>P. infestans </w:t>
      </w:r>
      <w:r>
        <w:rPr/>
        <w:t>en cultivos comerciales de papa (</w:t>
      </w:r>
      <w:r>
        <w:rPr>
          <w:i/>
        </w:rPr>
        <w:t>Solanum tuberosum</w:t>
      </w:r>
      <w:r>
        <w:rPr/>
        <w:t>),  no sólo por su deficiencia de control, sino por el riesgo que representa para la salud pública y su posible impacto en la biología de </w:t>
      </w:r>
      <w:r>
        <w:rPr>
          <w:i/>
        </w:rPr>
        <w:t>Phytophthora</w:t>
      </w:r>
      <w:r>
        <w:rPr>
          <w:i/>
          <w:spacing w:val="-6"/>
        </w:rPr>
        <w:t> </w:t>
      </w:r>
      <w:r>
        <w:rPr>
          <w:i/>
        </w:rPr>
        <w:t>infestans</w:t>
      </w:r>
      <w:r>
        <w:rPr/>
        <w:t>.</w:t>
      </w:r>
    </w:p>
    <w:p>
      <w:pPr>
        <w:spacing w:after="0" w:line="480" w:lineRule="auto"/>
        <w:jc w:val="both"/>
        <w:sectPr>
          <w:headerReference w:type="default" r:id="rId9"/>
          <w:footerReference w:type="default" r:id="rId10"/>
          <w:pgSz w:w="12240" w:h="15840"/>
          <w:pgMar w:header="719" w:footer="740" w:top="1260" w:bottom="920" w:left="1460" w:right="1440"/>
        </w:sectPr>
      </w:pPr>
    </w:p>
    <w:p>
      <w:pPr>
        <w:pStyle w:val="BodyText"/>
        <w:spacing w:before="6"/>
        <w:rPr>
          <w:sz w:val="16"/>
        </w:rPr>
      </w:pPr>
    </w:p>
    <w:p>
      <w:pPr>
        <w:pStyle w:val="Heading1"/>
        <w:spacing w:before="52"/>
        <w:ind w:right="86"/>
        <w:jc w:val="center"/>
        <w:rPr>
          <w:rFonts w:ascii="Calibri"/>
        </w:rPr>
      </w:pPr>
      <w:bookmarkStart w:name="_TOC_250040" w:id="2"/>
      <w:bookmarkEnd w:id="2"/>
      <w:r>
        <w:rPr>
          <w:rFonts w:ascii="Calibri"/>
        </w:rPr>
        <w:t>ABSTRACT</w:t>
      </w:r>
    </w:p>
    <w:p>
      <w:pPr>
        <w:pStyle w:val="BodyText"/>
        <w:spacing w:before="3"/>
        <w:rPr>
          <w:rFonts w:ascii="Calibri"/>
          <w:b/>
          <w:sz w:val="46"/>
        </w:rPr>
      </w:pPr>
    </w:p>
    <w:p>
      <w:pPr>
        <w:pStyle w:val="BodyText"/>
        <w:spacing w:line="480" w:lineRule="auto"/>
        <w:ind w:left="239" w:right="260"/>
        <w:jc w:val="both"/>
      </w:pPr>
      <w:r>
        <w:rPr/>
        <w:t>This study demonstrated that the pattern of use of fungicides to control </w:t>
      </w:r>
      <w:r>
        <w:rPr>
          <w:i/>
        </w:rPr>
        <w:t>Phytophthora infestans </w:t>
      </w:r>
      <w:r>
        <w:rPr/>
        <w:t>in potato crops (</w:t>
      </w:r>
      <w:r>
        <w:rPr>
          <w:i/>
        </w:rPr>
        <w:t>Solanum tuberosum</w:t>
      </w:r>
      <w:r>
        <w:rPr/>
        <w:t>) is unsustainable because the cleaning-up costs of excesses of fungicides exceed the income than the one that could be obtained during the life span of plots that apply above the recommended doses. From commercial potato crops treated with metalaxyl were obtained homothallic strains of </w:t>
      </w:r>
      <w:r>
        <w:rPr>
          <w:i/>
        </w:rPr>
        <w:t>Phytophthora infestans </w:t>
      </w:r>
      <w:r>
        <w:rPr/>
        <w:t>resistant to metalaxyl, which were able to produce oospores themselves, which are the initial inoculum for epidemics and represent the mean for sexual recombination. Was determined that the homothallism is a genetic condition to spread the Late Blight because homothallic isolates were able to produce homothallic offspring through sporangia and zoospores production. The ability of the homothallic isolates to produce asexually homothallic offspring allows the pathogen a rapid population growth in  the plant tissue and the rapid spread of homothallic isolates to plants within the same plot and neighbors plots. This study demonstrated that chemical control must be replaced as the principal control method for </w:t>
      </w:r>
      <w:r>
        <w:rPr>
          <w:i/>
        </w:rPr>
        <w:t>P. infestans </w:t>
      </w:r>
      <w:r>
        <w:rPr/>
        <w:t>in commercial potato crops not only for its control deficiency, but yes for the risk to public health and its possible impact on the biology of </w:t>
      </w:r>
      <w:r>
        <w:rPr>
          <w:i/>
        </w:rPr>
        <w:t>P.</w:t>
      </w:r>
      <w:r>
        <w:rPr>
          <w:i/>
          <w:spacing w:val="-2"/>
        </w:rPr>
        <w:t> </w:t>
      </w:r>
      <w:r>
        <w:rPr>
          <w:i/>
        </w:rPr>
        <w:t>infestans</w:t>
      </w:r>
      <w:r>
        <w:rPr/>
        <w:t>.</w:t>
      </w:r>
    </w:p>
    <w:p>
      <w:pPr>
        <w:spacing w:after="0" w:line="480" w:lineRule="auto"/>
        <w:jc w:val="both"/>
        <w:sectPr>
          <w:footerReference w:type="default" r:id="rId11"/>
          <w:pgSz w:w="12240" w:h="15840"/>
          <w:pgMar w:footer="740" w:header="719" w:top="1260" w:bottom="920" w:left="1460" w:right="1440"/>
          <w:pgNumType w:start="5"/>
        </w:sectPr>
      </w:pPr>
    </w:p>
    <w:p>
      <w:pPr>
        <w:pStyle w:val="BodyText"/>
        <w:spacing w:before="3"/>
        <w:rPr>
          <w:sz w:val="15"/>
        </w:rPr>
      </w:pPr>
    </w:p>
    <w:p>
      <w:pPr>
        <w:pStyle w:val="Heading1"/>
        <w:ind w:right="86"/>
        <w:jc w:val="center"/>
      </w:pPr>
      <w:bookmarkStart w:name="_TOC_250039" w:id="3"/>
      <w:r>
        <w:rPr/>
        <w:t>ÍNDICE</w:t>
      </w:r>
      <w:r>
        <w:rPr>
          <w:spacing w:val="78"/>
        </w:rPr>
        <w:t> </w:t>
      </w:r>
      <w:bookmarkEnd w:id="3"/>
      <w:r>
        <w:rPr/>
        <w:t>GENERAL</w:t>
      </w:r>
    </w:p>
    <w:p>
      <w:pPr>
        <w:spacing w:after="0"/>
        <w:jc w:val="center"/>
        <w:sectPr>
          <w:pgSz w:w="12240" w:h="15840"/>
          <w:pgMar w:header="719" w:footer="740" w:top="1260" w:bottom="1500" w:left="1460" w:right="1440"/>
        </w:sectPr>
      </w:pPr>
    </w:p>
    <w:sdt>
      <w:sdtPr>
        <w:docPartObj>
          <w:docPartGallery w:val="Table of Contents"/>
          <w:docPartUnique/>
        </w:docPartObj>
      </w:sdtPr>
      <w:sdtEndPr/>
      <w:sdtContent>
        <w:p>
          <w:pPr>
            <w:pStyle w:val="TOC1"/>
            <w:tabs>
              <w:tab w:pos="9067" w:val="right" w:leader="dot"/>
            </w:tabs>
            <w:spacing w:before="395"/>
          </w:pPr>
          <w:r>
            <w:rPr/>
            <w:t>AGRADECIMIENTOS</w:t>
            <w:tab/>
            <w:t>i</w:t>
          </w:r>
        </w:p>
        <w:p>
          <w:pPr>
            <w:pStyle w:val="TOC1"/>
            <w:tabs>
              <w:tab w:pos="9067" w:val="right" w:leader="dot"/>
            </w:tabs>
          </w:pPr>
          <w:r>
            <w:rPr/>
            <w:t>DEDICATORIA</w:t>
            <w:tab/>
            <w:t>iii</w:t>
          </w:r>
        </w:p>
        <w:p>
          <w:pPr>
            <w:pStyle w:val="TOC1"/>
            <w:tabs>
              <w:tab w:pos="9067" w:val="right" w:leader="dot"/>
            </w:tabs>
            <w:spacing w:before="117"/>
          </w:pPr>
          <w:hyperlink w:history="true" w:anchor="_TOC_250041">
            <w:r>
              <w:rPr/>
              <w:t>RESUMEN</w:t>
              <w:tab/>
              <w:t>iv</w:t>
            </w:r>
          </w:hyperlink>
        </w:p>
        <w:p>
          <w:pPr>
            <w:pStyle w:val="TOC1"/>
            <w:tabs>
              <w:tab w:pos="9066" w:val="right" w:leader="dot"/>
            </w:tabs>
          </w:pPr>
          <w:hyperlink w:history="true" w:anchor="_TOC_250040">
            <w:r>
              <w:rPr/>
              <w:t>ABSTRACT</w:t>
              <w:tab/>
              <w:t>v</w:t>
            </w:r>
          </w:hyperlink>
        </w:p>
        <w:p>
          <w:pPr>
            <w:pStyle w:val="TOC1"/>
            <w:tabs>
              <w:tab w:pos="9067" w:val="right" w:leader="dot"/>
            </w:tabs>
            <w:spacing w:before="117"/>
          </w:pPr>
          <w:hyperlink w:history="true" w:anchor="_TOC_250039">
            <w:r>
              <w:rPr/>
              <w:t>ÍNDICE GENERAL</w:t>
              <w:tab/>
              <w:t>vi</w:t>
            </w:r>
          </w:hyperlink>
        </w:p>
        <w:p>
          <w:pPr>
            <w:pStyle w:val="TOC1"/>
            <w:tabs>
              <w:tab w:pos="9067" w:val="right" w:leader="dot"/>
            </w:tabs>
          </w:pPr>
          <w:hyperlink w:history="true" w:anchor="_TOC_250038">
            <w:r>
              <w:rPr/>
              <w:t>ÍNDICE DE CUADROS</w:t>
              <w:tab/>
              <w:t>viii</w:t>
            </w:r>
          </w:hyperlink>
        </w:p>
        <w:p>
          <w:pPr>
            <w:pStyle w:val="TOC1"/>
            <w:tabs>
              <w:tab w:pos="9067" w:val="right" w:leader="dot"/>
            </w:tabs>
            <w:spacing w:before="117"/>
          </w:pPr>
          <w:hyperlink w:history="true" w:anchor="_TOC_250037">
            <w:r>
              <w:rPr/>
              <w:t>ÍNDICE DE FIGURAS</w:t>
              <w:tab/>
              <w:t>ix</w:t>
            </w:r>
          </w:hyperlink>
        </w:p>
        <w:p>
          <w:pPr>
            <w:pStyle w:val="TOC1"/>
            <w:tabs>
              <w:tab w:pos="9066" w:val="right" w:leader="dot"/>
            </w:tabs>
          </w:pPr>
          <w:hyperlink w:history="true" w:anchor="_TOC_250036">
            <w:r>
              <w:rPr/>
              <w:t>LISTA DE ABREVIATURAS</w:t>
              <w:tab/>
              <w:t>x</w:t>
            </w:r>
          </w:hyperlink>
        </w:p>
        <w:p>
          <w:pPr>
            <w:pStyle w:val="TOC1"/>
            <w:numPr>
              <w:ilvl w:val="0"/>
              <w:numId w:val="1"/>
            </w:numPr>
            <w:tabs>
              <w:tab w:pos="440" w:val="left" w:leader="none"/>
              <w:tab w:pos="9067" w:val="right" w:leader="dot"/>
            </w:tabs>
            <w:spacing w:line="240" w:lineRule="auto" w:before="117" w:after="0"/>
            <w:ind w:left="439" w:right="0" w:hanging="200"/>
            <w:jc w:val="left"/>
          </w:pPr>
          <w:hyperlink w:history="true" w:anchor="_TOC_250035">
            <w:r>
              <w:rPr/>
              <w:t>INTRODUCCIÓN GENERAL</w:t>
              <w:tab/>
              <w:t>1</w:t>
            </w:r>
          </w:hyperlink>
        </w:p>
        <w:p>
          <w:pPr>
            <w:pStyle w:val="TOC1"/>
            <w:numPr>
              <w:ilvl w:val="0"/>
              <w:numId w:val="1"/>
            </w:numPr>
            <w:tabs>
              <w:tab w:pos="506" w:val="left" w:leader="none"/>
              <w:tab w:pos="9067" w:val="right" w:leader="dot"/>
            </w:tabs>
            <w:spacing w:line="275" w:lineRule="exact" w:before="122" w:after="0"/>
            <w:ind w:left="505" w:right="0" w:hanging="266"/>
            <w:jc w:val="left"/>
          </w:pPr>
          <w:hyperlink w:history="true" w:anchor="_TOC_250034">
            <w:r>
              <w:rPr/>
              <w:t>REVISIÓN BIBLIOGRÁFICA</w:t>
              <w:tab/>
              <w:t>2</w:t>
            </w:r>
          </w:hyperlink>
        </w:p>
        <w:p>
          <w:pPr>
            <w:pStyle w:val="TOC2"/>
            <w:numPr>
              <w:ilvl w:val="1"/>
              <w:numId w:val="2"/>
            </w:numPr>
            <w:tabs>
              <w:tab w:pos="947" w:val="left" w:leader="none"/>
              <w:tab w:pos="9067" w:val="right" w:leader="dot"/>
            </w:tabs>
            <w:spacing w:line="242" w:lineRule="auto" w:before="0" w:after="0"/>
            <w:ind w:left="479" w:right="270" w:firstLine="0"/>
            <w:jc w:val="left"/>
          </w:pPr>
          <w:hyperlink w:history="true" w:anchor="_TOC_250033">
            <w:r>
              <w:rPr/>
              <w:t>Producción y Sostenibilidad del Cultivo de Papa (</w:t>
            </w:r>
            <w:r>
              <w:rPr>
                <w:i/>
              </w:rPr>
              <w:t>Solanum tuberosum</w:t>
            </w:r>
            <w:r>
              <w:rPr/>
              <w:t>) en el Estado de México, México</w:t>
              <w:tab/>
              <w:t>2</w:t>
            </w:r>
          </w:hyperlink>
        </w:p>
        <w:p>
          <w:pPr>
            <w:pStyle w:val="TOC4"/>
            <w:numPr>
              <w:ilvl w:val="1"/>
              <w:numId w:val="2"/>
            </w:numPr>
            <w:tabs>
              <w:tab w:pos="947" w:val="left" w:leader="none"/>
              <w:tab w:pos="9067" w:val="right" w:leader="dot"/>
            </w:tabs>
            <w:spacing w:line="271" w:lineRule="exact" w:before="0" w:after="0"/>
            <w:ind w:left="946" w:right="0" w:hanging="467"/>
            <w:jc w:val="left"/>
            <w:rPr>
              <w:b w:val="0"/>
              <w:i w:val="0"/>
              <w:sz w:val="24"/>
            </w:rPr>
          </w:pPr>
          <w:r>
            <w:rPr>
              <w:b w:val="0"/>
              <w:i w:val="0"/>
              <w:sz w:val="24"/>
            </w:rPr>
            <w:t>Tizón Tardío de la papa</w:t>
          </w:r>
          <w:r>
            <w:rPr>
              <w:b w:val="0"/>
              <w:i w:val="0"/>
              <w:spacing w:val="-1"/>
              <w:sz w:val="24"/>
            </w:rPr>
            <w:t> </w:t>
          </w:r>
          <w:r>
            <w:rPr>
              <w:b w:val="0"/>
              <w:i w:val="0"/>
              <w:sz w:val="24"/>
            </w:rPr>
            <w:t>(</w:t>
          </w:r>
          <w:r>
            <w:rPr>
              <w:b w:val="0"/>
              <w:i/>
              <w:sz w:val="24"/>
            </w:rPr>
            <w:t>Phytophthora</w:t>
          </w:r>
          <w:r>
            <w:rPr>
              <w:b w:val="0"/>
              <w:i w:val="0"/>
              <w:spacing w:val="-1"/>
              <w:sz w:val="24"/>
            </w:rPr>
            <w:t> </w:t>
          </w:r>
          <w:r>
            <w:rPr>
              <w:b w:val="0"/>
              <w:i/>
              <w:sz w:val="24"/>
            </w:rPr>
            <w:t>infestans</w:t>
          </w:r>
          <w:r>
            <w:rPr>
              <w:b w:val="0"/>
              <w:i w:val="0"/>
              <w:sz w:val="24"/>
            </w:rPr>
            <w:t>)</w:t>
            <w:tab/>
            <w:t>5</w:t>
          </w:r>
        </w:p>
        <w:p>
          <w:pPr>
            <w:pStyle w:val="TOC4"/>
            <w:numPr>
              <w:ilvl w:val="1"/>
              <w:numId w:val="2"/>
            </w:numPr>
            <w:tabs>
              <w:tab w:pos="947" w:val="left" w:leader="none"/>
              <w:tab w:pos="9067" w:val="right" w:leader="dot"/>
            </w:tabs>
            <w:spacing w:line="275" w:lineRule="exact" w:before="2" w:after="0"/>
            <w:ind w:left="946" w:right="0" w:hanging="467"/>
            <w:jc w:val="left"/>
            <w:rPr>
              <w:b w:val="0"/>
              <w:i w:val="0"/>
              <w:sz w:val="24"/>
            </w:rPr>
          </w:pPr>
          <w:r>
            <w:rPr>
              <w:b w:val="0"/>
              <w:i w:val="0"/>
              <w:sz w:val="24"/>
            </w:rPr>
            <w:t>Control químico del Tizón Tardío</w:t>
          </w:r>
          <w:r>
            <w:rPr>
              <w:b w:val="0"/>
              <w:i w:val="0"/>
              <w:spacing w:val="-1"/>
              <w:sz w:val="24"/>
            </w:rPr>
            <w:t> </w:t>
          </w:r>
          <w:r>
            <w:rPr>
              <w:b w:val="0"/>
              <w:i w:val="0"/>
              <w:sz w:val="24"/>
            </w:rPr>
            <w:t>(</w:t>
          </w:r>
          <w:r>
            <w:rPr>
              <w:b w:val="0"/>
              <w:i/>
              <w:sz w:val="24"/>
            </w:rPr>
            <w:t>Phytophthora</w:t>
          </w:r>
          <w:r>
            <w:rPr>
              <w:b w:val="0"/>
              <w:i w:val="0"/>
              <w:spacing w:val="-1"/>
              <w:sz w:val="24"/>
            </w:rPr>
            <w:t> </w:t>
          </w:r>
          <w:r>
            <w:rPr>
              <w:b w:val="0"/>
              <w:i/>
              <w:sz w:val="24"/>
            </w:rPr>
            <w:t>infestans</w:t>
          </w:r>
          <w:r>
            <w:rPr>
              <w:b w:val="0"/>
              <w:i w:val="0"/>
              <w:sz w:val="24"/>
            </w:rPr>
            <w:t>)</w:t>
            <w:tab/>
            <w:t>6</w:t>
          </w:r>
        </w:p>
        <w:p>
          <w:pPr>
            <w:pStyle w:val="TOC5"/>
            <w:numPr>
              <w:ilvl w:val="2"/>
              <w:numId w:val="2"/>
            </w:numPr>
            <w:tabs>
              <w:tab w:pos="1387" w:val="left" w:leader="none"/>
              <w:tab w:pos="9067" w:val="right" w:leader="dot"/>
            </w:tabs>
            <w:spacing w:line="275" w:lineRule="exact" w:before="0" w:after="0"/>
            <w:ind w:left="1386" w:right="0" w:hanging="667"/>
            <w:jc w:val="left"/>
          </w:pPr>
          <w:hyperlink w:history="true" w:anchor="_TOC_250032">
            <w:r>
              <w:rPr/>
              <w:t>Metalaxil</w:t>
              <w:tab/>
              <w:t>8</w:t>
            </w:r>
          </w:hyperlink>
        </w:p>
        <w:p>
          <w:pPr>
            <w:pStyle w:val="TOC1"/>
            <w:numPr>
              <w:ilvl w:val="0"/>
              <w:numId w:val="1"/>
            </w:numPr>
            <w:tabs>
              <w:tab w:pos="573" w:val="left" w:leader="none"/>
              <w:tab w:pos="9067" w:val="right" w:leader="dot"/>
            </w:tabs>
            <w:spacing w:line="240" w:lineRule="auto" w:before="122" w:after="0"/>
            <w:ind w:left="572" w:right="0" w:hanging="333"/>
            <w:jc w:val="left"/>
          </w:pPr>
          <w:hyperlink w:history="true" w:anchor="_TOC_250031">
            <w:r>
              <w:rPr/>
              <w:t>JUSTIFICACIÓN</w:t>
              <w:tab/>
              <w:t>10</w:t>
            </w:r>
          </w:hyperlink>
        </w:p>
        <w:p>
          <w:pPr>
            <w:pStyle w:val="TOC1"/>
            <w:numPr>
              <w:ilvl w:val="0"/>
              <w:numId w:val="1"/>
            </w:numPr>
            <w:tabs>
              <w:tab w:pos="600" w:val="left" w:leader="none"/>
              <w:tab w:pos="9067" w:val="right" w:leader="dot"/>
            </w:tabs>
            <w:spacing w:line="240" w:lineRule="auto" w:before="117" w:after="0"/>
            <w:ind w:left="599" w:right="0" w:hanging="360"/>
            <w:jc w:val="left"/>
          </w:pPr>
          <w:hyperlink w:history="true" w:anchor="_TOC_250030">
            <w:r>
              <w:rPr/>
              <w:t>HIPÓTESIS</w:t>
              <w:tab/>
              <w:t>11</w:t>
            </w:r>
          </w:hyperlink>
        </w:p>
        <w:p>
          <w:pPr>
            <w:pStyle w:val="TOC1"/>
            <w:numPr>
              <w:ilvl w:val="0"/>
              <w:numId w:val="1"/>
            </w:numPr>
            <w:tabs>
              <w:tab w:pos="533" w:val="left" w:leader="none"/>
              <w:tab w:pos="9067" w:val="right" w:leader="dot"/>
            </w:tabs>
            <w:spacing w:line="275" w:lineRule="exact" w:before="122" w:after="0"/>
            <w:ind w:left="532" w:right="0" w:hanging="293"/>
            <w:jc w:val="left"/>
          </w:pPr>
          <w:hyperlink w:history="true" w:anchor="_TOC_250029">
            <w:r>
              <w:rPr/>
              <w:t>OBJETIVOS</w:t>
              <w:tab/>
              <w:t>12</w:t>
            </w:r>
          </w:hyperlink>
        </w:p>
        <w:p>
          <w:pPr>
            <w:pStyle w:val="TOC2"/>
            <w:numPr>
              <w:ilvl w:val="1"/>
              <w:numId w:val="3"/>
            </w:numPr>
            <w:tabs>
              <w:tab w:pos="947" w:val="left" w:leader="none"/>
              <w:tab w:pos="9067" w:val="right" w:leader="dot"/>
            </w:tabs>
            <w:spacing w:line="274" w:lineRule="exact" w:before="0" w:after="0"/>
            <w:ind w:left="946" w:right="0" w:hanging="467"/>
            <w:jc w:val="left"/>
          </w:pPr>
          <w:hyperlink w:history="true" w:anchor="_TOC_250028">
            <w:r>
              <w:rPr/>
              <w:t>Objetivo general</w:t>
              <w:tab/>
              <w:t>12</w:t>
            </w:r>
          </w:hyperlink>
        </w:p>
        <w:p>
          <w:pPr>
            <w:pStyle w:val="TOC2"/>
            <w:numPr>
              <w:ilvl w:val="1"/>
              <w:numId w:val="3"/>
            </w:numPr>
            <w:tabs>
              <w:tab w:pos="947" w:val="left" w:leader="none"/>
              <w:tab w:pos="9067" w:val="right" w:leader="dot"/>
            </w:tabs>
            <w:spacing w:line="275" w:lineRule="exact" w:before="0" w:after="0"/>
            <w:ind w:left="946" w:right="0" w:hanging="467"/>
            <w:jc w:val="left"/>
          </w:pPr>
          <w:hyperlink w:history="true" w:anchor="_TOC_250027">
            <w:r>
              <w:rPr/>
              <w:t>Objetivos específicos</w:t>
              <w:tab/>
              <w:t>12</w:t>
            </w:r>
          </w:hyperlink>
        </w:p>
        <w:p>
          <w:pPr>
            <w:pStyle w:val="TOC1"/>
            <w:numPr>
              <w:ilvl w:val="0"/>
              <w:numId w:val="1"/>
            </w:numPr>
            <w:tabs>
              <w:tab w:pos="600" w:val="left" w:leader="none"/>
              <w:tab w:pos="9067" w:val="right" w:leader="dot"/>
            </w:tabs>
            <w:spacing w:line="275" w:lineRule="exact" w:before="122" w:after="0"/>
            <w:ind w:left="599" w:right="0" w:hanging="360"/>
            <w:jc w:val="left"/>
          </w:pPr>
          <w:hyperlink w:history="true" w:anchor="_TOC_250026">
            <w:r>
              <w:rPr/>
              <w:t>MATERIALES Y MÉTODOS</w:t>
              <w:tab/>
              <w:t>13</w:t>
            </w:r>
          </w:hyperlink>
        </w:p>
        <w:p>
          <w:pPr>
            <w:pStyle w:val="TOC2"/>
            <w:numPr>
              <w:ilvl w:val="1"/>
              <w:numId w:val="4"/>
            </w:numPr>
            <w:tabs>
              <w:tab w:pos="947" w:val="left" w:leader="none"/>
              <w:tab w:pos="9067" w:val="right" w:leader="dot"/>
            </w:tabs>
            <w:spacing w:line="275" w:lineRule="exact" w:before="0" w:after="0"/>
            <w:ind w:left="479" w:right="0" w:firstLine="0"/>
            <w:jc w:val="left"/>
          </w:pPr>
          <w:hyperlink w:history="true" w:anchor="_TOC_250025">
            <w:r>
              <w:rPr/>
              <w:t>Identificación del patrón de uso de metalaxil y su costo de remoción</w:t>
              <w:tab/>
              <w:t>13</w:t>
            </w:r>
          </w:hyperlink>
        </w:p>
        <w:p>
          <w:pPr>
            <w:pStyle w:val="TOC5"/>
            <w:numPr>
              <w:ilvl w:val="2"/>
              <w:numId w:val="4"/>
            </w:numPr>
            <w:tabs>
              <w:tab w:pos="1387" w:val="left" w:leader="none"/>
              <w:tab w:pos="9067" w:val="right" w:leader="dot"/>
            </w:tabs>
            <w:spacing w:line="275" w:lineRule="exact" w:before="2" w:after="0"/>
            <w:ind w:left="1386" w:right="0" w:hanging="667"/>
            <w:jc w:val="left"/>
          </w:pPr>
          <w:hyperlink w:history="true" w:anchor="_TOC_250024">
            <w:r>
              <w:rPr/>
              <w:t>Área de estudio</w:t>
              <w:tab/>
              <w:t>13</w:t>
            </w:r>
          </w:hyperlink>
        </w:p>
        <w:p>
          <w:pPr>
            <w:pStyle w:val="TOC5"/>
            <w:numPr>
              <w:ilvl w:val="2"/>
              <w:numId w:val="4"/>
            </w:numPr>
            <w:tabs>
              <w:tab w:pos="1387" w:val="left" w:leader="none"/>
              <w:tab w:pos="9067" w:val="right" w:leader="dot"/>
            </w:tabs>
            <w:spacing w:line="275" w:lineRule="exact" w:before="0" w:after="0"/>
            <w:ind w:left="1386" w:right="0" w:hanging="667"/>
            <w:jc w:val="left"/>
          </w:pPr>
          <w:hyperlink w:history="true" w:anchor="_TOC_250023">
            <w:r>
              <w:rPr/>
              <w:t>Marco de muestreo de productores de papa</w:t>
              <w:tab/>
              <w:t>15</w:t>
            </w:r>
          </w:hyperlink>
        </w:p>
        <w:p>
          <w:pPr>
            <w:pStyle w:val="TOC5"/>
            <w:numPr>
              <w:ilvl w:val="2"/>
              <w:numId w:val="5"/>
            </w:numPr>
            <w:tabs>
              <w:tab w:pos="1387" w:val="left" w:leader="none"/>
              <w:tab w:pos="9067" w:val="right" w:leader="dot"/>
            </w:tabs>
            <w:spacing w:line="275" w:lineRule="exact" w:before="2" w:after="0"/>
            <w:ind w:left="1386" w:right="0" w:hanging="667"/>
            <w:jc w:val="left"/>
          </w:pPr>
          <w:hyperlink w:history="true" w:anchor="_TOC_250022">
            <w:r>
              <w:rPr/>
              <w:t>Cantidad de fungicidas utilizados</w:t>
              <w:tab/>
              <w:t>15</w:t>
            </w:r>
          </w:hyperlink>
        </w:p>
        <w:p>
          <w:pPr>
            <w:pStyle w:val="TOC5"/>
            <w:numPr>
              <w:ilvl w:val="2"/>
              <w:numId w:val="5"/>
            </w:numPr>
            <w:tabs>
              <w:tab w:pos="1387" w:val="left" w:leader="none"/>
              <w:tab w:pos="9067" w:val="right" w:leader="dot"/>
            </w:tabs>
            <w:spacing w:line="275" w:lineRule="exact" w:before="0" w:after="0"/>
            <w:ind w:left="1386" w:right="0" w:hanging="667"/>
            <w:jc w:val="left"/>
          </w:pPr>
          <w:hyperlink w:history="true" w:anchor="_TOC_250021">
            <w:r>
              <w:rPr/>
              <w:t>Análisis estadístico</w:t>
              <w:tab/>
              <w:t>16</w:t>
            </w:r>
          </w:hyperlink>
        </w:p>
        <w:p>
          <w:pPr>
            <w:pStyle w:val="TOC5"/>
            <w:numPr>
              <w:ilvl w:val="2"/>
              <w:numId w:val="5"/>
            </w:numPr>
            <w:tabs>
              <w:tab w:pos="1387" w:val="left" w:leader="none"/>
              <w:tab w:pos="9067" w:val="right" w:leader="dot"/>
            </w:tabs>
            <w:spacing w:line="275" w:lineRule="exact" w:before="2" w:after="0"/>
            <w:ind w:left="1386" w:right="0" w:hanging="667"/>
            <w:jc w:val="left"/>
          </w:pPr>
          <w:hyperlink w:history="true" w:anchor="_TOC_250020">
            <w:r>
              <w:rPr/>
              <w:t>Análisis de costos por remoción de fungicidas en suelo</w:t>
              <w:tab/>
              <w:t>16</w:t>
            </w:r>
          </w:hyperlink>
        </w:p>
        <w:p>
          <w:pPr>
            <w:pStyle w:val="TOC2"/>
            <w:numPr>
              <w:ilvl w:val="1"/>
              <w:numId w:val="4"/>
            </w:numPr>
            <w:tabs>
              <w:tab w:pos="947" w:val="left" w:leader="none"/>
            </w:tabs>
            <w:spacing w:line="275" w:lineRule="exact" w:before="0" w:after="0"/>
            <w:ind w:left="946" w:right="0" w:hanging="467"/>
            <w:jc w:val="left"/>
          </w:pPr>
          <w:hyperlink w:history="true" w:anchor="_TOC_250019">
            <w:r>
              <w:rPr/>
              <w:t>Determinación del tipo de apareamiento de los aislamientos de</w:t>
            </w:r>
          </w:hyperlink>
        </w:p>
        <w:p>
          <w:pPr>
            <w:pStyle w:val="TOC3"/>
            <w:tabs>
              <w:tab w:pos="9067" w:val="right" w:leader="dot"/>
            </w:tabs>
            <w:spacing w:before="2"/>
            <w:rPr>
              <w:i w:val="0"/>
            </w:rPr>
          </w:pPr>
          <w:hyperlink w:history="true" w:anchor="_TOC_250018">
            <w:r>
              <w:rPr>
                <w:i/>
              </w:rPr>
              <w:t>Phytophthora infestans</w:t>
            </w:r>
            <w:r>
              <w:rPr>
                <w:i w:val="0"/>
              </w:rPr>
              <w:tab/>
              <w:t>17</w:t>
            </w:r>
          </w:hyperlink>
        </w:p>
        <w:p>
          <w:pPr>
            <w:pStyle w:val="TOC5"/>
            <w:numPr>
              <w:ilvl w:val="2"/>
              <w:numId w:val="4"/>
            </w:numPr>
            <w:tabs>
              <w:tab w:pos="1387" w:val="left" w:leader="none"/>
              <w:tab w:pos="9067" w:val="right" w:leader="dot"/>
            </w:tabs>
            <w:spacing w:line="275" w:lineRule="exact" w:before="0" w:after="0"/>
            <w:ind w:left="1386" w:right="0" w:hanging="667"/>
            <w:jc w:val="left"/>
          </w:pPr>
          <w:hyperlink w:history="true" w:anchor="_TOC_250017">
            <w:r>
              <w:rPr/>
              <w:t>Origen de los aislamientos</w:t>
              <w:tab/>
              <w:t>17</w:t>
            </w:r>
          </w:hyperlink>
        </w:p>
        <w:p>
          <w:pPr>
            <w:pStyle w:val="TOC5"/>
            <w:numPr>
              <w:ilvl w:val="2"/>
              <w:numId w:val="4"/>
            </w:numPr>
            <w:tabs>
              <w:tab w:pos="1387" w:val="left" w:leader="none"/>
              <w:tab w:pos="9067" w:val="right" w:leader="dot"/>
            </w:tabs>
            <w:spacing w:line="275" w:lineRule="exact" w:before="2" w:after="0"/>
            <w:ind w:left="1386" w:right="0" w:hanging="667"/>
            <w:jc w:val="left"/>
          </w:pPr>
          <w:hyperlink w:history="true" w:anchor="_TOC_250016">
            <w:r>
              <w:rPr/>
              <w:t>Determinación del tipo de apareamiento</w:t>
              <w:tab/>
              <w:t>18</w:t>
            </w:r>
          </w:hyperlink>
        </w:p>
        <w:p>
          <w:pPr>
            <w:pStyle w:val="TOC5"/>
            <w:numPr>
              <w:ilvl w:val="2"/>
              <w:numId w:val="4"/>
            </w:numPr>
            <w:tabs>
              <w:tab w:pos="1387" w:val="left" w:leader="none"/>
              <w:tab w:pos="9067" w:val="right" w:leader="dot"/>
            </w:tabs>
            <w:spacing w:line="275" w:lineRule="exact" w:before="0" w:after="0"/>
            <w:ind w:left="1386" w:right="0" w:hanging="667"/>
            <w:jc w:val="left"/>
          </w:pPr>
          <w:hyperlink w:history="true" w:anchor="_TOC_250015">
            <w:r>
              <w:rPr/>
              <w:t>Comprobación del homotalismo</w:t>
              <w:tab/>
              <w:t>18</w:t>
            </w:r>
          </w:hyperlink>
        </w:p>
        <w:p>
          <w:pPr>
            <w:pStyle w:val="TOC2"/>
            <w:numPr>
              <w:ilvl w:val="1"/>
              <w:numId w:val="4"/>
            </w:numPr>
            <w:tabs>
              <w:tab w:pos="947" w:val="left" w:leader="none"/>
            </w:tabs>
            <w:spacing w:line="275" w:lineRule="exact" w:before="2" w:after="0"/>
            <w:ind w:left="946" w:right="0" w:hanging="467"/>
            <w:jc w:val="left"/>
          </w:pPr>
          <w:hyperlink w:history="true" w:anchor="_TOC_250014">
            <w:r>
              <w:rPr/>
              <w:t>Valoración de la resistencia al metalaxil en los aislamientos de</w:t>
            </w:r>
          </w:hyperlink>
        </w:p>
        <w:p>
          <w:pPr>
            <w:pStyle w:val="TOC3"/>
            <w:tabs>
              <w:tab w:pos="9067" w:val="right" w:leader="dot"/>
            </w:tabs>
            <w:rPr>
              <w:i w:val="0"/>
            </w:rPr>
          </w:pPr>
          <w:hyperlink w:history="true" w:anchor="_TOC_250013">
            <w:r>
              <w:rPr>
                <w:i/>
              </w:rPr>
              <w:t>Phytophthora infestans</w:t>
            </w:r>
            <w:r>
              <w:rPr>
                <w:i w:val="0"/>
              </w:rPr>
              <w:tab/>
              <w:t>19</w:t>
            </w:r>
          </w:hyperlink>
        </w:p>
        <w:p>
          <w:pPr>
            <w:pStyle w:val="TOC5"/>
            <w:numPr>
              <w:ilvl w:val="2"/>
              <w:numId w:val="4"/>
            </w:numPr>
            <w:tabs>
              <w:tab w:pos="1387" w:val="left" w:leader="none"/>
              <w:tab w:pos="9067" w:val="right" w:leader="dot"/>
            </w:tabs>
            <w:spacing w:line="275" w:lineRule="exact" w:before="2" w:after="0"/>
            <w:ind w:left="1386" w:right="0" w:hanging="667"/>
            <w:jc w:val="left"/>
          </w:pPr>
          <w:hyperlink w:history="true" w:anchor="_TOC_250012">
            <w:r>
              <w:rPr/>
              <w:t>Valoración de la resistencia al metalaxil</w:t>
              <w:tab/>
              <w:t>19</w:t>
            </w:r>
          </w:hyperlink>
        </w:p>
        <w:p>
          <w:pPr>
            <w:pStyle w:val="TOC5"/>
            <w:numPr>
              <w:ilvl w:val="2"/>
              <w:numId w:val="4"/>
            </w:numPr>
            <w:tabs>
              <w:tab w:pos="1387" w:val="left" w:leader="none"/>
              <w:tab w:pos="9067" w:val="right" w:leader="dot"/>
            </w:tabs>
            <w:spacing w:line="275" w:lineRule="exact" w:before="0" w:after="0"/>
            <w:ind w:left="1386" w:right="0" w:hanging="667"/>
            <w:jc w:val="left"/>
          </w:pPr>
          <w:hyperlink w:history="true" w:anchor="_TOC_250011">
            <w:r>
              <w:rPr/>
              <w:t>Evaluación del efecto fungicida</w:t>
            </w:r>
            <w:r>
              <w:rPr>
                <w:spacing w:val="-1"/>
              </w:rPr>
              <w:t> </w:t>
            </w:r>
            <w:r>
              <w:rPr/>
              <w:t>de</w:t>
            </w:r>
            <w:r>
              <w:rPr>
                <w:spacing w:val="-1"/>
              </w:rPr>
              <w:t> </w:t>
            </w:r>
            <w:r>
              <w:rPr/>
              <w:t>metalaxil</w:t>
              <w:tab/>
              <w:t>20</w:t>
            </w:r>
          </w:hyperlink>
        </w:p>
        <w:p>
          <w:pPr>
            <w:pStyle w:val="TOC4"/>
            <w:numPr>
              <w:ilvl w:val="1"/>
              <w:numId w:val="4"/>
            </w:numPr>
            <w:tabs>
              <w:tab w:pos="947" w:val="left" w:leader="none"/>
              <w:tab w:pos="9067" w:val="right" w:leader="dot"/>
            </w:tabs>
            <w:spacing w:line="274" w:lineRule="exact" w:before="8" w:after="0"/>
            <w:ind w:left="479" w:right="270" w:firstLine="0"/>
            <w:jc w:val="left"/>
            <w:rPr>
              <w:b w:val="0"/>
              <w:i w:val="0"/>
              <w:sz w:val="24"/>
            </w:rPr>
          </w:pPr>
          <w:r>
            <w:rPr>
              <w:b w:val="0"/>
              <w:i w:val="0"/>
              <w:sz w:val="24"/>
            </w:rPr>
            <w:t>Valoración de la capacidad de aislamientos de </w:t>
          </w:r>
          <w:r>
            <w:rPr>
              <w:b w:val="0"/>
              <w:i/>
              <w:sz w:val="24"/>
            </w:rPr>
            <w:t>Phytophthora infestans </w:t>
          </w:r>
          <w:r>
            <w:rPr>
              <w:b w:val="0"/>
              <w:i w:val="0"/>
              <w:sz w:val="24"/>
            </w:rPr>
            <w:t>para producir oosporas</w:t>
            <w:tab/>
            <w:t>21</w:t>
          </w:r>
        </w:p>
        <w:p>
          <w:pPr>
            <w:pStyle w:val="TOC5"/>
            <w:numPr>
              <w:ilvl w:val="2"/>
              <w:numId w:val="4"/>
            </w:numPr>
            <w:tabs>
              <w:tab w:pos="1387" w:val="left" w:leader="none"/>
              <w:tab w:pos="9067" w:val="right" w:leader="dot"/>
            </w:tabs>
            <w:spacing w:line="275" w:lineRule="exact" w:before="231" w:after="0"/>
            <w:ind w:left="1386" w:right="0" w:hanging="667"/>
            <w:jc w:val="left"/>
          </w:pPr>
          <w:hyperlink w:history="true" w:anchor="_TOC_250010">
            <w:r>
              <w:rPr/>
              <w:t>Enfrentamientos para la producción de oosporas</w:t>
              <w:tab/>
              <w:t>21</w:t>
            </w:r>
          </w:hyperlink>
        </w:p>
        <w:p>
          <w:pPr>
            <w:pStyle w:val="TOC5"/>
            <w:numPr>
              <w:ilvl w:val="2"/>
              <w:numId w:val="4"/>
            </w:numPr>
            <w:tabs>
              <w:tab w:pos="1387" w:val="left" w:leader="none"/>
              <w:tab w:pos="9067" w:val="right" w:leader="dot"/>
            </w:tabs>
            <w:spacing w:line="275" w:lineRule="exact" w:before="0" w:after="0"/>
            <w:ind w:left="1386" w:right="0" w:hanging="667"/>
            <w:jc w:val="left"/>
          </w:pPr>
          <w:hyperlink w:history="true" w:anchor="_TOC_250009">
            <w:r>
              <w:rPr/>
              <w:t>Cuantificación de oosporas</w:t>
              <w:tab/>
              <w:t>23</w:t>
            </w:r>
          </w:hyperlink>
        </w:p>
        <w:p>
          <w:pPr>
            <w:pStyle w:val="TOC5"/>
            <w:numPr>
              <w:ilvl w:val="2"/>
              <w:numId w:val="4"/>
            </w:numPr>
            <w:tabs>
              <w:tab w:pos="1387" w:val="left" w:leader="none"/>
              <w:tab w:pos="9067" w:val="right" w:leader="dot"/>
            </w:tabs>
            <w:spacing w:line="275" w:lineRule="exact" w:before="2" w:after="0"/>
            <w:ind w:left="1386" w:right="0" w:hanging="667"/>
            <w:jc w:val="left"/>
          </w:pPr>
          <w:hyperlink w:history="true" w:anchor="_TOC_250008">
            <w:r>
              <w:rPr/>
              <w:t>Análisis estadístico</w:t>
              <w:tab/>
              <w:t>23</w:t>
            </w:r>
          </w:hyperlink>
        </w:p>
        <w:p>
          <w:pPr>
            <w:pStyle w:val="TOC2"/>
            <w:numPr>
              <w:ilvl w:val="1"/>
              <w:numId w:val="4"/>
            </w:numPr>
            <w:tabs>
              <w:tab w:pos="947" w:val="left" w:leader="none"/>
            </w:tabs>
            <w:spacing w:line="275" w:lineRule="exact" w:before="0" w:after="0"/>
            <w:ind w:left="946" w:right="0" w:hanging="467"/>
            <w:jc w:val="left"/>
          </w:pPr>
          <w:hyperlink w:history="true" w:anchor="_TOC_250007">
            <w:r>
              <w:rPr/>
              <w:t>Valoración  de la capacidad de los aislamientos homotálicos de</w:t>
            </w:r>
          </w:hyperlink>
        </w:p>
        <w:p>
          <w:pPr>
            <w:pStyle w:val="TOC4"/>
            <w:tabs>
              <w:tab w:pos="9067" w:val="right" w:leader="dot"/>
            </w:tabs>
            <w:spacing w:line="275" w:lineRule="exact"/>
            <w:rPr>
              <w:b w:val="0"/>
              <w:i w:val="0"/>
              <w:sz w:val="24"/>
            </w:rPr>
          </w:pPr>
          <w:r>
            <w:rPr>
              <w:b w:val="0"/>
              <w:i/>
              <w:sz w:val="24"/>
            </w:rPr>
            <w:t>Phytophthora infestans </w:t>
          </w:r>
          <w:r>
            <w:rPr>
              <w:b w:val="0"/>
              <w:i w:val="0"/>
              <w:sz w:val="24"/>
            </w:rPr>
            <w:t>para producir</w:t>
          </w:r>
          <w:r>
            <w:rPr>
              <w:b w:val="0"/>
              <w:i w:val="0"/>
              <w:spacing w:val="-1"/>
              <w:sz w:val="24"/>
            </w:rPr>
            <w:t> </w:t>
          </w:r>
          <w:r>
            <w:rPr>
              <w:b w:val="0"/>
              <w:i w:val="0"/>
              <w:sz w:val="24"/>
            </w:rPr>
            <w:t>progenie homotálica</w:t>
            <w:tab/>
            <w:t>23</w:t>
          </w:r>
        </w:p>
        <w:p>
          <w:pPr>
            <w:pStyle w:val="TOC5"/>
            <w:numPr>
              <w:ilvl w:val="2"/>
              <w:numId w:val="4"/>
            </w:numPr>
            <w:tabs>
              <w:tab w:pos="1387" w:val="left" w:leader="none"/>
              <w:tab w:pos="9067" w:val="right" w:leader="dot"/>
            </w:tabs>
            <w:spacing w:line="275" w:lineRule="exact" w:before="0" w:after="0"/>
            <w:ind w:left="1386" w:right="0" w:hanging="667"/>
            <w:jc w:val="left"/>
          </w:pPr>
          <w:hyperlink w:history="true" w:anchor="_TOC_250006">
            <w:r>
              <w:rPr/>
              <w:t>Producción de</w:t>
            </w:r>
            <w:r>
              <w:rPr>
                <w:spacing w:val="-1"/>
              </w:rPr>
              <w:t> </w:t>
            </w:r>
            <w:r>
              <w:rPr/>
              <w:t>progenie asexual</w:t>
              <w:tab/>
              <w:t>23</w:t>
            </w:r>
          </w:hyperlink>
        </w:p>
        <w:p>
          <w:pPr>
            <w:pStyle w:val="TOC5"/>
            <w:numPr>
              <w:ilvl w:val="2"/>
              <w:numId w:val="4"/>
            </w:numPr>
            <w:tabs>
              <w:tab w:pos="1387" w:val="left" w:leader="none"/>
              <w:tab w:pos="9067" w:val="right" w:leader="dot"/>
            </w:tabs>
            <w:spacing w:line="240" w:lineRule="auto" w:before="2" w:after="0"/>
            <w:ind w:left="1386" w:right="0" w:hanging="667"/>
            <w:jc w:val="left"/>
          </w:pPr>
          <w:hyperlink w:history="true" w:anchor="_TOC_250005">
            <w:r>
              <w:rPr/>
              <w:t>Determinación de tipo de apareamiento de la progenie</w:t>
              <w:tab/>
              <w:t>24</w:t>
            </w:r>
          </w:hyperlink>
        </w:p>
        <w:p>
          <w:pPr>
            <w:pStyle w:val="TOC1"/>
            <w:numPr>
              <w:ilvl w:val="0"/>
              <w:numId w:val="1"/>
            </w:numPr>
            <w:tabs>
              <w:tab w:pos="666" w:val="left" w:leader="none"/>
              <w:tab w:pos="9067" w:val="right" w:leader="dot"/>
            </w:tabs>
            <w:spacing w:line="240" w:lineRule="auto" w:before="117" w:after="0"/>
            <w:ind w:left="665" w:right="0" w:hanging="426"/>
            <w:jc w:val="left"/>
          </w:pPr>
          <w:hyperlink w:history="true" w:anchor="_TOC_250004">
            <w:r>
              <w:rPr/>
              <w:t>RESULTADOS</w:t>
              <w:tab/>
              <w:t>26</w:t>
            </w:r>
          </w:hyperlink>
        </w:p>
        <w:p>
          <w:pPr>
            <w:pStyle w:val="TOC4"/>
            <w:tabs>
              <w:tab w:pos="9067" w:val="right" w:leader="dot"/>
            </w:tabs>
            <w:ind w:right="270"/>
            <w:rPr>
              <w:b w:val="0"/>
              <w:i w:val="0"/>
              <w:sz w:val="24"/>
            </w:rPr>
          </w:pPr>
          <w:r>
            <w:rPr>
              <w:b w:val="0"/>
              <w:i w:val="0"/>
              <w:sz w:val="24"/>
            </w:rPr>
            <w:t>Capítulo I. Análisis del costo de remoción de fungicidas utilizados en el control del tizón tardío (</w:t>
          </w:r>
          <w:r>
            <w:rPr>
              <w:b w:val="0"/>
              <w:i/>
              <w:sz w:val="24"/>
            </w:rPr>
            <w:t>Phytophthora infestans</w:t>
          </w:r>
          <w:r>
            <w:rPr>
              <w:b w:val="0"/>
              <w:i w:val="0"/>
              <w:sz w:val="24"/>
            </w:rPr>
            <w:t>) del cultivo de papa (</w:t>
          </w:r>
          <w:r>
            <w:rPr>
              <w:b w:val="0"/>
              <w:i/>
              <w:sz w:val="24"/>
            </w:rPr>
            <w:t>Solanum </w:t>
          </w:r>
          <w:r>
            <w:rPr>
              <w:b w:val="0"/>
              <w:sz w:val="24"/>
            </w:rPr>
            <w:t>tuberosum</w:t>
          </w:r>
          <w:r>
            <w:rPr>
              <w:b w:val="0"/>
              <w:i w:val="0"/>
              <w:sz w:val="24"/>
            </w:rPr>
            <w:t>).</w:t>
            <w:tab/>
            <w:t>26</w:t>
          </w:r>
        </w:p>
        <w:p>
          <w:pPr>
            <w:pStyle w:val="TOC4"/>
            <w:tabs>
              <w:tab w:pos="9067" w:val="right" w:leader="dot"/>
            </w:tabs>
            <w:spacing w:before="0"/>
            <w:ind w:right="270"/>
            <w:rPr>
              <w:b w:val="0"/>
              <w:i w:val="0"/>
              <w:sz w:val="24"/>
            </w:rPr>
          </w:pPr>
          <w:r>
            <w:rPr>
              <w:b w:val="0"/>
              <w:i w:val="0"/>
              <w:sz w:val="24"/>
            </w:rPr>
            <w:t>Capítulo 2. First Report of Homothallic Isolates of </w:t>
          </w:r>
          <w:r>
            <w:rPr>
              <w:b w:val="0"/>
              <w:i/>
              <w:sz w:val="24"/>
            </w:rPr>
            <w:t>Phytophthora infestans </w:t>
          </w:r>
          <w:r>
            <w:rPr>
              <w:b w:val="0"/>
              <w:i w:val="0"/>
              <w:sz w:val="24"/>
            </w:rPr>
            <w:t>in Commercial Potato Crops (</w:t>
          </w:r>
          <w:r>
            <w:rPr>
              <w:b w:val="0"/>
              <w:i/>
              <w:sz w:val="24"/>
            </w:rPr>
            <w:t>Solanum tuberosum</w:t>
          </w:r>
          <w:r>
            <w:rPr>
              <w:b w:val="0"/>
              <w:i w:val="0"/>
              <w:sz w:val="24"/>
            </w:rPr>
            <w:t>) in the Toluca Valley, Mexico. 34 Capítulo 3. Presencia de aislamientos homotálicos de </w:t>
          </w:r>
          <w:r>
            <w:rPr>
              <w:b w:val="0"/>
              <w:i/>
              <w:sz w:val="24"/>
            </w:rPr>
            <w:t>Phytophthora infestans </w:t>
          </w:r>
          <w:r>
            <w:rPr>
              <w:b w:val="0"/>
              <w:i w:val="0"/>
              <w:sz w:val="24"/>
            </w:rPr>
            <w:t>en cultivos de papa (</w:t>
          </w:r>
          <w:r>
            <w:rPr>
              <w:b w:val="0"/>
              <w:i/>
              <w:sz w:val="24"/>
            </w:rPr>
            <w:t>Solanum tuberosum </w:t>
          </w:r>
          <w:r>
            <w:rPr>
              <w:b w:val="0"/>
              <w:i w:val="0"/>
              <w:sz w:val="24"/>
            </w:rPr>
            <w:t>L.) tratados con metalaxil en el Valle Toluca, México</w:t>
            <w:tab/>
            <w:t>36</w:t>
          </w:r>
        </w:p>
        <w:p>
          <w:pPr>
            <w:pStyle w:val="TOC2"/>
            <w:tabs>
              <w:tab w:pos="9067" w:val="right" w:leader="dot"/>
            </w:tabs>
            <w:spacing w:before="2"/>
            <w:ind w:left="479" w:firstLine="0"/>
          </w:pPr>
          <w:hyperlink w:history="true" w:anchor="_TOC_250003">
            <w:r>
              <w:rPr/>
              <w:t>Capítulo 4. Otros resultados sin publicar.</w:t>
              <w:tab/>
              <w:t>44</w:t>
            </w:r>
          </w:hyperlink>
        </w:p>
        <w:p>
          <w:pPr>
            <w:pStyle w:val="TOC5"/>
            <w:numPr>
              <w:ilvl w:val="1"/>
              <w:numId w:val="6"/>
            </w:numPr>
            <w:tabs>
              <w:tab w:pos="1187" w:val="left" w:leader="none"/>
              <w:tab w:pos="9067" w:val="right" w:leader="dot"/>
            </w:tabs>
            <w:spacing w:line="240" w:lineRule="auto" w:before="0" w:after="0"/>
            <w:ind w:left="719" w:right="270" w:firstLine="0"/>
            <w:jc w:val="left"/>
          </w:pPr>
          <w:r>
            <w:rPr/>
            <w:t>Aislamientos homotálicos de </w:t>
          </w:r>
          <w:r>
            <w:rPr>
              <w:i/>
            </w:rPr>
            <w:t>Phytophthora infestans </w:t>
          </w:r>
          <w:r>
            <w:rPr/>
            <w:t>presentan capacidad de producir progenie homotálica y oosporas. (Artículo listo para ser enviado a la revista ITEA-Información Técnica</w:t>
          </w:r>
          <w:r>
            <w:rPr>
              <w:spacing w:val="-1"/>
            </w:rPr>
            <w:t> </w:t>
          </w:r>
          <w:r>
            <w:rPr/>
            <w:t>Económica Agraria).</w:t>
            <w:tab/>
            <w:t>44</w:t>
          </w:r>
        </w:p>
        <w:p>
          <w:pPr>
            <w:pStyle w:val="TOC5"/>
            <w:numPr>
              <w:ilvl w:val="1"/>
              <w:numId w:val="6"/>
            </w:numPr>
            <w:tabs>
              <w:tab w:pos="1187" w:val="left" w:leader="none"/>
            </w:tabs>
            <w:spacing w:line="275" w:lineRule="exact" w:before="2" w:after="0"/>
            <w:ind w:left="1186" w:right="0" w:hanging="467"/>
            <w:jc w:val="left"/>
          </w:pPr>
          <w:r>
            <w:rPr/>
            <w:t>Evaluación del efecto fungistático del metalaxil sobre los aislamientos de</w:t>
          </w:r>
        </w:p>
        <w:p>
          <w:pPr>
            <w:pStyle w:val="TOC6"/>
            <w:tabs>
              <w:tab w:pos="9067" w:val="right" w:leader="dot"/>
            </w:tabs>
            <w:rPr>
              <w:i w:val="0"/>
            </w:rPr>
          </w:pPr>
          <w:r>
            <w:rPr>
              <w:i/>
            </w:rPr>
            <w:t>Phytophthora infestans</w:t>
          </w:r>
          <w:r>
            <w:rPr>
              <w:i w:val="0"/>
            </w:rPr>
            <w:tab/>
            <w:t>61</w:t>
          </w:r>
        </w:p>
        <w:p>
          <w:pPr>
            <w:pStyle w:val="TOC1"/>
            <w:numPr>
              <w:ilvl w:val="0"/>
              <w:numId w:val="1"/>
            </w:numPr>
            <w:tabs>
              <w:tab w:pos="733" w:val="left" w:leader="none"/>
              <w:tab w:pos="9067" w:val="right" w:leader="dot"/>
            </w:tabs>
            <w:spacing w:line="240" w:lineRule="auto" w:before="122" w:after="0"/>
            <w:ind w:left="732" w:right="0" w:hanging="493"/>
            <w:jc w:val="left"/>
          </w:pPr>
          <w:hyperlink w:history="true" w:anchor="_TOC_250002">
            <w:r>
              <w:rPr/>
              <w:t>DISCUSIÓN GENERAL</w:t>
              <w:tab/>
              <w:t>62</w:t>
            </w:r>
          </w:hyperlink>
        </w:p>
        <w:p>
          <w:pPr>
            <w:pStyle w:val="TOC1"/>
            <w:numPr>
              <w:ilvl w:val="0"/>
              <w:numId w:val="1"/>
            </w:numPr>
            <w:tabs>
              <w:tab w:pos="600" w:val="left" w:leader="none"/>
              <w:tab w:pos="9067" w:val="right" w:leader="dot"/>
            </w:tabs>
            <w:spacing w:line="240" w:lineRule="auto" w:before="117" w:after="0"/>
            <w:ind w:left="599" w:right="0" w:hanging="360"/>
            <w:jc w:val="left"/>
          </w:pPr>
          <w:hyperlink w:history="true" w:anchor="_TOC_250001">
            <w:r>
              <w:rPr/>
              <w:t>CONCLUSIONES GENERALES</w:t>
              <w:tab/>
              <w:t>68</w:t>
            </w:r>
          </w:hyperlink>
        </w:p>
        <w:p>
          <w:pPr>
            <w:pStyle w:val="TOC1"/>
            <w:numPr>
              <w:ilvl w:val="0"/>
              <w:numId w:val="1"/>
            </w:numPr>
            <w:tabs>
              <w:tab w:pos="533" w:val="left" w:leader="none"/>
              <w:tab w:pos="9067" w:val="right" w:leader="dot"/>
            </w:tabs>
            <w:spacing w:line="240" w:lineRule="auto" w:before="122" w:after="0"/>
            <w:ind w:left="532" w:right="0" w:hanging="293"/>
            <w:jc w:val="left"/>
          </w:pPr>
          <w:hyperlink w:history="true" w:anchor="_TOC_250000">
            <w:r>
              <w:rPr/>
              <w:t>REFERENCIAS</w:t>
              <w:tab/>
              <w:t>70</w:t>
            </w:r>
          </w:hyperlink>
        </w:p>
        <w:p>
          <w:pPr>
            <w:pStyle w:val="TOC1"/>
            <w:numPr>
              <w:ilvl w:val="0"/>
              <w:numId w:val="1"/>
            </w:numPr>
            <w:tabs>
              <w:tab w:pos="600" w:val="left" w:leader="none"/>
              <w:tab w:pos="9067" w:val="right" w:leader="dot"/>
            </w:tabs>
            <w:spacing w:line="240" w:lineRule="auto" w:before="117" w:after="0"/>
            <w:ind w:left="599" w:right="0" w:hanging="360"/>
            <w:jc w:val="left"/>
          </w:pPr>
          <w:r>
            <w:rPr/>
            <w:t>ANEXOS</w:t>
            <w:tab/>
            <w:t>78</w:t>
          </w:r>
        </w:p>
      </w:sdtContent>
    </w:sdt>
    <w:p>
      <w:pPr>
        <w:spacing w:after="0" w:line="240" w:lineRule="auto"/>
        <w:jc w:val="left"/>
        <w:sectPr>
          <w:type w:val="continuous"/>
          <w:pgSz w:w="12240" w:h="15840"/>
          <w:pgMar w:top="1275" w:bottom="1500" w:left="1460" w:right="1440"/>
        </w:sectPr>
      </w:pPr>
    </w:p>
    <w:p>
      <w:pPr>
        <w:pStyle w:val="BodyText"/>
        <w:rPr>
          <w:sz w:val="32"/>
        </w:rPr>
      </w:pPr>
    </w:p>
    <w:p>
      <w:pPr>
        <w:pStyle w:val="BodyText"/>
        <w:rPr>
          <w:sz w:val="32"/>
        </w:rPr>
      </w:pPr>
    </w:p>
    <w:p>
      <w:pPr>
        <w:pStyle w:val="BodyText"/>
        <w:spacing w:before="7"/>
        <w:rPr>
          <w:sz w:val="47"/>
        </w:rPr>
      </w:pPr>
    </w:p>
    <w:p>
      <w:pPr>
        <w:pStyle w:val="Heading1"/>
        <w:spacing w:before="0"/>
        <w:ind w:left="2995"/>
      </w:pPr>
      <w:bookmarkStart w:name="_TOC_250038" w:id="4"/>
      <w:bookmarkEnd w:id="4"/>
      <w:r>
        <w:rPr/>
        <w:t>ÍNDICE  DE CUADROS</w:t>
      </w:r>
    </w:p>
    <w:p>
      <w:pPr>
        <w:pStyle w:val="BodyText"/>
        <w:spacing w:before="4"/>
        <w:rPr>
          <w:b/>
          <w:sz w:val="18"/>
        </w:rPr>
      </w:pPr>
    </w:p>
    <w:p>
      <w:pPr>
        <w:tabs>
          <w:tab w:pos="1818" w:val="left" w:leader="none"/>
          <w:tab w:pos="2880" w:val="left" w:leader="none"/>
          <w:tab w:pos="3449" w:val="left" w:leader="none"/>
          <w:tab w:pos="5084" w:val="left" w:leader="none"/>
          <w:tab w:pos="5653" w:val="left" w:leader="none"/>
          <w:tab w:pos="8638" w:val="right" w:leader="none"/>
        </w:tabs>
        <w:spacing w:before="69"/>
        <w:ind w:left="239" w:right="0" w:firstLine="0"/>
        <w:jc w:val="left"/>
        <w:rPr>
          <w:sz w:val="24"/>
        </w:rPr>
      </w:pPr>
      <w:r>
        <w:rPr>
          <w:sz w:val="24"/>
        </w:rPr>
        <w:t>Cuadro 1.</w:t>
        <w:tab/>
        <w:t>Código</w:t>
        <w:tab/>
        <w:t>de</w:t>
        <w:tab/>
        <w:t>aislamientos</w:t>
        <w:tab/>
        <w:t>de</w:t>
        <w:tab/>
      </w:r>
      <w:r>
        <w:rPr>
          <w:i/>
          <w:sz w:val="24"/>
        </w:rPr>
        <w:t>Phytophthora</w:t>
      </w:r>
      <w:r>
        <w:rPr>
          <w:sz w:val="24"/>
        </w:rPr>
        <w:tab/>
        <w:t>17</w:t>
      </w:r>
    </w:p>
    <w:p>
      <w:pPr>
        <w:spacing w:line="480" w:lineRule="auto" w:before="276"/>
        <w:ind w:left="1818" w:right="2173" w:firstLine="0"/>
        <w:jc w:val="left"/>
        <w:rPr>
          <w:sz w:val="24"/>
        </w:rPr>
      </w:pPr>
      <w:r>
        <w:rPr>
          <w:i/>
          <w:sz w:val="24"/>
        </w:rPr>
        <w:t>infestans </w:t>
      </w:r>
      <w:r>
        <w:rPr>
          <w:sz w:val="24"/>
        </w:rPr>
        <w:t>obtenidos de </w:t>
      </w:r>
      <w:r>
        <w:rPr>
          <w:i/>
          <w:sz w:val="24"/>
        </w:rPr>
        <w:t>Solanum tuberosum </w:t>
      </w:r>
      <w:r>
        <w:rPr>
          <w:sz w:val="24"/>
        </w:rPr>
        <w:t>en distintas localidades y años.</w:t>
      </w:r>
    </w:p>
    <w:p>
      <w:pPr>
        <w:pStyle w:val="BodyText"/>
        <w:tabs>
          <w:tab w:pos="1818" w:val="left" w:leader="none"/>
          <w:tab w:pos="2860" w:val="left" w:leader="none"/>
          <w:tab w:pos="3261" w:val="left" w:leader="none"/>
          <w:tab w:pos="3929" w:val="left" w:leader="none"/>
          <w:tab w:pos="4477" w:val="left" w:leader="none"/>
          <w:tab w:pos="6226" w:val="left" w:leader="none"/>
          <w:tab w:pos="6774" w:val="left" w:leader="none"/>
          <w:tab w:pos="8638" w:val="right" w:leader="none"/>
        </w:tabs>
        <w:spacing w:before="8"/>
        <w:ind w:left="239"/>
      </w:pPr>
      <w:r>
        <w:rPr/>
        <w:t>Cuadro 2.</w:t>
        <w:tab/>
      </w:r>
      <w:r>
        <w:rPr>
          <w:color w:val="141413"/>
        </w:rPr>
        <w:t>Código</w:t>
        <w:tab/>
        <w:t>y</w:t>
        <w:tab/>
        <w:t>tipo</w:t>
        <w:tab/>
        <w:t>de</w:t>
        <w:tab/>
        <w:t>apareamiento</w:t>
        <w:tab/>
        <w:t>de</w:t>
        <w:tab/>
        <w:t>los</w:t>
      </w:r>
      <w:r>
        <w:rPr/>
        <w:tab/>
        <w:t>22</w:t>
      </w:r>
    </w:p>
    <w:p>
      <w:pPr>
        <w:spacing w:before="276"/>
        <w:ind w:left="1818" w:right="0" w:firstLine="0"/>
        <w:jc w:val="left"/>
        <w:rPr>
          <w:sz w:val="24"/>
        </w:rPr>
      </w:pPr>
      <w:r>
        <w:rPr>
          <w:color w:val="141413"/>
          <w:sz w:val="24"/>
        </w:rPr>
        <w:t>aislamientos de </w:t>
      </w:r>
      <w:r>
        <w:rPr>
          <w:i/>
          <w:color w:val="141413"/>
          <w:sz w:val="24"/>
        </w:rPr>
        <w:t>Phytophthora infestans</w:t>
      </w:r>
      <w:r>
        <w:rPr>
          <w:color w:val="141413"/>
          <w:sz w:val="24"/>
        </w:rPr>
        <w:t>.</w:t>
      </w:r>
    </w:p>
    <w:p>
      <w:pPr>
        <w:pStyle w:val="BodyText"/>
        <w:tabs>
          <w:tab w:pos="1818" w:val="left" w:leader="none"/>
          <w:tab w:pos="8638" w:val="right" w:leader="none"/>
        </w:tabs>
        <w:spacing w:before="276"/>
        <w:ind w:left="239"/>
      </w:pPr>
      <w:r>
        <w:rPr/>
        <w:t>Cuadro</w:t>
      </w:r>
      <w:r>
        <w:rPr>
          <w:spacing w:val="-1"/>
        </w:rPr>
        <w:t> </w:t>
      </w:r>
      <w:r>
        <w:rPr/>
        <w:t>3.</w:t>
        <w:tab/>
        <w:t>Propiedades  de  los  fungicidas  utilizados </w:t>
      </w:r>
      <w:r>
        <w:rPr>
          <w:spacing w:val="5"/>
        </w:rPr>
        <w:t> </w:t>
      </w:r>
      <w:r>
        <w:rPr/>
        <w:t>en </w:t>
      </w:r>
      <w:r>
        <w:rPr>
          <w:spacing w:val="1"/>
        </w:rPr>
        <w:t> </w:t>
      </w:r>
      <w:r>
        <w:rPr/>
        <w:t>el</w:t>
        <w:tab/>
        <w:t>30</w:t>
      </w:r>
    </w:p>
    <w:p>
      <w:pPr>
        <w:pStyle w:val="BodyText"/>
        <w:spacing w:before="276"/>
        <w:ind w:left="1818"/>
      </w:pPr>
      <w:r>
        <w:rPr/>
        <w:t>cultivo de papa.</w:t>
      </w:r>
    </w:p>
    <w:p>
      <w:pPr>
        <w:pStyle w:val="BodyText"/>
        <w:tabs>
          <w:tab w:pos="1818" w:val="left" w:leader="none"/>
          <w:tab w:pos="3466" w:val="left" w:leader="none"/>
          <w:tab w:pos="4033" w:val="left" w:leader="none"/>
          <w:tab w:pos="5200" w:val="left" w:leader="none"/>
          <w:tab w:pos="5687" w:val="left" w:leader="none"/>
          <w:tab w:pos="6814" w:val="left" w:leader="none"/>
          <w:tab w:pos="8638" w:val="right" w:leader="none"/>
        </w:tabs>
        <w:spacing w:before="276"/>
        <w:ind w:left="239"/>
      </w:pPr>
      <w:r>
        <w:rPr/>
        <w:t>Cuadro</w:t>
      </w:r>
      <w:r>
        <w:rPr>
          <w:spacing w:val="-1"/>
        </w:rPr>
        <w:t> </w:t>
      </w:r>
      <w:r>
        <w:rPr/>
        <w:t>4.</w:t>
        <w:tab/>
        <w:t>Rendimiento</w:t>
        <w:tab/>
        <w:t>de</w:t>
        <w:tab/>
        <w:t>acuerdo</w:t>
        <w:tab/>
        <w:t>al</w:t>
        <w:tab/>
        <w:t>sistema</w:t>
        <w:tab/>
        <w:t>de</w:t>
        <w:tab/>
        <w:t>31</w:t>
      </w:r>
    </w:p>
    <w:p>
      <w:pPr>
        <w:pStyle w:val="BodyText"/>
        <w:spacing w:before="276"/>
        <w:ind w:left="63" w:right="507"/>
        <w:jc w:val="center"/>
      </w:pPr>
      <w:r>
        <w:rPr/>
        <w:t>producción y nivel de dosis de fungicida utilizada.</w:t>
      </w:r>
    </w:p>
    <w:p>
      <w:pPr>
        <w:pStyle w:val="BodyText"/>
        <w:tabs>
          <w:tab w:pos="1818" w:val="left" w:leader="none"/>
          <w:tab w:pos="8638" w:val="right" w:leader="none"/>
        </w:tabs>
        <w:spacing w:before="276"/>
        <w:ind w:left="239"/>
      </w:pPr>
      <w:r>
        <w:rPr/>
        <w:t>Tabla</w:t>
      </w:r>
      <w:r>
        <w:rPr>
          <w:spacing w:val="-1"/>
        </w:rPr>
        <w:t> </w:t>
      </w:r>
      <w:r>
        <w:rPr/>
        <w:t>5.</w:t>
        <w:tab/>
        <w:t>Porcentaje de crecimiento relativo </w:t>
      </w:r>
      <w:r>
        <w:rPr>
          <w:i/>
        </w:rPr>
        <w:t>in vitro  </w:t>
      </w:r>
      <w:r>
        <w:rPr>
          <w:i/>
          <w:spacing w:val="4"/>
        </w:rPr>
        <w:t> </w:t>
      </w:r>
      <w:r>
        <w:rPr/>
        <w:t>de</w:t>
      </w:r>
      <w:r>
        <w:rPr>
          <w:spacing w:val="22"/>
        </w:rPr>
        <w:t> </w:t>
      </w:r>
      <w:r>
        <w:rPr/>
        <w:t>los</w:t>
        <w:tab/>
        <w:t>41</w:t>
      </w:r>
    </w:p>
    <w:p>
      <w:pPr>
        <w:spacing w:line="480" w:lineRule="auto" w:before="276"/>
        <w:ind w:left="1818" w:right="2173" w:firstLine="0"/>
        <w:jc w:val="left"/>
        <w:rPr>
          <w:sz w:val="24"/>
        </w:rPr>
      </w:pPr>
      <w:r>
        <w:rPr>
          <w:sz w:val="24"/>
        </w:rPr>
        <w:t>aislados de </w:t>
      </w:r>
      <w:r>
        <w:rPr>
          <w:i/>
          <w:sz w:val="24"/>
        </w:rPr>
        <w:t>Phytophthora infestans </w:t>
      </w:r>
      <w:r>
        <w:rPr>
          <w:sz w:val="24"/>
        </w:rPr>
        <w:t>recuperados de tejidos de </w:t>
      </w:r>
      <w:r>
        <w:rPr>
          <w:i/>
          <w:sz w:val="24"/>
        </w:rPr>
        <w:t>Solanum tuberosum </w:t>
      </w:r>
      <w:r>
        <w:rPr>
          <w:sz w:val="24"/>
        </w:rPr>
        <w:t>infectados.</w:t>
      </w:r>
    </w:p>
    <w:p>
      <w:pPr>
        <w:pStyle w:val="BodyText"/>
        <w:tabs>
          <w:tab w:pos="1818" w:val="left" w:leader="none"/>
          <w:tab w:pos="2860" w:val="left" w:leader="none"/>
          <w:tab w:pos="3261" w:val="left" w:leader="none"/>
          <w:tab w:pos="3929" w:val="left" w:leader="none"/>
          <w:tab w:pos="4477" w:val="left" w:leader="none"/>
          <w:tab w:pos="6226" w:val="left" w:leader="none"/>
          <w:tab w:pos="6774" w:val="left" w:leader="none"/>
          <w:tab w:pos="8638" w:val="right" w:leader="none"/>
        </w:tabs>
        <w:spacing w:before="8"/>
        <w:ind w:left="239"/>
      </w:pPr>
      <w:r>
        <w:rPr/>
        <w:t>Tabla</w:t>
      </w:r>
      <w:r>
        <w:rPr>
          <w:spacing w:val="-1"/>
        </w:rPr>
        <w:t> </w:t>
      </w:r>
      <w:r>
        <w:rPr/>
        <w:t>6.</w:t>
        <w:tab/>
        <w:t>Código</w:t>
        <w:tab/>
        <w:t>y</w:t>
        <w:tab/>
        <w:t>tipo</w:t>
        <w:tab/>
        <w:t>de</w:t>
        <w:tab/>
        <w:t>apareamiento</w:t>
        <w:tab/>
        <w:t>de</w:t>
        <w:tab/>
        <w:t>los</w:t>
        <w:tab/>
        <w:t>58</w:t>
      </w:r>
    </w:p>
    <w:p>
      <w:pPr>
        <w:pStyle w:val="BodyText"/>
        <w:spacing w:before="276"/>
        <w:ind w:left="1818"/>
      </w:pPr>
      <w:r>
        <w:rPr/>
        <w:t>aislamientos utilizados en el estudio.</w:t>
      </w:r>
    </w:p>
    <w:p>
      <w:pPr>
        <w:pStyle w:val="BodyText"/>
        <w:tabs>
          <w:tab w:pos="1818" w:val="left" w:leader="none"/>
          <w:tab w:pos="8638" w:val="right" w:leader="none"/>
        </w:tabs>
        <w:spacing w:before="276"/>
        <w:ind w:left="239"/>
      </w:pPr>
      <w:r>
        <w:rPr/>
        <w:t>Tabla</w:t>
      </w:r>
      <w:r>
        <w:rPr>
          <w:spacing w:val="-2"/>
        </w:rPr>
        <w:t> </w:t>
      </w:r>
      <w:r>
        <w:rPr/>
        <w:t>7.</w:t>
        <w:tab/>
        <w:t>Tipo  de  apareamiento  de  la  progenie   </w:t>
      </w:r>
      <w:r>
        <w:rPr>
          <w:spacing w:val="4"/>
        </w:rPr>
        <w:t> </w:t>
      </w:r>
      <w:r>
        <w:rPr/>
        <w:t>de </w:t>
      </w:r>
      <w:r>
        <w:rPr>
          <w:spacing w:val="23"/>
        </w:rPr>
        <w:t> </w:t>
      </w:r>
      <w:r>
        <w:rPr/>
        <w:t>los</w:t>
        <w:tab/>
        <w:t>59</w:t>
      </w:r>
    </w:p>
    <w:p>
      <w:pPr>
        <w:pStyle w:val="BodyText"/>
        <w:spacing w:line="480" w:lineRule="auto" w:before="276"/>
        <w:ind w:left="1818" w:right="2173"/>
      </w:pPr>
      <w:r>
        <w:rPr/>
        <w:t>aislamientos homotálicos a partir de zoosporas individuales.</w:t>
      </w:r>
    </w:p>
    <w:p>
      <w:pPr>
        <w:pStyle w:val="BodyText"/>
        <w:tabs>
          <w:tab w:pos="1818" w:val="left" w:leader="none"/>
          <w:tab w:pos="3039" w:val="left" w:leader="none"/>
          <w:tab w:pos="3566" w:val="left" w:leader="none"/>
          <w:tab w:pos="4813" w:val="left" w:leader="none"/>
          <w:tab w:pos="6247" w:val="left" w:leader="none"/>
          <w:tab w:pos="6774" w:val="left" w:leader="none"/>
          <w:tab w:pos="8638" w:val="right" w:leader="none"/>
        </w:tabs>
        <w:spacing w:before="8"/>
        <w:ind w:left="239"/>
      </w:pPr>
      <w:r>
        <w:rPr/>
        <w:t>Tabla</w:t>
      </w:r>
      <w:r>
        <w:rPr>
          <w:spacing w:val="-2"/>
        </w:rPr>
        <w:t> </w:t>
      </w:r>
      <w:r>
        <w:rPr/>
        <w:t>8.</w:t>
        <w:tab/>
        <w:t>Cantidad</w:t>
        <w:tab/>
        <w:t>de</w:t>
        <w:tab/>
        <w:t>oosporas</w:t>
        <w:tab/>
        <w:t>producidas</w:t>
        <w:tab/>
        <w:t>en</w:t>
        <w:tab/>
        <w:t>los</w:t>
        <w:tab/>
        <w:t>60</w:t>
      </w:r>
    </w:p>
    <w:p>
      <w:pPr>
        <w:pStyle w:val="BodyText"/>
        <w:spacing w:line="480" w:lineRule="auto" w:before="276"/>
        <w:ind w:left="1818" w:right="2173"/>
      </w:pPr>
      <w:r>
        <w:rPr/>
        <w:t>cruzamientos entre los aislamientos estudiados y aislados heterotálicos, y por autofertilización.</w:t>
      </w:r>
    </w:p>
    <w:p>
      <w:pPr>
        <w:spacing w:after="0" w:line="480" w:lineRule="auto"/>
        <w:sectPr>
          <w:pgSz w:w="12240" w:h="15840"/>
          <w:pgMar w:header="719" w:footer="740" w:top="1260" w:bottom="920" w:left="1460" w:right="1440"/>
        </w:sectPr>
      </w:pPr>
    </w:p>
    <w:p>
      <w:pPr>
        <w:pStyle w:val="BodyText"/>
        <w:rPr>
          <w:sz w:val="32"/>
        </w:rPr>
      </w:pPr>
    </w:p>
    <w:p>
      <w:pPr>
        <w:pStyle w:val="BodyText"/>
        <w:rPr>
          <w:sz w:val="32"/>
        </w:rPr>
      </w:pPr>
    </w:p>
    <w:p>
      <w:pPr>
        <w:pStyle w:val="BodyText"/>
        <w:spacing w:before="7"/>
        <w:rPr>
          <w:sz w:val="47"/>
        </w:rPr>
      </w:pPr>
    </w:p>
    <w:p>
      <w:pPr>
        <w:pStyle w:val="Heading1"/>
        <w:spacing w:before="0"/>
        <w:ind w:left="3084"/>
      </w:pPr>
      <w:bookmarkStart w:name="_TOC_250037" w:id="5"/>
      <w:bookmarkEnd w:id="5"/>
      <w:r>
        <w:rPr/>
        <w:t>ÍNDICE  DE FIGURAS</w:t>
      </w:r>
    </w:p>
    <w:p>
      <w:pPr>
        <w:tabs>
          <w:tab w:pos="1957" w:val="left" w:leader="none"/>
          <w:tab w:pos="8506" w:val="left" w:leader="none"/>
        </w:tabs>
        <w:spacing w:before="280"/>
        <w:ind w:left="239" w:right="0" w:firstLine="0"/>
        <w:jc w:val="left"/>
        <w:rPr>
          <w:sz w:val="24"/>
        </w:rPr>
      </w:pPr>
      <w:r>
        <w:rPr>
          <w:sz w:val="24"/>
        </w:rPr>
        <w:t>Figura 1.</w:t>
        <w:tab/>
        <w:t>Oosporas de</w:t>
      </w:r>
      <w:r>
        <w:rPr>
          <w:spacing w:val="-2"/>
          <w:sz w:val="24"/>
        </w:rPr>
        <w:t> </w:t>
      </w:r>
      <w:r>
        <w:rPr>
          <w:i/>
          <w:sz w:val="24"/>
        </w:rPr>
        <w:t>Phytophthora</w:t>
      </w:r>
      <w:r>
        <w:rPr>
          <w:i/>
          <w:spacing w:val="-1"/>
          <w:sz w:val="24"/>
        </w:rPr>
        <w:t> </w:t>
      </w:r>
      <w:r>
        <w:rPr>
          <w:i/>
          <w:sz w:val="24"/>
        </w:rPr>
        <w:t>infestans</w:t>
      </w:r>
      <w:r>
        <w:rPr>
          <w:sz w:val="24"/>
        </w:rPr>
        <w:t>.</w:t>
        <w:tab/>
        <w:t>6</w:t>
      </w:r>
    </w:p>
    <w:p>
      <w:pPr>
        <w:pStyle w:val="BodyText"/>
      </w:pPr>
    </w:p>
    <w:p>
      <w:pPr>
        <w:pStyle w:val="BodyText"/>
        <w:tabs>
          <w:tab w:pos="1957" w:val="left" w:leader="none"/>
          <w:tab w:pos="8506" w:val="left" w:leader="none"/>
        </w:tabs>
        <w:ind w:left="239"/>
      </w:pPr>
      <w:r>
        <w:rPr/>
        <w:t>Figura 2.</w:t>
        <w:tab/>
        <w:t>Estructura química del metalaxil.</w:t>
        <w:tab/>
        <w:t>8</w:t>
      </w:r>
    </w:p>
    <w:p>
      <w:pPr>
        <w:pStyle w:val="BodyText"/>
        <w:spacing w:before="11"/>
        <w:rPr>
          <w:sz w:val="17"/>
        </w:rPr>
      </w:pPr>
    </w:p>
    <w:p>
      <w:pPr>
        <w:pStyle w:val="BodyText"/>
        <w:tabs>
          <w:tab w:pos="1957" w:val="left" w:leader="none"/>
          <w:tab w:pos="8640" w:val="right" w:leader="none"/>
        </w:tabs>
        <w:spacing w:before="69"/>
        <w:ind w:left="239"/>
      </w:pPr>
      <w:r>
        <w:rPr/>
        <w:t>Figura 3.</w:t>
        <w:tab/>
        <w:t>Localización de los predios de  </w:t>
      </w:r>
      <w:r>
        <w:rPr>
          <w:spacing w:val="45"/>
        </w:rPr>
        <w:t> </w:t>
      </w:r>
      <w:r>
        <w:rPr/>
        <w:t>papa</w:t>
      </w:r>
      <w:r>
        <w:rPr>
          <w:spacing w:val="35"/>
        </w:rPr>
        <w:t> </w:t>
      </w:r>
      <w:r>
        <w:rPr/>
        <w:t>estudiados</w:t>
        <w:tab/>
        <w:t>14</w:t>
      </w:r>
    </w:p>
    <w:p>
      <w:pPr>
        <w:pStyle w:val="BodyText"/>
        <w:spacing w:before="276"/>
        <w:ind w:left="1957"/>
      </w:pPr>
      <w:r>
        <w:rPr/>
        <w:t>(Zinacantepec, Estado de México. México).</w:t>
      </w:r>
    </w:p>
    <w:p>
      <w:pPr>
        <w:pStyle w:val="BodyText"/>
        <w:tabs>
          <w:tab w:pos="1957" w:val="left" w:leader="none"/>
          <w:tab w:pos="8640" w:val="right" w:leader="none"/>
        </w:tabs>
        <w:spacing w:before="276"/>
        <w:ind w:left="239"/>
      </w:pPr>
      <w:r>
        <w:rPr/>
        <w:t>Figura 4.</w:t>
        <w:tab/>
        <w:t>Excedentes de fungicidas aplicados</w:t>
      </w:r>
      <w:r>
        <w:rPr>
          <w:spacing w:val="24"/>
        </w:rPr>
        <w:t> </w:t>
      </w:r>
      <w:r>
        <w:rPr/>
        <w:t>por</w:t>
      </w:r>
      <w:r>
        <w:rPr>
          <w:spacing w:val="6"/>
        </w:rPr>
        <w:t> </w:t>
      </w:r>
      <w:r>
        <w:rPr/>
        <w:t>hectárea</w:t>
        <w:tab/>
        <w:t>30</w:t>
      </w:r>
    </w:p>
    <w:p>
      <w:pPr>
        <w:pStyle w:val="BodyText"/>
        <w:spacing w:line="480" w:lineRule="auto" w:before="276"/>
        <w:ind w:left="1957" w:right="2173"/>
      </w:pPr>
      <w:r>
        <w:rPr/>
        <w:t>en el cultivo del municipio de Zinacantepec en el ciclo de riego.</w:t>
      </w:r>
    </w:p>
    <w:p>
      <w:pPr>
        <w:pStyle w:val="BodyText"/>
        <w:tabs>
          <w:tab w:pos="1957" w:val="left" w:leader="none"/>
          <w:tab w:pos="3533" w:val="left" w:leader="none"/>
          <w:tab w:pos="4122" w:val="left" w:leader="none"/>
          <w:tab w:pos="5524" w:val="left" w:leader="none"/>
          <w:tab w:pos="6193" w:val="left" w:leader="none"/>
          <w:tab w:pos="8640" w:val="right" w:leader="none"/>
        </w:tabs>
        <w:spacing w:before="8"/>
        <w:ind w:left="239"/>
      </w:pPr>
      <w:r>
        <w:rPr/>
        <w:t>Figura 5.</w:t>
        <w:tab/>
        <w:t>Distribución</w:t>
        <w:tab/>
        <w:t>de</w:t>
        <w:tab/>
        <w:t>fungicidas</w:t>
        <w:tab/>
        <w:t>por</w:t>
        <w:tab/>
        <w:t>superficie</w:t>
        <w:tab/>
        <w:t>31</w:t>
      </w:r>
    </w:p>
    <w:p>
      <w:pPr>
        <w:pStyle w:val="BodyText"/>
        <w:spacing w:line="480" w:lineRule="auto" w:before="276"/>
        <w:ind w:left="1957" w:right="2173"/>
      </w:pPr>
      <w:r>
        <w:rPr/>
        <w:t>destinada al cultivo de papa en el municipio de Zinacantepec.</w:t>
      </w:r>
    </w:p>
    <w:p>
      <w:pPr>
        <w:pStyle w:val="BodyText"/>
        <w:tabs>
          <w:tab w:pos="1957" w:val="left" w:leader="none"/>
          <w:tab w:pos="8640" w:val="right" w:leader="none"/>
        </w:tabs>
        <w:spacing w:before="8"/>
        <w:ind w:left="239"/>
      </w:pPr>
      <w:r>
        <w:rPr/>
        <w:t>Figura 6.</w:t>
        <w:tab/>
        <w:t>Excedentes de fungicidas aplicados</w:t>
      </w:r>
      <w:r>
        <w:rPr>
          <w:spacing w:val="24"/>
        </w:rPr>
        <w:t> </w:t>
      </w:r>
      <w:r>
        <w:rPr/>
        <w:t>por</w:t>
      </w:r>
      <w:r>
        <w:rPr>
          <w:spacing w:val="6"/>
        </w:rPr>
        <w:t> </w:t>
      </w:r>
      <w:r>
        <w:rPr/>
        <w:t>hectárea</w:t>
        <w:tab/>
        <w:t>31</w:t>
      </w:r>
    </w:p>
    <w:p>
      <w:pPr>
        <w:pStyle w:val="BodyText"/>
        <w:spacing w:line="480" w:lineRule="auto" w:before="276"/>
        <w:ind w:left="1957" w:right="2173"/>
      </w:pPr>
      <w:r>
        <w:rPr/>
        <w:t>en el cultivo del municipio de Zinacantepec en el ciclo de temporal.</w:t>
      </w:r>
    </w:p>
    <w:p>
      <w:pPr>
        <w:pStyle w:val="BodyText"/>
        <w:tabs>
          <w:tab w:pos="1957" w:val="left" w:leader="none"/>
          <w:tab w:pos="8640" w:val="right" w:leader="none"/>
        </w:tabs>
        <w:spacing w:before="8"/>
        <w:ind w:left="239"/>
      </w:pPr>
      <w:r>
        <w:rPr/>
        <w:t>Figura 7.</w:t>
        <w:tab/>
        <w:t>Localización de los predios de papa de</w:t>
      </w:r>
      <w:r>
        <w:rPr>
          <w:spacing w:val="48"/>
        </w:rPr>
        <w:t> </w:t>
      </w:r>
      <w:r>
        <w:rPr/>
        <w:t>donde</w:t>
      </w:r>
      <w:r>
        <w:rPr>
          <w:spacing w:val="6"/>
        </w:rPr>
        <w:t> </w:t>
      </w:r>
      <w:r>
        <w:rPr/>
        <w:t>se</w:t>
        <w:tab/>
        <w:t>39</w:t>
      </w:r>
    </w:p>
    <w:p>
      <w:pPr>
        <w:spacing w:line="480" w:lineRule="auto" w:before="276"/>
        <w:ind w:left="1957" w:right="2117" w:firstLine="0"/>
        <w:jc w:val="both"/>
        <w:rPr>
          <w:sz w:val="24"/>
        </w:rPr>
      </w:pPr>
      <w:r>
        <w:rPr>
          <w:sz w:val="24"/>
        </w:rPr>
        <w:t>obtuvieron los aislados de </w:t>
      </w:r>
      <w:r>
        <w:rPr>
          <w:i/>
          <w:sz w:val="24"/>
        </w:rPr>
        <w:t>Phytophthora </w:t>
      </w:r>
      <w:r>
        <w:rPr>
          <w:i/>
          <w:sz w:val="24"/>
        </w:rPr>
        <w:t>infestans </w:t>
      </w:r>
      <w:r>
        <w:rPr>
          <w:sz w:val="24"/>
        </w:rPr>
        <w:t>(Zinacantepec, Estado de México. México).</w:t>
      </w:r>
    </w:p>
    <w:p>
      <w:pPr>
        <w:spacing w:after="0" w:line="480" w:lineRule="auto"/>
        <w:jc w:val="both"/>
        <w:rPr>
          <w:sz w:val="24"/>
        </w:rPr>
        <w:sectPr>
          <w:pgSz w:w="12240" w:h="15840"/>
          <w:pgMar w:header="719" w:footer="740" w:top="1260" w:bottom="920" w:left="1460" w:right="1440"/>
        </w:sectPr>
      </w:pPr>
    </w:p>
    <w:p>
      <w:pPr>
        <w:pStyle w:val="BodyText"/>
        <w:rPr>
          <w:sz w:val="32"/>
        </w:rPr>
      </w:pPr>
    </w:p>
    <w:p>
      <w:pPr>
        <w:pStyle w:val="BodyText"/>
        <w:rPr>
          <w:sz w:val="32"/>
        </w:rPr>
      </w:pPr>
    </w:p>
    <w:p>
      <w:pPr>
        <w:pStyle w:val="BodyText"/>
        <w:spacing w:before="6"/>
        <w:rPr>
          <w:sz w:val="32"/>
        </w:rPr>
      </w:pPr>
    </w:p>
    <w:p>
      <w:pPr>
        <w:pStyle w:val="Heading1"/>
        <w:spacing w:before="1"/>
        <w:ind w:left="2613"/>
      </w:pPr>
      <w:bookmarkStart w:name="_TOC_250036" w:id="6"/>
      <w:bookmarkEnd w:id="6"/>
      <w:r>
        <w:rPr/>
        <w:t>LISTA  DE ABREVIATURAS</w:t>
      </w:r>
    </w:p>
    <w:p>
      <w:pPr>
        <w:pStyle w:val="BodyText"/>
        <w:tabs>
          <w:tab w:pos="2363" w:val="left" w:leader="none"/>
        </w:tabs>
        <w:spacing w:line="480" w:lineRule="auto" w:before="285"/>
        <w:ind w:left="239" w:right="1371"/>
      </w:pPr>
      <w:r>
        <w:rPr/>
        <w:t>(SIAP):</w:t>
        <w:tab/>
        <w:t>Servicio de Información Agroalimentaria</w:t>
      </w:r>
      <w:r>
        <w:rPr>
          <w:spacing w:val="-1"/>
        </w:rPr>
        <w:t> </w:t>
      </w:r>
      <w:r>
        <w:rPr/>
        <w:t>y</w:t>
      </w:r>
      <w:r>
        <w:rPr>
          <w:spacing w:val="-1"/>
        </w:rPr>
        <w:t> </w:t>
      </w:r>
      <w:r>
        <w:rPr/>
        <w:t>Pesquera. (WHO):</w:t>
        <w:tab/>
        <w:t>World Health</w:t>
      </w:r>
      <w:r>
        <w:rPr>
          <w:spacing w:val="-1"/>
        </w:rPr>
        <w:t> </w:t>
      </w:r>
      <w:r>
        <w:rPr/>
        <w:t>Organization.</w:t>
      </w:r>
    </w:p>
    <w:p>
      <w:pPr>
        <w:pStyle w:val="BodyText"/>
        <w:tabs>
          <w:tab w:pos="2363" w:val="left" w:leader="none"/>
        </w:tabs>
        <w:spacing w:before="8"/>
        <w:ind w:left="239"/>
      </w:pPr>
      <w:r>
        <w:rPr/>
        <w:t>(CIP):</w:t>
        <w:tab/>
        <w:t>Centro Internacional de la Papa.</w:t>
      </w:r>
    </w:p>
    <w:p>
      <w:pPr>
        <w:pStyle w:val="BodyText"/>
      </w:pPr>
    </w:p>
    <w:p>
      <w:pPr>
        <w:pStyle w:val="BodyText"/>
        <w:tabs>
          <w:tab w:pos="2363" w:val="left" w:leader="none"/>
        </w:tabs>
        <w:spacing w:line="480" w:lineRule="auto"/>
        <w:ind w:left="239" w:right="3052"/>
        <w:jc w:val="both"/>
      </w:pPr>
      <w:r>
        <w:rPr/>
        <w:t>(PNNT):</w:t>
        <w:tab/>
        <w:t>Parque Nacional Nevado de Toluca. (CADER):</w:t>
        <w:tab/>
        <w:t>Centro de Apoyo al Desarrollo Rural. (DDR):</w:t>
        <w:tab/>
        <w:t>Distrito de Desarrollo Rural.</w:t>
      </w:r>
    </w:p>
    <w:p>
      <w:pPr>
        <w:pStyle w:val="BodyText"/>
        <w:tabs>
          <w:tab w:pos="2359" w:val="left" w:leader="none"/>
        </w:tabs>
        <w:spacing w:line="480" w:lineRule="auto" w:before="8"/>
        <w:ind w:left="2359" w:right="260" w:hanging="2120"/>
      </w:pPr>
      <w:r>
        <w:rPr/>
        <w:t>(CICOPLAFEST):</w:t>
        <w:tab/>
        <w:t>Comisión Intersecretarial para el Control del Proceso y</w:t>
      </w:r>
      <w:r>
        <w:rPr>
          <w:spacing w:val="63"/>
        </w:rPr>
        <w:t> </w:t>
      </w:r>
      <w:r>
        <w:rPr/>
        <w:t>Uso</w:t>
      </w:r>
      <w:r>
        <w:rPr>
          <w:spacing w:val="8"/>
        </w:rPr>
        <w:t> </w:t>
      </w:r>
      <w:r>
        <w:rPr/>
        <w:t>de Plaguicidas, Fertilizantes y Sustancias Tóxicas.</w:t>
      </w:r>
    </w:p>
    <w:p>
      <w:pPr>
        <w:pStyle w:val="BodyText"/>
        <w:tabs>
          <w:tab w:pos="2363" w:val="left" w:leader="none"/>
        </w:tabs>
        <w:spacing w:line="480" w:lineRule="auto" w:before="8"/>
        <w:ind w:left="239" w:right="2652"/>
      </w:pPr>
      <w:r>
        <w:rPr/>
        <w:t>(FRAC):</w:t>
        <w:tab/>
        <w:t>Fungicide Resistance Action Committee. (SAS):</w:t>
        <w:tab/>
        <w:t>Statistical Analysis Systems</w:t>
      </w:r>
    </w:p>
    <w:p>
      <w:pPr>
        <w:pStyle w:val="BodyText"/>
        <w:tabs>
          <w:tab w:pos="2363" w:val="left" w:leader="none"/>
        </w:tabs>
        <w:spacing w:line="480" w:lineRule="auto" w:before="3"/>
        <w:ind w:left="239" w:right="2173"/>
      </w:pPr>
      <w:r>
        <w:rPr/>
        <w:t>(INEGI):</w:t>
        <w:tab/>
        <w:t>Instituto Nacional de Estadística y Geografía. (CR):</w:t>
        <w:tab/>
        <w:t>Crecimiento Relativo.</w:t>
      </w:r>
    </w:p>
    <w:p>
      <w:pPr>
        <w:pStyle w:val="BodyText"/>
        <w:tabs>
          <w:tab w:pos="2363" w:val="left" w:leader="none"/>
        </w:tabs>
        <w:spacing w:line="480" w:lineRule="auto" w:before="8"/>
        <w:ind w:left="2359" w:right="260" w:hanging="2120"/>
      </w:pPr>
      <w:r>
        <w:rPr/>
        <w:t>(DMCF):</w:t>
        <w:tab/>
        <w:tab/>
        <w:t>Diámetro medio de la cepa crecida en medio de   </w:t>
      </w:r>
      <w:r>
        <w:rPr>
          <w:spacing w:val="14"/>
        </w:rPr>
        <w:t> </w:t>
      </w:r>
      <w:r>
        <w:rPr/>
        <w:t>cultivo</w:t>
      </w:r>
      <w:r>
        <w:rPr>
          <w:spacing w:val="23"/>
        </w:rPr>
        <w:t> </w:t>
      </w:r>
      <w:r>
        <w:rPr/>
        <w:t>agar- jugo V8 con una concentración determinada de</w:t>
      </w:r>
      <w:r>
        <w:rPr>
          <w:spacing w:val="-2"/>
        </w:rPr>
        <w:t> </w:t>
      </w:r>
      <w:r>
        <w:rPr/>
        <w:t>fungicida.</w:t>
      </w:r>
    </w:p>
    <w:p>
      <w:pPr>
        <w:pStyle w:val="BodyText"/>
        <w:tabs>
          <w:tab w:pos="2363" w:val="left" w:leader="none"/>
        </w:tabs>
        <w:spacing w:line="480" w:lineRule="auto" w:before="8"/>
        <w:ind w:left="2359" w:right="260" w:hanging="2120"/>
      </w:pPr>
      <w:r>
        <w:rPr/>
        <w:t>(DMCT):</w:t>
        <w:tab/>
        <w:tab/>
        <w:t>Diámetro medio de la cepa crecida en medio de   </w:t>
      </w:r>
      <w:r>
        <w:rPr>
          <w:spacing w:val="14"/>
        </w:rPr>
        <w:t> </w:t>
      </w:r>
      <w:r>
        <w:rPr/>
        <w:t>cultivo</w:t>
      </w:r>
      <w:r>
        <w:rPr>
          <w:spacing w:val="23"/>
        </w:rPr>
        <w:t> </w:t>
      </w:r>
      <w:r>
        <w:rPr/>
        <w:t>agar- jugo V8 sin</w:t>
      </w:r>
      <w:r>
        <w:rPr>
          <w:spacing w:val="-2"/>
        </w:rPr>
        <w:t> </w:t>
      </w:r>
      <w:r>
        <w:rPr/>
        <w:t>fungicida.</w:t>
      </w:r>
    </w:p>
    <w:p>
      <w:pPr>
        <w:pStyle w:val="BodyText"/>
        <w:tabs>
          <w:tab w:pos="2359" w:val="left" w:leader="none"/>
        </w:tabs>
        <w:spacing w:before="8"/>
        <w:ind w:left="239"/>
      </w:pPr>
      <w:r>
        <w:rPr/>
        <w:t>(MN):</w:t>
        <w:tab/>
        <w:t>Moneda</w:t>
      </w:r>
      <w:r>
        <w:rPr>
          <w:spacing w:val="-1"/>
        </w:rPr>
        <w:t> </w:t>
      </w:r>
      <w:r>
        <w:rPr/>
        <w:t>nacional.</w:t>
      </w:r>
    </w:p>
    <w:p>
      <w:pPr>
        <w:pStyle w:val="BodyText"/>
      </w:pPr>
    </w:p>
    <w:p>
      <w:pPr>
        <w:pStyle w:val="BodyText"/>
        <w:tabs>
          <w:tab w:pos="2359" w:val="left" w:leader="none"/>
        </w:tabs>
        <w:ind w:left="239"/>
      </w:pPr>
      <w:r>
        <w:rPr/>
        <w:t>(K</w:t>
      </w:r>
      <w:r>
        <w:rPr>
          <w:position w:val="-2"/>
          <w:sz w:val="16"/>
        </w:rPr>
        <w:t>oc</w:t>
      </w:r>
      <w:r>
        <w:rPr/>
        <w:t>):</w:t>
        <w:tab/>
        <w:t>Coeficiente de partición en materia</w:t>
      </w:r>
      <w:r>
        <w:rPr>
          <w:spacing w:val="-1"/>
        </w:rPr>
        <w:t> </w:t>
      </w:r>
      <w:r>
        <w:rPr/>
        <w:t>orgánica.</w:t>
      </w:r>
    </w:p>
    <w:p>
      <w:pPr>
        <w:pStyle w:val="BodyText"/>
        <w:spacing w:before="10"/>
        <w:rPr>
          <w:sz w:val="22"/>
        </w:rPr>
      </w:pPr>
    </w:p>
    <w:p>
      <w:pPr>
        <w:pStyle w:val="BodyText"/>
        <w:tabs>
          <w:tab w:pos="2363" w:val="left" w:leader="none"/>
        </w:tabs>
        <w:ind w:left="239"/>
      </w:pPr>
      <w:r>
        <w:rPr/>
        <w:t>(K</w:t>
      </w:r>
      <w:r>
        <w:rPr>
          <w:position w:val="-2"/>
          <w:sz w:val="16"/>
        </w:rPr>
        <w:t>d</w:t>
      </w:r>
      <w:r>
        <w:rPr/>
        <w:t>):</w:t>
        <w:tab/>
        <w:t>Constante de adsorción.</w:t>
      </w:r>
    </w:p>
    <w:p>
      <w:pPr>
        <w:pStyle w:val="BodyText"/>
        <w:spacing w:before="10"/>
        <w:rPr>
          <w:sz w:val="22"/>
        </w:rPr>
      </w:pPr>
    </w:p>
    <w:p>
      <w:pPr>
        <w:pStyle w:val="BodyText"/>
        <w:tabs>
          <w:tab w:pos="2359" w:val="left" w:leader="none"/>
        </w:tabs>
        <w:ind w:left="239"/>
      </w:pPr>
      <w:r>
        <w:rPr/>
        <w:t>(t</w:t>
      </w:r>
      <w:r>
        <w:rPr>
          <w:position w:val="-2"/>
          <w:sz w:val="16"/>
        </w:rPr>
        <w:t>1/2</w:t>
      </w:r>
      <w:r>
        <w:rPr/>
        <w:t>):</w:t>
        <w:tab/>
        <w:t>Vida media.</w:t>
      </w:r>
    </w:p>
    <w:p>
      <w:pPr>
        <w:pStyle w:val="BodyText"/>
        <w:spacing w:before="10"/>
        <w:rPr>
          <w:sz w:val="22"/>
        </w:rPr>
      </w:pPr>
    </w:p>
    <w:p>
      <w:pPr>
        <w:pStyle w:val="BodyText"/>
        <w:tabs>
          <w:tab w:pos="2359" w:val="left" w:leader="none"/>
        </w:tabs>
        <w:ind w:left="239"/>
      </w:pPr>
      <w:r>
        <w:rPr/>
        <w:t>(SMAEDOMEX):</w:t>
        <w:tab/>
        <w:t>Secretaría del Medio Ambiente del Estado de</w:t>
      </w:r>
      <w:r>
        <w:rPr>
          <w:spacing w:val="-1"/>
        </w:rPr>
        <w:t> </w:t>
      </w:r>
      <w:r>
        <w:rPr/>
        <w:t>México.</w:t>
      </w:r>
    </w:p>
    <w:p>
      <w:pPr>
        <w:spacing w:after="0"/>
        <w:sectPr>
          <w:pgSz w:w="12240" w:h="15840"/>
          <w:pgMar w:header="719" w:footer="740" w:top="1260" w:bottom="920" w:left="1460" w:right="1440"/>
        </w:sectPr>
      </w:pPr>
    </w:p>
    <w:p>
      <w:pPr>
        <w:pStyle w:val="BodyText"/>
        <w:rPr>
          <w:sz w:val="20"/>
        </w:rPr>
      </w:pPr>
    </w:p>
    <w:p>
      <w:pPr>
        <w:pStyle w:val="BodyText"/>
        <w:rPr>
          <w:sz w:val="20"/>
        </w:rPr>
      </w:pPr>
    </w:p>
    <w:p>
      <w:pPr>
        <w:pStyle w:val="BodyText"/>
        <w:rPr>
          <w:sz w:val="17"/>
        </w:rPr>
      </w:pPr>
    </w:p>
    <w:p>
      <w:pPr>
        <w:pStyle w:val="Heading1"/>
        <w:numPr>
          <w:ilvl w:val="1"/>
          <w:numId w:val="1"/>
        </w:numPr>
        <w:tabs>
          <w:tab w:pos="2721" w:val="left" w:leader="none"/>
        </w:tabs>
        <w:spacing w:line="240" w:lineRule="auto" w:before="66" w:after="0"/>
        <w:ind w:left="2720" w:right="0" w:hanging="267"/>
        <w:jc w:val="left"/>
      </w:pPr>
      <w:bookmarkStart w:name="_TOC_250035" w:id="7"/>
      <w:r>
        <w:rPr/>
        <w:t>INTRODUCCIÓN </w:t>
      </w:r>
      <w:r>
        <w:rPr>
          <w:spacing w:val="35"/>
        </w:rPr>
        <w:t> </w:t>
      </w:r>
      <w:bookmarkEnd w:id="7"/>
      <w:r>
        <w:rPr/>
        <w:t>GENERAL</w:t>
      </w:r>
    </w:p>
    <w:p>
      <w:pPr>
        <w:pStyle w:val="BodyText"/>
        <w:spacing w:before="10"/>
        <w:rPr>
          <w:b/>
          <w:sz w:val="31"/>
        </w:rPr>
      </w:pPr>
    </w:p>
    <w:p>
      <w:pPr>
        <w:pStyle w:val="BodyText"/>
        <w:spacing w:line="480" w:lineRule="auto"/>
        <w:ind w:left="239" w:right="260"/>
        <w:jc w:val="both"/>
      </w:pPr>
      <w:r>
        <w:rPr/>
        <w:t>El Tizón Tardío, enfermedad de la papa causada por el patógeno </w:t>
      </w:r>
      <w:r>
        <w:rPr>
          <w:i/>
        </w:rPr>
        <w:t>Phytophthora </w:t>
      </w:r>
      <w:r>
        <w:rPr>
          <w:i/>
        </w:rPr>
        <w:t>infestans </w:t>
      </w:r>
      <w:r>
        <w:rPr/>
        <w:t>(Fry y Goodwin, 1997), ocasiona pérdidas económicas mundiales aproximadas a 6.70 billones de dólares (Haverkort e</w:t>
      </w:r>
      <w:r>
        <w:rPr>
          <w:i/>
        </w:rPr>
        <w:t>t al</w:t>
      </w:r>
      <w:r>
        <w:rPr/>
        <w:t>., 2008). Se ha observado que las cepas de </w:t>
      </w:r>
      <w:r>
        <w:rPr>
          <w:i/>
        </w:rPr>
        <w:t>Phytophthora infestans </w:t>
      </w:r>
      <w:r>
        <w:rPr/>
        <w:t>colectadas en el Valle de Toluca son genéticamente diversas, donde la reproducción sexual juega un papel importante, y mejora la aptitud del patógeno al generar genotipos recombinantes que pueden ser más patogénicos (Gavino </w:t>
      </w:r>
      <w:r>
        <w:rPr>
          <w:i/>
        </w:rPr>
        <w:t>et al</w:t>
      </w:r>
      <w:r>
        <w:rPr/>
        <w:t>., 2000) al producir oosporas, las cuales son capaces de sobrevivir en el suelo durante muchos años, resistiendo condiciones ambientales adversas. En muchos agroecosistemas, las oosporas germinan al inicio de una temporada, lo cual representa el inóculo inicial para las epidemias en los cultivos (Grünwald y Flier, 2005). El principal método de control del Tizón Tardío es el químico, demandando 80% de los fungicidas empleados en el control de enfermedades del cultivo de papa (Haverkort </w:t>
      </w:r>
      <w:r>
        <w:rPr>
          <w:i/>
        </w:rPr>
        <w:t>et al</w:t>
      </w:r>
      <w:r>
        <w:rPr/>
        <w:t>., 2008). El metalaxil es el fungicida más utilizado en la enfermedad del Tizón Tardío ya que es el que tiene mejores resultados en el control, sin embargo dado sus propiedades químicas le confieren alto peligro para la salud pública al ser tóxico y presenta facilidad para dispersarse y contaminar los cuerpos de agua (WHO,</w:t>
      </w:r>
      <w:r>
        <w:rPr>
          <w:spacing w:val="-1"/>
        </w:rPr>
        <w:t> </w:t>
      </w:r>
      <w:r>
        <w:rPr/>
        <w:t>2009).</w:t>
      </w:r>
    </w:p>
    <w:p>
      <w:pPr>
        <w:spacing w:after="0" w:line="480" w:lineRule="auto"/>
        <w:jc w:val="both"/>
        <w:sectPr>
          <w:footerReference w:type="default" r:id="rId12"/>
          <w:pgSz w:w="12240" w:h="15840"/>
          <w:pgMar w:footer="740" w:header="719" w:top="1260" w:bottom="920" w:left="1460" w:right="1440"/>
          <w:pgNumType w:start="1"/>
        </w:sectPr>
      </w:pPr>
    </w:p>
    <w:p>
      <w:pPr>
        <w:pStyle w:val="BodyText"/>
        <w:spacing w:before="3"/>
        <w:rPr>
          <w:sz w:val="15"/>
        </w:rPr>
      </w:pPr>
    </w:p>
    <w:p>
      <w:pPr>
        <w:pStyle w:val="Heading1"/>
        <w:numPr>
          <w:ilvl w:val="1"/>
          <w:numId w:val="1"/>
        </w:numPr>
        <w:tabs>
          <w:tab w:pos="2756" w:val="left" w:leader="none"/>
        </w:tabs>
        <w:spacing w:line="240" w:lineRule="auto" w:before="66" w:after="0"/>
        <w:ind w:left="2755" w:right="0" w:hanging="355"/>
        <w:jc w:val="left"/>
      </w:pPr>
      <w:bookmarkStart w:name="_TOC_250034" w:id="8"/>
      <w:r>
        <w:rPr/>
        <w:t>REVISIÓN </w:t>
      </w:r>
      <w:r>
        <w:rPr>
          <w:spacing w:val="33"/>
        </w:rPr>
        <w:t> </w:t>
      </w:r>
      <w:bookmarkEnd w:id="8"/>
      <w:r>
        <w:rPr/>
        <w:t>BIBLIOGRÁFICA</w:t>
      </w:r>
    </w:p>
    <w:p>
      <w:pPr>
        <w:pStyle w:val="BodyText"/>
        <w:rPr>
          <w:b/>
          <w:sz w:val="42"/>
        </w:rPr>
      </w:pPr>
    </w:p>
    <w:p>
      <w:pPr>
        <w:pStyle w:val="Heading2"/>
        <w:numPr>
          <w:ilvl w:val="1"/>
          <w:numId w:val="7"/>
        </w:numPr>
        <w:tabs>
          <w:tab w:pos="707" w:val="left" w:leader="none"/>
        </w:tabs>
        <w:spacing w:line="274" w:lineRule="exact" w:before="0" w:after="0"/>
        <w:ind w:left="239" w:right="577" w:firstLine="0"/>
        <w:jc w:val="left"/>
      </w:pPr>
      <w:bookmarkStart w:name="_TOC_250033" w:id="9"/>
      <w:r>
        <w:rPr/>
        <w:t>Producción y Sostenibilidad del Cultivo de Papa (</w:t>
      </w:r>
      <w:r>
        <w:rPr>
          <w:i/>
        </w:rPr>
        <w:t>Solanum tuberosum</w:t>
      </w:r>
      <w:bookmarkEnd w:id="9"/>
      <w:r>
        <w:rPr/>
        <w:t>) en el Estado de México, México</w:t>
      </w:r>
    </w:p>
    <w:p>
      <w:pPr>
        <w:pStyle w:val="BodyText"/>
        <w:rPr>
          <w:b/>
        </w:rPr>
      </w:pPr>
    </w:p>
    <w:p>
      <w:pPr>
        <w:pStyle w:val="BodyText"/>
        <w:spacing w:before="10"/>
        <w:rPr>
          <w:b/>
          <w:sz w:val="23"/>
        </w:rPr>
      </w:pPr>
    </w:p>
    <w:p>
      <w:pPr>
        <w:pStyle w:val="BodyText"/>
        <w:spacing w:line="480" w:lineRule="auto"/>
        <w:ind w:left="239" w:right="260"/>
        <w:jc w:val="both"/>
      </w:pPr>
      <w:r>
        <w:rPr/>
        <w:t>La papa (</w:t>
      </w:r>
      <w:r>
        <w:rPr>
          <w:i/>
        </w:rPr>
        <w:t>Solanum tuberosum</w:t>
      </w:r>
      <w:r>
        <w:rPr/>
        <w:t>) es el tercer cultivo alimenticio más importante del mundo, después del arroz y el trigo, más de mil millones de personas la  consumen; con una producción mundial total de aproximadamente 300 millones de toneladas (CIP, 2013). De acuerdo con el SIAP (2010) en México se sembró una superficie de 55 645.53 hectáreas de papa (</w:t>
      </w:r>
      <w:r>
        <w:rPr>
          <w:i/>
        </w:rPr>
        <w:t>Solanum tuberosum</w:t>
      </w:r>
      <w:r>
        <w:rPr/>
        <w:t>), obteniendo una producción de 1.50 millones de toneladas de esta hortaliza que representa menos de 0.5 % de la superficie agrícola del país, mientras que en el Estado de México  se sembraron 4 036.50 hectáreas, con un rendimiento promedio de 26.71 toneladas por hectárea (SIAP, 2010), ubicándose como el sexto Estado productor. La producción de papa en el Estado de México se lleva a cabo bajo dos  regímenes de humedad: riego y temporal; donde el sistema de producción de temporal representa el 87.2% y el del riego el 12.8% (SIAP, 2012).</w:t>
      </w:r>
    </w:p>
    <w:p>
      <w:pPr>
        <w:pStyle w:val="BodyText"/>
      </w:pPr>
    </w:p>
    <w:p>
      <w:pPr>
        <w:pStyle w:val="BodyText"/>
        <w:spacing w:before="6"/>
        <w:rPr>
          <w:sz w:val="25"/>
        </w:rPr>
      </w:pPr>
    </w:p>
    <w:p>
      <w:pPr>
        <w:pStyle w:val="BodyText"/>
        <w:spacing w:line="480" w:lineRule="auto"/>
        <w:ind w:left="239" w:right="260"/>
        <w:jc w:val="both"/>
      </w:pPr>
      <w:r>
        <w:rPr>
          <w:color w:val="141413"/>
        </w:rPr>
        <w:t>Desde el punto de vista ambiental, el cultivo de la papa (</w:t>
      </w:r>
      <w:r>
        <w:rPr>
          <w:i/>
          <w:color w:val="141413"/>
        </w:rPr>
        <w:t>Solanum tuberosum</w:t>
      </w:r>
      <w:r>
        <w:rPr>
          <w:color w:val="141413"/>
        </w:rPr>
        <w:t>) es uno de los más perjudiciales al suelo, debido a los elevados niveles de nitrógeno que se aplican e</w:t>
      </w:r>
      <w:r>
        <w:rPr/>
        <w:t>n un tiempo relativamente corto; dado el rápido desarrollo de la planta, sin embargo, su sistema radicular es corto y presenta una baja eficiencia  en la absorción de los elementos nutritivos (Muñoz </w:t>
      </w:r>
      <w:r>
        <w:rPr>
          <w:i/>
        </w:rPr>
        <w:t>et al</w:t>
      </w:r>
      <w:r>
        <w:rPr/>
        <w:t>., 2006), por lo que se sugiere que las dosis de nitrógeno sean fraccionadas durante el ciclo del cultivo (Errebhi</w:t>
      </w:r>
      <w:r>
        <w:rPr>
          <w:spacing w:val="28"/>
        </w:rPr>
        <w:t> </w:t>
      </w:r>
      <w:r>
        <w:rPr>
          <w:i/>
        </w:rPr>
        <w:t>et</w:t>
      </w:r>
      <w:r>
        <w:rPr>
          <w:i/>
          <w:spacing w:val="28"/>
        </w:rPr>
        <w:t> </w:t>
      </w:r>
      <w:r>
        <w:rPr>
          <w:i/>
        </w:rPr>
        <w:t>al</w:t>
      </w:r>
      <w:r>
        <w:rPr/>
        <w:t>.,</w:t>
      </w:r>
      <w:r>
        <w:rPr>
          <w:spacing w:val="28"/>
        </w:rPr>
        <w:t> </w:t>
      </w:r>
      <w:r>
        <w:rPr/>
        <w:t>1998).</w:t>
      </w:r>
      <w:r>
        <w:rPr>
          <w:spacing w:val="28"/>
        </w:rPr>
        <w:t> </w:t>
      </w:r>
      <w:r>
        <w:rPr/>
        <w:t>Para</w:t>
      </w:r>
      <w:r>
        <w:rPr>
          <w:spacing w:val="28"/>
        </w:rPr>
        <w:t> </w:t>
      </w:r>
      <w:r>
        <w:rPr/>
        <w:t>el</w:t>
      </w:r>
      <w:r>
        <w:rPr>
          <w:spacing w:val="28"/>
        </w:rPr>
        <w:t> </w:t>
      </w:r>
      <w:r>
        <w:rPr/>
        <w:t>caso</w:t>
      </w:r>
      <w:r>
        <w:rPr>
          <w:spacing w:val="28"/>
        </w:rPr>
        <w:t> </w:t>
      </w:r>
      <w:r>
        <w:rPr/>
        <w:t>particular</w:t>
      </w:r>
      <w:r>
        <w:rPr>
          <w:spacing w:val="28"/>
        </w:rPr>
        <w:t> </w:t>
      </w:r>
      <w:r>
        <w:rPr/>
        <w:t>del</w:t>
      </w:r>
      <w:r>
        <w:rPr>
          <w:spacing w:val="28"/>
        </w:rPr>
        <w:t> </w:t>
      </w:r>
      <w:r>
        <w:rPr/>
        <w:t>Valle</w:t>
      </w:r>
      <w:r>
        <w:rPr>
          <w:spacing w:val="28"/>
        </w:rPr>
        <w:t> </w:t>
      </w:r>
      <w:r>
        <w:rPr/>
        <w:t>de</w:t>
      </w:r>
      <w:r>
        <w:rPr>
          <w:spacing w:val="28"/>
        </w:rPr>
        <w:t> </w:t>
      </w:r>
      <w:r>
        <w:rPr/>
        <w:t>Toluca</w:t>
      </w:r>
      <w:r>
        <w:rPr>
          <w:spacing w:val="28"/>
        </w:rPr>
        <w:t> </w:t>
      </w:r>
      <w:r>
        <w:rPr/>
        <w:t>se</w:t>
      </w:r>
      <w:r>
        <w:rPr>
          <w:spacing w:val="28"/>
        </w:rPr>
        <w:t> </w:t>
      </w:r>
      <w:r>
        <w:rPr/>
        <w:t>recomienda</w:t>
      </w:r>
    </w:p>
    <w:p>
      <w:pPr>
        <w:spacing w:after="0" w:line="480" w:lineRule="auto"/>
        <w:jc w:val="both"/>
        <w:sectPr>
          <w:pgSz w:w="12240" w:h="15840"/>
          <w:pgMar w:header="719" w:footer="740" w:top="1260" w:bottom="920" w:left="1460" w:right="1440"/>
        </w:sectPr>
      </w:pPr>
    </w:p>
    <w:p>
      <w:pPr>
        <w:pStyle w:val="BodyText"/>
        <w:rPr>
          <w:sz w:val="14"/>
        </w:rPr>
      </w:pPr>
    </w:p>
    <w:p>
      <w:pPr>
        <w:pStyle w:val="BodyText"/>
        <w:spacing w:line="480" w:lineRule="auto" w:before="70"/>
        <w:ind w:left="239" w:right="260"/>
        <w:jc w:val="both"/>
      </w:pPr>
      <w:r>
        <w:rPr/>
        <w:t>que la aplicación del fertilizante sea en dos fracciones (Rubio, 2012), sin embargo, esta práctica no es común en los sistemas de producción de temporal, los cuales abarcan la mayor parte de la superficie de papa, por lo que la aplicación nitrogenada se hace en una sola ocasión antes de establecer el cultivo, permitiendo que se lixivie gran parte del fertilizante.</w:t>
      </w:r>
    </w:p>
    <w:p>
      <w:pPr>
        <w:pStyle w:val="BodyText"/>
      </w:pPr>
    </w:p>
    <w:p>
      <w:pPr>
        <w:pStyle w:val="BodyText"/>
        <w:spacing w:line="480" w:lineRule="auto" w:before="154"/>
        <w:ind w:left="239" w:right="260"/>
        <w:jc w:val="both"/>
      </w:pPr>
      <w:r>
        <w:rPr/>
        <w:t>Por otra parte, </w:t>
      </w:r>
      <w:r>
        <w:rPr>
          <w:color w:val="141413"/>
        </w:rPr>
        <w:t>la principal causa de daño al medio ambiente es por la gran cantidad de fungicidas utilizados para controlar </w:t>
      </w:r>
      <w:r>
        <w:rPr>
          <w:i/>
          <w:color w:val="141413"/>
        </w:rPr>
        <w:t>Phytophthora infestans, </w:t>
      </w:r>
      <w:r>
        <w:rPr>
          <w:color w:val="141413"/>
        </w:rPr>
        <w:t>causante de la enfermedad conocida como Tizón Tardío, principal patógeno que afecta al cultivo de papa, pudiendo llegar a devastar cultivos completos cuando las condiciones ambientales le son favorables, </w:t>
      </w:r>
      <w:r>
        <w:rPr/>
        <w:t>y ocasiona pérdidas económicas aproximadas a 6.70 billones de dólares anuales en todo el mundo (Haverkort </w:t>
      </w:r>
      <w:r>
        <w:rPr>
          <w:i/>
        </w:rPr>
        <w:t>et  </w:t>
      </w:r>
      <w:r>
        <w:rPr>
          <w:i/>
        </w:rPr>
        <w:t>al</w:t>
      </w:r>
      <w:r>
        <w:rPr/>
        <w:t>., 2008). </w:t>
      </w:r>
      <w:r>
        <w:rPr>
          <w:color w:val="141413"/>
        </w:rPr>
        <w:t>Si estos fungicidas exceden la dosis de absorción, pueden causar externalidades al contaminar el suelo y disminuir su productividad, inducir patógenos resistentes, provocar riesgo potencial a la salud pública, además de generar costos de remoción de los excedentes de fungicidas y agroquímicos aplicados al cultivo de papa y que terminan acumulándose en los suelos o lixiviándose en las aguas</w:t>
      </w:r>
      <w:r>
        <w:rPr>
          <w:color w:val="141413"/>
          <w:spacing w:val="-2"/>
        </w:rPr>
        <w:t> </w:t>
      </w:r>
      <w:r>
        <w:rPr>
          <w:color w:val="141413"/>
        </w:rPr>
        <w:t>subterráneas.</w:t>
      </w:r>
    </w:p>
    <w:p>
      <w:pPr>
        <w:pStyle w:val="BodyText"/>
      </w:pPr>
    </w:p>
    <w:p>
      <w:pPr>
        <w:pStyle w:val="BodyText"/>
        <w:spacing w:before="7"/>
      </w:pPr>
    </w:p>
    <w:p>
      <w:pPr>
        <w:pStyle w:val="BodyText"/>
        <w:spacing w:line="480" w:lineRule="auto" w:before="1"/>
        <w:ind w:left="239" w:right="260"/>
        <w:jc w:val="both"/>
      </w:pPr>
      <w:r>
        <w:rPr/>
        <w:t>En México, el cultivo de papa emplea el 20% del total de fungicidas agrícolas utilizados en el país, por lo que ocupa el primer lugar en el uso de estos insumos (Fuentes, 1991).</w:t>
      </w:r>
    </w:p>
    <w:p>
      <w:pPr>
        <w:spacing w:after="0" w:line="480" w:lineRule="auto"/>
        <w:jc w:val="both"/>
        <w:sectPr>
          <w:pgSz w:w="12240" w:h="15840"/>
          <w:pgMar w:header="719" w:footer="740" w:top="1260" w:bottom="920" w:left="1460" w:right="1440"/>
        </w:sectPr>
      </w:pPr>
    </w:p>
    <w:p>
      <w:pPr>
        <w:pStyle w:val="BodyText"/>
        <w:rPr>
          <w:sz w:val="14"/>
        </w:rPr>
      </w:pPr>
    </w:p>
    <w:p>
      <w:pPr>
        <w:pStyle w:val="BodyText"/>
        <w:spacing w:line="480" w:lineRule="auto" w:before="70"/>
        <w:ind w:left="239" w:right="260"/>
        <w:jc w:val="both"/>
      </w:pPr>
      <w:r>
        <w:rPr/>
        <w:t>En el cultivo de papa se utilizan insumos que son suministrados por la naturaleza, como lo son: el suelo, el agua y el aire, así como insumos fabricados por el ser humano: como lo son los agroquímicos. </w:t>
      </w:r>
      <w:r>
        <w:rPr>
          <w:color w:val="141413"/>
        </w:rPr>
        <w:t>Una vez que estos insumos son procesados, ya sea en la etapa de producción o en la de consumo, regresan al ecosistema donde son asimilados para ser útiles nuevamente como insumos. La naturaleza, entonces, proporciona dos funciones esenciales en la producción de papa: a) insumos en la forma de recursos naturales y b) capacidades asimilativas como receptor de desechos. Dado que estas funciones son determinadas por procesos químicos y biológicos específicos, existe un límite para la cantidad máxima de material que puede ser extraída como insumo y descargada como desecho. Por lo tanto, el crecimiento de la agricultura no puede rebasar los límites de estas dos funciones naturales sin poner en peligro su propia viabilidad. De ello se deduce que para lograr un desarrollo sostenible el insumo de materia prima y energía no debe rebasar la capacidad regenerativa, y el producto de desechos de materiales y energía debe estar dentro de los límites de capacidad de absorción (Ruiz, 2001). Por lo que las prácticas de manejo del cultivo de papa (</w:t>
      </w:r>
      <w:r>
        <w:rPr>
          <w:i/>
          <w:color w:val="141413"/>
        </w:rPr>
        <w:t>Solanum </w:t>
      </w:r>
      <w:r>
        <w:rPr>
          <w:i/>
          <w:color w:val="141413"/>
        </w:rPr>
        <w:t>tuberosum</w:t>
      </w:r>
      <w:r>
        <w:rPr>
          <w:color w:val="141413"/>
        </w:rPr>
        <w:t>) pueden causar daños ambientales al emplear cantidades excesivas de agroquímicos, y probablemente el daño más grave es la contaminación del suelo. </w:t>
      </w:r>
      <w:r>
        <w:rPr>
          <w:color w:val="0B0C0E"/>
        </w:rPr>
        <w:t>Entonces, el suelo puede actuar como un sumidero de contaminantes, o bien es posible que los contaminantes se filtren a través del suelo y lleguen a contaminar las aguas subterráneas, esto depende de las propiedades del suelo y las propiedades químicas del contaminante.</w:t>
      </w:r>
    </w:p>
    <w:p>
      <w:pPr>
        <w:spacing w:after="0" w:line="480" w:lineRule="auto"/>
        <w:jc w:val="both"/>
        <w:sectPr>
          <w:pgSz w:w="12240" w:h="15840"/>
          <w:pgMar w:header="719" w:footer="740" w:top="1260" w:bottom="920" w:left="1460" w:right="1440"/>
        </w:sectPr>
      </w:pPr>
    </w:p>
    <w:p>
      <w:pPr>
        <w:pStyle w:val="BodyText"/>
        <w:rPr>
          <w:sz w:val="14"/>
        </w:rPr>
      </w:pPr>
    </w:p>
    <w:p>
      <w:pPr>
        <w:pStyle w:val="ListParagraph"/>
        <w:numPr>
          <w:ilvl w:val="1"/>
          <w:numId w:val="7"/>
        </w:numPr>
        <w:tabs>
          <w:tab w:pos="707" w:val="left" w:leader="none"/>
        </w:tabs>
        <w:spacing w:line="240" w:lineRule="auto" w:before="70" w:after="0"/>
        <w:ind w:left="706" w:right="0" w:hanging="467"/>
        <w:jc w:val="both"/>
        <w:rPr>
          <w:rFonts w:ascii="Arial" w:hAnsi="Arial"/>
          <w:b/>
          <w:sz w:val="24"/>
        </w:rPr>
      </w:pPr>
      <w:r>
        <w:rPr>
          <w:rFonts w:ascii="Arial" w:hAnsi="Arial"/>
          <w:b/>
          <w:sz w:val="24"/>
        </w:rPr>
        <w:t>Tizón Tardío de la papa (</w:t>
      </w:r>
      <w:r>
        <w:rPr>
          <w:rFonts w:ascii="Arial" w:hAnsi="Arial"/>
          <w:b/>
          <w:i/>
          <w:sz w:val="24"/>
        </w:rPr>
        <w:t>Phytophthora infestans</w:t>
      </w:r>
      <w:r>
        <w:rPr>
          <w:rFonts w:ascii="Arial" w:hAnsi="Arial"/>
          <w:b/>
          <w:sz w:val="24"/>
        </w:rPr>
        <w:t>)</w:t>
      </w:r>
    </w:p>
    <w:p>
      <w:pPr>
        <w:pStyle w:val="BodyText"/>
        <w:spacing w:before="4"/>
        <w:rPr>
          <w:b/>
        </w:rPr>
      </w:pPr>
    </w:p>
    <w:p>
      <w:pPr>
        <w:pStyle w:val="BodyText"/>
        <w:spacing w:line="480" w:lineRule="auto" w:before="1"/>
        <w:ind w:left="239" w:right="260"/>
        <w:jc w:val="both"/>
      </w:pPr>
      <w:r>
        <w:rPr/>
        <w:t>Se ha observado que las poblaciones de </w:t>
      </w:r>
      <w:r>
        <w:rPr>
          <w:i/>
        </w:rPr>
        <w:t>P. infestans </w:t>
      </w:r>
      <w:r>
        <w:rPr/>
        <w:t>en el Valle de Toluca son diferentes a las de otras zonas del mundo con respecto a la biología, genética e historia de evolución. El Valle de Toluca es considerado el centro de origen de </w:t>
      </w:r>
      <w:r>
        <w:rPr>
          <w:i/>
        </w:rPr>
        <w:t>Phytophthora infestans</w:t>
      </w:r>
      <w:r>
        <w:rPr/>
        <w:t>, y tiene una población que ha co-evolucionado con especies nativas de </w:t>
      </w:r>
      <w:r>
        <w:rPr>
          <w:i/>
        </w:rPr>
        <w:t>Solanum spp., </w:t>
      </w:r>
      <w:r>
        <w:rPr/>
        <w:t>(Grunwald y Flier, 2005).</w:t>
      </w:r>
    </w:p>
    <w:p>
      <w:pPr>
        <w:pStyle w:val="BodyText"/>
      </w:pPr>
    </w:p>
    <w:p>
      <w:pPr>
        <w:pStyle w:val="BodyText"/>
        <w:spacing w:before="7"/>
      </w:pPr>
    </w:p>
    <w:p>
      <w:pPr>
        <w:pStyle w:val="BodyText"/>
        <w:spacing w:line="480" w:lineRule="auto" w:before="1"/>
        <w:ind w:left="239" w:right="260"/>
        <w:jc w:val="both"/>
      </w:pPr>
      <w:r>
        <w:rPr/>
        <w:t>En el Valle de Toluca, </w:t>
      </w:r>
      <w:r>
        <w:rPr>
          <w:i/>
        </w:rPr>
        <w:t>Phytophthora infestans </w:t>
      </w:r>
      <w:r>
        <w:rPr/>
        <w:t>presenta una reproducción sexual evidenciada por la formación de oosporas en hojas, tallos y tubérculos en especies de </w:t>
      </w:r>
      <w:r>
        <w:rPr>
          <w:i/>
        </w:rPr>
        <w:t>Solanum </w:t>
      </w:r>
      <w:r>
        <w:rPr/>
        <w:t>silvestres y cultivadas (Fernández </w:t>
      </w:r>
      <w:r>
        <w:rPr>
          <w:i/>
        </w:rPr>
        <w:t>et al.</w:t>
      </w:r>
      <w:r>
        <w:rPr/>
        <w:t>, 2002; Flier </w:t>
      </w:r>
      <w:r>
        <w:rPr>
          <w:i/>
        </w:rPr>
        <w:t>et al.</w:t>
      </w:r>
      <w:r>
        <w:rPr/>
        <w:t>, 2001; Gallegly y Galindo, 1958), donde se encuentran los dos grupos sexuales conocidos como A1 y A2 en una proporción 1:1 (Goodwin </w:t>
      </w:r>
      <w:r>
        <w:rPr>
          <w:i/>
        </w:rPr>
        <w:t>et al.</w:t>
      </w:r>
      <w:r>
        <w:rPr/>
        <w:t>, 1992; Grunwald </w:t>
      </w:r>
      <w:r>
        <w:rPr>
          <w:i/>
        </w:rPr>
        <w:t>et </w:t>
      </w:r>
      <w:r>
        <w:rPr>
          <w:i/>
        </w:rPr>
        <w:t>al.</w:t>
      </w:r>
      <w:r>
        <w:rPr/>
        <w:t>, 2001). Las oosporas (</w:t>
      </w:r>
      <w:r>
        <w:rPr>
          <w:b/>
        </w:rPr>
        <w:t>Figura 1</w:t>
      </w:r>
      <w:r>
        <w:rPr/>
        <w:t>) tienen dos funciones principales en el ciclo de vida de </w:t>
      </w:r>
      <w:r>
        <w:rPr>
          <w:i/>
        </w:rPr>
        <w:t>P. infestans</w:t>
      </w:r>
      <w:r>
        <w:rPr/>
        <w:t>, en primer lugar, son las estructuras de resistencia del patógeno, las cuales pueden sobrevivir en el suelo por muchos años resistiendo ambientes adversos y aplicaciones de agroquímicos, y por lo tanto, son la fuente de inóculo inicial para las epidemias en los siguientes ciclos de cultivo, en segundo lugar, proporcionan un medio para la recombinación sexual, lo que permite el desarrollo de nuevos genotipos recombinantes que pueden ser más patogénicos, virulentos y resistentes  a los fungicidas (Gavino </w:t>
      </w:r>
      <w:r>
        <w:rPr>
          <w:i/>
        </w:rPr>
        <w:t>et al</w:t>
      </w:r>
      <w:r>
        <w:rPr/>
        <w:t>.,</w:t>
      </w:r>
      <w:r>
        <w:rPr>
          <w:spacing w:val="-3"/>
        </w:rPr>
        <w:t> </w:t>
      </w:r>
      <w:r>
        <w:rPr/>
        <w:t>2000).</w:t>
      </w:r>
    </w:p>
    <w:p>
      <w:pPr>
        <w:pStyle w:val="BodyText"/>
      </w:pPr>
    </w:p>
    <w:p>
      <w:pPr>
        <w:pStyle w:val="BodyText"/>
        <w:spacing w:before="7"/>
      </w:pPr>
    </w:p>
    <w:p>
      <w:pPr>
        <w:pStyle w:val="BodyText"/>
        <w:spacing w:line="480" w:lineRule="auto" w:before="1"/>
        <w:ind w:left="239" w:right="260" w:firstLine="66"/>
        <w:jc w:val="both"/>
      </w:pPr>
      <w:r>
        <w:rPr/>
        <w:t>Para que se lleve a cabo la reproducción sexual deben estar presentes los dos grupos sexuales (A1 y A2), por lo que cada cepa es heterotálica al necesitar el tipo</w:t>
      </w:r>
    </w:p>
    <w:p>
      <w:pPr>
        <w:spacing w:after="0" w:line="480" w:lineRule="auto"/>
        <w:jc w:val="both"/>
        <w:sectPr>
          <w:pgSz w:w="12240" w:h="15840"/>
          <w:pgMar w:header="719" w:footer="740" w:top="1260" w:bottom="920" w:left="1460" w:right="1440"/>
        </w:sectPr>
      </w:pPr>
    </w:p>
    <w:p>
      <w:pPr>
        <w:pStyle w:val="BodyText"/>
        <w:rPr>
          <w:sz w:val="14"/>
        </w:rPr>
      </w:pPr>
    </w:p>
    <w:p>
      <w:pPr>
        <w:pStyle w:val="BodyText"/>
        <w:spacing w:line="480" w:lineRule="auto" w:before="70"/>
        <w:ind w:left="239" w:right="260"/>
        <w:jc w:val="both"/>
      </w:pPr>
      <w:r>
        <w:rPr/>
        <w:t>de apareamiento complementario para llevar a cabo la reproducción sexual. Las cepas A1 secretan la hormona α1, la cual induce la producción de oosporas en las cepas A2, mientras que la hormona α2, secretada por las cepas A2, induce la producción de oosporas en las cepas A1, cada hormona se mueve de un talo a otro para estimular la producción de oogonios y anteridios, cada talo es capaz de producir ambas estructuras sexuales, por lo que cada talo es bisexual (Chern </w:t>
      </w:r>
      <w:r>
        <w:rPr>
          <w:i/>
        </w:rPr>
        <w:t>et  </w:t>
      </w:r>
      <w:r>
        <w:rPr>
          <w:i/>
        </w:rPr>
        <w:t>al.</w:t>
      </w:r>
      <w:r>
        <w:rPr/>
        <w:t>, 1996; Judelson, 1997; Ko, 1988). Durante la reproducción sexual el anteridio  se envuelve alrededor de la base del oogonio, penetrándolo y fertilizándolo, produciendo la oospora (Gallegly y Galindo,</w:t>
      </w:r>
      <w:r>
        <w:rPr>
          <w:spacing w:val="-1"/>
        </w:rPr>
        <w:t> </w:t>
      </w:r>
      <w:r>
        <w:rPr/>
        <w:t>1958).</w:t>
      </w:r>
    </w:p>
    <w:p>
      <w:pPr>
        <w:pStyle w:val="BodyText"/>
        <w:rPr>
          <w:sz w:val="20"/>
        </w:rPr>
      </w:pPr>
    </w:p>
    <w:p>
      <w:pPr>
        <w:pStyle w:val="BodyText"/>
        <w:spacing w:before="7"/>
        <w:rPr>
          <w:sz w:val="25"/>
        </w:rPr>
      </w:pPr>
      <w:r>
        <w:rPr/>
        <w:drawing>
          <wp:anchor distT="0" distB="0" distL="0" distR="0" allowOverlap="1" layoutInCell="1" locked="0" behindDoc="0" simplePos="0" relativeHeight="0">
            <wp:simplePos x="0" y="0"/>
            <wp:positionH relativeFrom="page">
              <wp:posOffset>1858120</wp:posOffset>
            </wp:positionH>
            <wp:positionV relativeFrom="paragraph">
              <wp:posOffset>212239</wp:posOffset>
            </wp:positionV>
            <wp:extent cx="3561864" cy="1530191"/>
            <wp:effectExtent l="0" t="0" r="0" b="0"/>
            <wp:wrapTopAndBottom/>
            <wp:docPr id="5" name="image2.png" descr=""/>
            <wp:cNvGraphicFramePr>
              <a:graphicFrameLocks noChangeAspect="1"/>
            </wp:cNvGraphicFramePr>
            <a:graphic>
              <a:graphicData uri="http://schemas.openxmlformats.org/drawingml/2006/picture">
                <pic:pic>
                  <pic:nvPicPr>
                    <pic:cNvPr id="6" name="image2.png"/>
                    <pic:cNvPicPr/>
                  </pic:nvPicPr>
                  <pic:blipFill>
                    <a:blip r:embed="rId13" cstate="print"/>
                    <a:stretch>
                      <a:fillRect/>
                    </a:stretch>
                  </pic:blipFill>
                  <pic:spPr>
                    <a:xfrm>
                      <a:off x="0" y="0"/>
                      <a:ext cx="3561864" cy="1530191"/>
                    </a:xfrm>
                    <a:prstGeom prst="rect">
                      <a:avLst/>
                    </a:prstGeom>
                  </pic:spPr>
                </pic:pic>
              </a:graphicData>
            </a:graphic>
          </wp:anchor>
        </w:drawing>
      </w:r>
    </w:p>
    <w:p>
      <w:pPr>
        <w:spacing w:before="0"/>
        <w:ind w:left="1539" w:right="0" w:firstLine="0"/>
        <w:jc w:val="left"/>
        <w:rPr>
          <w:i/>
          <w:sz w:val="17"/>
        </w:rPr>
      </w:pPr>
      <w:r>
        <w:rPr>
          <w:w w:val="105"/>
          <w:sz w:val="17"/>
        </w:rPr>
        <w:t>Figura 1. Oosporas de </w:t>
      </w:r>
      <w:r>
        <w:rPr>
          <w:i/>
          <w:w w:val="105"/>
          <w:sz w:val="17"/>
        </w:rPr>
        <w:t>Phytophthora infestans.</w:t>
      </w:r>
    </w:p>
    <w:p>
      <w:pPr>
        <w:spacing w:before="11"/>
        <w:ind w:left="1539" w:right="0" w:firstLine="0"/>
        <w:jc w:val="left"/>
        <w:rPr>
          <w:sz w:val="17"/>
        </w:rPr>
      </w:pPr>
      <w:r>
        <w:rPr>
          <w:w w:val="105"/>
          <w:sz w:val="17"/>
        </w:rPr>
        <w:t>Fuente: Carlos Alfonso López Orona</w:t>
      </w:r>
    </w:p>
    <w:p>
      <w:pPr>
        <w:pStyle w:val="BodyText"/>
        <w:rPr>
          <w:sz w:val="18"/>
        </w:rPr>
      </w:pPr>
    </w:p>
    <w:p>
      <w:pPr>
        <w:pStyle w:val="BodyText"/>
        <w:rPr>
          <w:sz w:val="18"/>
        </w:rPr>
      </w:pPr>
    </w:p>
    <w:p>
      <w:pPr>
        <w:pStyle w:val="BodyText"/>
        <w:rPr>
          <w:sz w:val="18"/>
        </w:rPr>
      </w:pPr>
    </w:p>
    <w:p>
      <w:pPr>
        <w:pStyle w:val="BodyText"/>
        <w:spacing w:before="7"/>
        <w:rPr>
          <w:sz w:val="17"/>
        </w:rPr>
      </w:pPr>
    </w:p>
    <w:p>
      <w:pPr>
        <w:pStyle w:val="ListParagraph"/>
        <w:numPr>
          <w:ilvl w:val="1"/>
          <w:numId w:val="7"/>
        </w:numPr>
        <w:tabs>
          <w:tab w:pos="707" w:val="left" w:leader="none"/>
        </w:tabs>
        <w:spacing w:line="240" w:lineRule="auto" w:before="0" w:after="0"/>
        <w:ind w:left="706" w:right="0" w:hanging="467"/>
        <w:jc w:val="both"/>
        <w:rPr>
          <w:rFonts w:ascii="Arial" w:hAnsi="Arial"/>
          <w:b/>
          <w:sz w:val="24"/>
        </w:rPr>
      </w:pPr>
      <w:r>
        <w:rPr>
          <w:rFonts w:ascii="Arial" w:hAnsi="Arial"/>
          <w:b/>
          <w:sz w:val="24"/>
        </w:rPr>
        <w:t>Control químico del Tizón Tardío (</w:t>
      </w:r>
      <w:r>
        <w:rPr>
          <w:rFonts w:ascii="Arial" w:hAnsi="Arial"/>
          <w:b/>
          <w:i/>
          <w:sz w:val="24"/>
        </w:rPr>
        <w:t>Phytophthora infestans</w:t>
      </w:r>
      <w:r>
        <w:rPr>
          <w:rFonts w:ascii="Arial" w:hAnsi="Arial"/>
          <w:b/>
          <w:sz w:val="24"/>
        </w:rPr>
        <w:t>)</w:t>
      </w:r>
    </w:p>
    <w:p>
      <w:pPr>
        <w:pStyle w:val="BodyText"/>
        <w:spacing w:before="4"/>
        <w:rPr>
          <w:b/>
        </w:rPr>
      </w:pPr>
    </w:p>
    <w:p>
      <w:pPr>
        <w:pStyle w:val="BodyText"/>
        <w:spacing w:line="480" w:lineRule="auto" w:before="1"/>
        <w:ind w:left="239" w:right="260"/>
        <w:jc w:val="both"/>
      </w:pPr>
      <w:r>
        <w:rPr/>
        <w:t>El control de </w:t>
      </w:r>
      <w:r>
        <w:rPr>
          <w:i/>
        </w:rPr>
        <w:t>Phytophthora infestans </w:t>
      </w:r>
      <w:r>
        <w:rPr/>
        <w:t>se ha dificultado en gran medida por las características particulares del patógeno, como: a) la estructura de la tubulina (la proteína implicada en la fase mitótica de la división celular) en </w:t>
      </w:r>
      <w:r>
        <w:rPr>
          <w:i/>
        </w:rPr>
        <w:t>Phytophthora </w:t>
      </w:r>
      <w:r>
        <w:rPr>
          <w:i/>
        </w:rPr>
        <w:t>infestans </w:t>
      </w:r>
      <w:r>
        <w:rPr/>
        <w:t>es diferente a la de los hongos verdaderos</w:t>
      </w:r>
      <w:r>
        <w:rPr>
          <w:i/>
        </w:rPr>
        <w:t>, </w:t>
      </w:r>
      <w:r>
        <w:rPr/>
        <w:t>por lo que </w:t>
      </w:r>
      <w:r>
        <w:rPr>
          <w:i/>
        </w:rPr>
        <w:t>P. infestans </w:t>
      </w:r>
      <w:r>
        <w:rPr/>
        <w:t>es insensible a los fungicidas que su acción bioquímica es por unión a la tubulina, b) la pared celular de </w:t>
      </w:r>
      <w:r>
        <w:rPr>
          <w:i/>
        </w:rPr>
        <w:t>P. infestans </w:t>
      </w:r>
      <w:r>
        <w:rPr/>
        <w:t>contiene celulosa y no quitina, como es común   en</w:t>
      </w:r>
    </w:p>
    <w:p>
      <w:pPr>
        <w:spacing w:after="0" w:line="480" w:lineRule="auto"/>
        <w:jc w:val="both"/>
        <w:sectPr>
          <w:pgSz w:w="12240" w:h="15840"/>
          <w:pgMar w:header="719" w:footer="740" w:top="1260" w:bottom="920" w:left="1460" w:right="1440"/>
        </w:sectPr>
      </w:pPr>
    </w:p>
    <w:p>
      <w:pPr>
        <w:pStyle w:val="BodyText"/>
        <w:rPr>
          <w:sz w:val="14"/>
        </w:rPr>
      </w:pPr>
    </w:p>
    <w:p>
      <w:pPr>
        <w:pStyle w:val="BodyText"/>
        <w:spacing w:line="480" w:lineRule="auto" w:before="70"/>
        <w:ind w:left="239" w:right="260"/>
        <w:jc w:val="both"/>
      </w:pPr>
      <w:r>
        <w:rPr/>
        <w:t>los hongos, por lo tanto </w:t>
      </w:r>
      <w:r>
        <w:rPr>
          <w:i/>
        </w:rPr>
        <w:t>P. infestans </w:t>
      </w:r>
      <w:r>
        <w:rPr/>
        <w:t>es insensible a los químicos del grupo de las polioxinas, c) </w:t>
      </w:r>
      <w:r>
        <w:rPr>
          <w:i/>
        </w:rPr>
        <w:t>Phytophthora infestans </w:t>
      </w:r>
      <w:r>
        <w:rPr/>
        <w:t>no requiere esteroles para su crecimiento, por lo cual es insensible a los fungicidas que inhiben la síntesis del esterol (Erwin y Ribeiro,</w:t>
      </w:r>
      <w:r>
        <w:rPr>
          <w:spacing w:val="-1"/>
        </w:rPr>
        <w:t> </w:t>
      </w:r>
      <w:r>
        <w:rPr/>
        <w:t>1996).</w:t>
      </w:r>
    </w:p>
    <w:p>
      <w:pPr>
        <w:pStyle w:val="BodyText"/>
      </w:pPr>
    </w:p>
    <w:p>
      <w:pPr>
        <w:pStyle w:val="BodyText"/>
        <w:spacing w:before="7"/>
      </w:pPr>
    </w:p>
    <w:p>
      <w:pPr>
        <w:pStyle w:val="BodyText"/>
        <w:spacing w:line="480" w:lineRule="auto" w:before="1"/>
        <w:ind w:left="239" w:right="260"/>
        <w:jc w:val="both"/>
      </w:pPr>
      <w:r>
        <w:rPr/>
        <w:t>También se han desarrollado productos químicos como el Fosetil-Aluminio, un fungicida sistémico que pertenece al grupo químico de los alcoil-fosfonatos, que presenta control sobre </w:t>
      </w:r>
      <w:r>
        <w:rPr>
          <w:i/>
        </w:rPr>
        <w:t>P. infestans </w:t>
      </w:r>
      <w:r>
        <w:rPr/>
        <w:t>en el tubérculo, sin embargo, no es efectivo en el follaje de la planta, porque se descompone al ponerse en contacto con el etanol y el ácido fosfórico de los tejidos foliares de la planta.</w:t>
      </w:r>
    </w:p>
    <w:p>
      <w:pPr>
        <w:pStyle w:val="BodyText"/>
      </w:pPr>
    </w:p>
    <w:p>
      <w:pPr>
        <w:pStyle w:val="BodyText"/>
        <w:spacing w:before="7"/>
      </w:pPr>
    </w:p>
    <w:p>
      <w:pPr>
        <w:pStyle w:val="BodyText"/>
        <w:spacing w:line="480" w:lineRule="auto" w:before="1"/>
        <w:ind w:left="239" w:right="260"/>
        <w:jc w:val="both"/>
      </w:pPr>
      <w:r>
        <w:rPr/>
        <w:t>Posteriormente, se fabricó el metalaxil, lo cual fue un avance importante en la historia del control de </w:t>
      </w:r>
      <w:r>
        <w:rPr>
          <w:i/>
        </w:rPr>
        <w:t>P. infestans</w:t>
      </w:r>
      <w:r>
        <w:rPr/>
        <w:t>, al encontrarse que era tóxico para </w:t>
      </w:r>
      <w:r>
        <w:rPr>
          <w:i/>
        </w:rPr>
        <w:t>P. infestans </w:t>
      </w:r>
      <w:r>
        <w:rPr/>
        <w:t>a bajas concentraciones (&lt;1ppm) y presentaba una acción sistémica  en la</w:t>
      </w:r>
      <w:r>
        <w:rPr>
          <w:spacing w:val="-5"/>
        </w:rPr>
        <w:t> </w:t>
      </w:r>
      <w:r>
        <w:rPr/>
        <w:t>planta.</w:t>
      </w:r>
    </w:p>
    <w:p>
      <w:pPr>
        <w:pStyle w:val="BodyText"/>
      </w:pPr>
    </w:p>
    <w:p>
      <w:pPr>
        <w:pStyle w:val="BodyText"/>
        <w:spacing w:before="7"/>
      </w:pPr>
    </w:p>
    <w:p>
      <w:pPr>
        <w:pStyle w:val="BodyText"/>
        <w:spacing w:line="480" w:lineRule="auto" w:before="1"/>
        <w:ind w:left="239" w:right="260"/>
        <w:jc w:val="both"/>
      </w:pPr>
      <w:r>
        <w:rPr/>
        <w:t>El método de control más utilizado para </w:t>
      </w:r>
      <w:r>
        <w:rPr>
          <w:i/>
        </w:rPr>
        <w:t>Phytophthora infestans </w:t>
      </w:r>
      <w:r>
        <w:rPr/>
        <w:t>es el químico. Sin embargo, pese a la gran cantidad de fungicidas utilizados, este método no ha sido totalmente eficaz por que se han utilizado productos químicos que fueron desarrollados para utilizarse en hongos verdaderos, por lo que para </w:t>
      </w:r>
      <w:r>
        <w:rPr>
          <w:i/>
        </w:rPr>
        <w:t>Phytophthora </w:t>
      </w:r>
      <w:r>
        <w:rPr>
          <w:i/>
        </w:rPr>
        <w:t>infestans </w:t>
      </w:r>
      <w:r>
        <w:rPr/>
        <w:t>presentan un efecto fungistático (detiene el crecimiento del patógeno, sin matarlo).</w:t>
      </w:r>
    </w:p>
    <w:p>
      <w:pPr>
        <w:spacing w:after="0" w:line="480" w:lineRule="auto"/>
        <w:jc w:val="both"/>
        <w:sectPr>
          <w:pgSz w:w="12240" w:h="15840"/>
          <w:pgMar w:header="719" w:footer="740" w:top="1260" w:bottom="920" w:left="1460" w:right="1440"/>
        </w:sectPr>
      </w:pPr>
    </w:p>
    <w:p>
      <w:pPr>
        <w:pStyle w:val="BodyText"/>
        <w:rPr>
          <w:sz w:val="14"/>
        </w:rPr>
      </w:pPr>
    </w:p>
    <w:p>
      <w:pPr>
        <w:pStyle w:val="Heading2"/>
        <w:numPr>
          <w:ilvl w:val="2"/>
          <w:numId w:val="7"/>
        </w:numPr>
        <w:tabs>
          <w:tab w:pos="907" w:val="left" w:leader="none"/>
        </w:tabs>
        <w:spacing w:line="240" w:lineRule="auto" w:before="70" w:after="0"/>
        <w:ind w:left="906" w:right="0" w:hanging="667"/>
        <w:jc w:val="both"/>
      </w:pPr>
      <w:bookmarkStart w:name="_TOC_250032" w:id="10"/>
      <w:bookmarkEnd w:id="10"/>
      <w:r>
        <w:rPr/>
        <w:t>Metalaxil</w:t>
      </w:r>
    </w:p>
    <w:p>
      <w:pPr>
        <w:pStyle w:val="BodyText"/>
        <w:rPr>
          <w:b/>
        </w:rPr>
      </w:pPr>
    </w:p>
    <w:p>
      <w:pPr>
        <w:pStyle w:val="BodyText"/>
        <w:rPr>
          <w:b/>
          <w:sz w:val="25"/>
        </w:rPr>
      </w:pPr>
    </w:p>
    <w:p>
      <w:pPr>
        <w:pStyle w:val="BodyText"/>
        <w:spacing w:line="477" w:lineRule="auto"/>
        <w:ind w:left="239" w:right="259"/>
        <w:jc w:val="both"/>
      </w:pPr>
      <w:r>
        <w:rPr/>
        <w:t>Metalaxil pertenece al grupo químico de las fenilamidas, cuya fórmula química es: C</w:t>
      </w:r>
      <w:r>
        <w:rPr>
          <w:position w:val="-2"/>
          <w:sz w:val="16"/>
        </w:rPr>
        <w:t>15</w:t>
      </w:r>
      <w:r>
        <w:rPr/>
        <w:t>H</w:t>
      </w:r>
      <w:r>
        <w:rPr>
          <w:position w:val="-2"/>
          <w:sz w:val="16"/>
        </w:rPr>
        <w:t>21</w:t>
      </w:r>
      <w:r>
        <w:rPr/>
        <w:t>NO</w:t>
      </w:r>
      <w:r>
        <w:rPr>
          <w:position w:val="-2"/>
          <w:sz w:val="16"/>
        </w:rPr>
        <w:t>4. , </w:t>
      </w:r>
      <w:r>
        <w:rPr/>
        <w:t>y su estructura química se muestra en la </w:t>
      </w:r>
      <w:r>
        <w:rPr>
          <w:b/>
        </w:rPr>
        <w:t>Figura 2</w:t>
      </w:r>
      <w:r>
        <w:rPr/>
        <w:t>. Metalaxil inhibe la síntesis del ARN ribosomal por su efecto específico supresivo en la actividad de la ARN polimerasa I, lo que provoca la inhibición del crecimiento del patógeno al privar a la célula de los ribosomas que regulan la síntesis de proteínas (Davidse, 1987, 1988; Davidse </w:t>
      </w:r>
      <w:r>
        <w:rPr>
          <w:i/>
        </w:rPr>
        <w:t>et al.</w:t>
      </w:r>
      <w:r>
        <w:rPr/>
        <w:t>, 1991; Schwinn y Urech, 1986).</w:t>
      </w:r>
    </w:p>
    <w:p>
      <w:pPr>
        <w:pStyle w:val="BodyText"/>
        <w:rPr>
          <w:sz w:val="20"/>
        </w:rPr>
      </w:pPr>
    </w:p>
    <w:p>
      <w:pPr>
        <w:pStyle w:val="BodyText"/>
        <w:spacing w:before="10"/>
        <w:rPr>
          <w:sz w:val="25"/>
        </w:rPr>
      </w:pPr>
      <w:r>
        <w:rPr/>
        <w:drawing>
          <wp:anchor distT="0" distB="0" distL="0" distR="0" allowOverlap="1" layoutInCell="1" locked="0" behindDoc="0" simplePos="0" relativeHeight="1048">
            <wp:simplePos x="0" y="0"/>
            <wp:positionH relativeFrom="page">
              <wp:posOffset>2350383</wp:posOffset>
            </wp:positionH>
            <wp:positionV relativeFrom="paragraph">
              <wp:posOffset>213940</wp:posOffset>
            </wp:positionV>
            <wp:extent cx="2238516" cy="1920239"/>
            <wp:effectExtent l="0" t="0" r="0" b="0"/>
            <wp:wrapTopAndBottom/>
            <wp:docPr id="7" name="image3.jpeg" descr=""/>
            <wp:cNvGraphicFramePr>
              <a:graphicFrameLocks noChangeAspect="1"/>
            </wp:cNvGraphicFramePr>
            <a:graphic>
              <a:graphicData uri="http://schemas.openxmlformats.org/drawingml/2006/picture">
                <pic:pic>
                  <pic:nvPicPr>
                    <pic:cNvPr id="8" name="image3.jpeg"/>
                    <pic:cNvPicPr/>
                  </pic:nvPicPr>
                  <pic:blipFill>
                    <a:blip r:embed="rId14" cstate="print"/>
                    <a:stretch>
                      <a:fillRect/>
                    </a:stretch>
                  </pic:blipFill>
                  <pic:spPr>
                    <a:xfrm>
                      <a:off x="0" y="0"/>
                      <a:ext cx="2238516" cy="1920239"/>
                    </a:xfrm>
                    <a:prstGeom prst="rect">
                      <a:avLst/>
                    </a:prstGeom>
                  </pic:spPr>
                </pic:pic>
              </a:graphicData>
            </a:graphic>
          </wp:anchor>
        </w:drawing>
      </w:r>
    </w:p>
    <w:p>
      <w:pPr>
        <w:spacing w:before="0"/>
        <w:ind w:left="2371" w:right="0" w:firstLine="0"/>
        <w:jc w:val="left"/>
        <w:rPr>
          <w:sz w:val="17"/>
        </w:rPr>
      </w:pPr>
      <w:r>
        <w:rPr>
          <w:w w:val="105"/>
          <w:sz w:val="17"/>
        </w:rPr>
        <w:t>Figura 2. Estructura química del metalaxil.</w:t>
      </w:r>
    </w:p>
    <w:p>
      <w:pPr>
        <w:spacing w:line="254" w:lineRule="auto" w:before="11"/>
        <w:ind w:left="2363" w:right="0" w:firstLine="0"/>
        <w:jc w:val="left"/>
        <w:rPr>
          <w:sz w:val="17"/>
        </w:rPr>
      </w:pPr>
      <w:r>
        <w:rPr>
          <w:w w:val="105"/>
          <w:sz w:val="17"/>
        </w:rPr>
        <w:t>Fuente: Instituto Nacional de Ecología y Cambio Climático. En línea: </w:t>
      </w:r>
      <w:hyperlink r:id="rId15">
        <w:r>
          <w:rPr>
            <w:w w:val="105"/>
            <w:sz w:val="17"/>
          </w:rPr>
          <w:t>http://www2.inecc.gob.mx/sistemas/plaguicidas/pdf/metalaxil.pdf</w:t>
        </w:r>
      </w:hyperlink>
    </w:p>
    <w:p>
      <w:pPr>
        <w:pStyle w:val="BodyText"/>
        <w:rPr>
          <w:sz w:val="18"/>
        </w:rPr>
      </w:pPr>
    </w:p>
    <w:p>
      <w:pPr>
        <w:pStyle w:val="BodyText"/>
        <w:rPr>
          <w:sz w:val="18"/>
        </w:rPr>
      </w:pPr>
    </w:p>
    <w:p>
      <w:pPr>
        <w:pStyle w:val="BodyText"/>
        <w:spacing w:line="480" w:lineRule="auto" w:before="124"/>
        <w:ind w:left="239" w:right="260"/>
        <w:jc w:val="both"/>
      </w:pPr>
      <w:r>
        <w:rPr/>
        <w:t>El metalaxil ha sido el producto químico más utilizado en la enfermedad del Tizón Tardío al inhibir el crecimiento del patógeno, sin embargo, no detiene por completo la germinación de esporangios y zoosporas por la gran cantidad de ribosomas presentes en estas estructuras, sólo tiene efecto fungistático. Por primera vez en 1980 en Irlanda y los Países Bajos se reportaron cepas de </w:t>
      </w:r>
      <w:r>
        <w:rPr>
          <w:i/>
        </w:rPr>
        <w:t>P. infestans </w:t>
      </w:r>
      <w:r>
        <w:rPr/>
        <w:t>resistentes al metalaxil (Davidse </w:t>
      </w:r>
      <w:r>
        <w:rPr>
          <w:i/>
        </w:rPr>
        <w:t>et al.</w:t>
      </w:r>
      <w:r>
        <w:rPr/>
        <w:t>, 1981; Dowley y O'Sullivan, 1981). Una de las teorías que existen a la resistencia de metalaxil es por mutación, ya que el mecanismo  de</w:t>
      </w:r>
    </w:p>
    <w:p>
      <w:pPr>
        <w:spacing w:after="0" w:line="480" w:lineRule="auto"/>
        <w:jc w:val="both"/>
        <w:sectPr>
          <w:pgSz w:w="12240" w:h="15840"/>
          <w:pgMar w:header="719" w:footer="740" w:top="1260" w:bottom="920" w:left="1460" w:right="1440"/>
        </w:sectPr>
      </w:pPr>
    </w:p>
    <w:p>
      <w:pPr>
        <w:pStyle w:val="BodyText"/>
        <w:rPr>
          <w:sz w:val="14"/>
        </w:rPr>
      </w:pPr>
    </w:p>
    <w:p>
      <w:pPr>
        <w:pStyle w:val="BodyText"/>
        <w:spacing w:line="480" w:lineRule="auto" w:before="70"/>
        <w:ind w:left="239" w:right="260"/>
        <w:jc w:val="both"/>
      </w:pPr>
      <w:r>
        <w:rPr/>
        <w:t>acción del producto es sobre un solo blanco (Dekker, 1977; Georgopoulos, 1987; Goodwin </w:t>
      </w:r>
      <w:r>
        <w:rPr>
          <w:i/>
        </w:rPr>
        <w:t>et al.</w:t>
      </w:r>
      <w:r>
        <w:rPr/>
        <w:t>, 1992; Schwinn y Margot, 1991; Shattock, 1988). También se ha especulado que </w:t>
      </w:r>
      <w:r>
        <w:rPr>
          <w:i/>
        </w:rPr>
        <w:t>Phytopthora infestans </w:t>
      </w:r>
      <w:r>
        <w:rPr/>
        <w:t>es naturalmente insensible a metalaxil, al observarse cepas insensibles en poblaciones que nunca habían estado expuestas al producto químico, por lo que la existencia de poblaciones insensibles a metalaxil fue el resultado de la presión de selección que el metalaxil ejerció sobre las cepas naturalmente insensibles (Matuzak </w:t>
      </w:r>
      <w:r>
        <w:rPr>
          <w:i/>
        </w:rPr>
        <w:t>et al</w:t>
      </w:r>
      <w:r>
        <w:rPr/>
        <w:t>., 1994).</w:t>
      </w:r>
    </w:p>
    <w:p>
      <w:pPr>
        <w:pStyle w:val="BodyText"/>
      </w:pPr>
    </w:p>
    <w:p>
      <w:pPr>
        <w:pStyle w:val="BodyText"/>
        <w:spacing w:before="7"/>
      </w:pPr>
    </w:p>
    <w:p>
      <w:pPr>
        <w:pStyle w:val="BodyText"/>
        <w:spacing w:line="480" w:lineRule="auto" w:before="1"/>
        <w:ind w:left="239" w:right="260"/>
        <w:jc w:val="both"/>
        <w:rPr>
          <w:i/>
        </w:rPr>
      </w:pPr>
      <w:r>
        <w:rPr/>
        <w:t>Actualmente, metalaxil es ampliamente utilizado en el control de </w:t>
      </w:r>
      <w:r>
        <w:rPr>
          <w:i/>
        </w:rPr>
        <w:t>Phytophthora </w:t>
      </w:r>
      <w:r>
        <w:rPr>
          <w:i/>
        </w:rPr>
        <w:t>infestans</w:t>
      </w:r>
      <w:r>
        <w:rPr/>
        <w:t>, sin embargo, sus propiedades químicas le confieren alto peligro para la salud pública al ser tóxico y presenta facilidad para dispersarse y contaminar los cuerpos de agua (WHO, 2009). Aunado a lo anterior, Groves y Ristaino (2000) demostraron que ciertos aislamientos de </w:t>
      </w:r>
      <w:r>
        <w:rPr>
          <w:i/>
        </w:rPr>
        <w:t>Phytophthora infestans </w:t>
      </w:r>
      <w:r>
        <w:rPr/>
        <w:t>se comportaron como homotálicos al ser capaces de producir oosporas por sí solos al exponerlos  a diversos fungicidas, así los aislamientos resistentes a metalaxil produjeron  mayor número de oosporas que los sensibles a este fungicida, por lo que los fungicidas pueden estar actuando como imitadores de hormonas al unirse a los receptores de las hormonas de tipo de apareamiento de </w:t>
      </w:r>
      <w:r>
        <w:rPr>
          <w:i/>
        </w:rPr>
        <w:t>P.</w:t>
      </w:r>
      <w:r>
        <w:rPr>
          <w:i/>
          <w:spacing w:val="-11"/>
        </w:rPr>
        <w:t> </w:t>
      </w:r>
      <w:r>
        <w:rPr>
          <w:i/>
        </w:rPr>
        <w:t>infestans.</w:t>
      </w:r>
    </w:p>
    <w:p>
      <w:pPr>
        <w:spacing w:after="0" w:line="480" w:lineRule="auto"/>
        <w:jc w:val="both"/>
        <w:sectPr>
          <w:pgSz w:w="12240" w:h="15840"/>
          <w:pgMar w:header="719" w:footer="740" w:top="1260" w:bottom="920" w:left="1460" w:right="1440"/>
        </w:sectPr>
      </w:pPr>
    </w:p>
    <w:p>
      <w:pPr>
        <w:pStyle w:val="BodyText"/>
        <w:spacing w:before="3"/>
        <w:rPr>
          <w:i/>
          <w:sz w:val="15"/>
        </w:rPr>
      </w:pPr>
    </w:p>
    <w:p>
      <w:pPr>
        <w:pStyle w:val="Heading1"/>
        <w:numPr>
          <w:ilvl w:val="1"/>
          <w:numId w:val="1"/>
        </w:numPr>
        <w:tabs>
          <w:tab w:pos="3654" w:val="left" w:leader="none"/>
        </w:tabs>
        <w:spacing w:line="240" w:lineRule="auto" w:before="66" w:after="0"/>
        <w:ind w:left="3653" w:right="0" w:hanging="444"/>
        <w:jc w:val="left"/>
      </w:pPr>
      <w:bookmarkStart w:name="_TOC_250031" w:id="11"/>
      <w:bookmarkEnd w:id="11"/>
      <w:r>
        <w:rPr/>
        <w:t>JUSTIFICACIÓN</w:t>
      </w:r>
    </w:p>
    <w:p>
      <w:pPr>
        <w:pStyle w:val="BodyText"/>
        <w:rPr>
          <w:b/>
          <w:sz w:val="32"/>
        </w:rPr>
      </w:pPr>
    </w:p>
    <w:p>
      <w:pPr>
        <w:pStyle w:val="BodyText"/>
        <w:spacing w:line="480" w:lineRule="auto" w:before="195"/>
        <w:ind w:left="239" w:right="260"/>
        <w:jc w:val="both"/>
      </w:pPr>
      <w:r>
        <w:rPr/>
        <w:t>Los excedentes de fungicidas aplicados en el cultivo de papa representan un riesgo potencial a la salud pública, no sólo al consumir directamente el tubérculo contaminado por estos compuestos, sino también por la contaminación difusa que pueda existir hacia los cuerpos de agua, por lo cual es necesario determinar si los fungicidas utilizados exceden el límite de capacidad de absorción del suelo. Así mismo, al intentar controlar a </w:t>
      </w:r>
      <w:r>
        <w:rPr>
          <w:i/>
        </w:rPr>
        <w:t>Phytophthora infestans </w:t>
      </w:r>
      <w:r>
        <w:rPr/>
        <w:t>con metalaxil se puede incrementar la dificultad de control haciéndolo más patogénico. Es por lo anterior que es necesario determinar la existencia de aislamientos homotálicos de </w:t>
      </w:r>
      <w:r>
        <w:rPr>
          <w:i/>
        </w:rPr>
        <w:t>Phytophthora infestans </w:t>
      </w:r>
      <w:r>
        <w:rPr/>
        <w:t>en cultivo comerciales de papa que son tratados con metalaxil.</w:t>
      </w:r>
    </w:p>
    <w:p>
      <w:pPr>
        <w:spacing w:after="0" w:line="480" w:lineRule="auto"/>
        <w:jc w:val="both"/>
        <w:sectPr>
          <w:footerReference w:type="default" r:id="rId16"/>
          <w:pgSz w:w="12240" w:h="15840"/>
          <w:pgMar w:footer="740" w:header="719" w:top="1260" w:bottom="920" w:left="1460" w:right="1440"/>
        </w:sectPr>
      </w:pPr>
    </w:p>
    <w:p>
      <w:pPr>
        <w:pStyle w:val="BodyText"/>
        <w:spacing w:before="3"/>
        <w:rPr>
          <w:sz w:val="15"/>
        </w:rPr>
      </w:pPr>
    </w:p>
    <w:p>
      <w:pPr>
        <w:pStyle w:val="Heading1"/>
        <w:numPr>
          <w:ilvl w:val="1"/>
          <w:numId w:val="1"/>
        </w:numPr>
        <w:tabs>
          <w:tab w:pos="4045" w:val="left" w:leader="none"/>
        </w:tabs>
        <w:spacing w:line="240" w:lineRule="auto" w:before="66" w:after="0"/>
        <w:ind w:left="4044" w:right="0" w:hanging="480"/>
        <w:jc w:val="left"/>
      </w:pPr>
      <w:bookmarkStart w:name="_TOC_250030" w:id="12"/>
      <w:bookmarkEnd w:id="12"/>
      <w:r>
        <w:rPr/>
        <w:t>HIPÓTESIS</w:t>
      </w:r>
    </w:p>
    <w:p>
      <w:pPr>
        <w:pStyle w:val="BodyText"/>
        <w:rPr>
          <w:b/>
          <w:sz w:val="32"/>
        </w:rPr>
      </w:pPr>
    </w:p>
    <w:p>
      <w:pPr>
        <w:pStyle w:val="BodyText"/>
        <w:spacing w:line="480" w:lineRule="auto" w:before="195"/>
        <w:ind w:left="239" w:right="260"/>
        <w:jc w:val="both"/>
      </w:pPr>
      <w:r>
        <w:rPr/>
        <w:t>El patrón de uso de fungicidas para el control de </w:t>
      </w:r>
      <w:r>
        <w:rPr>
          <w:i/>
        </w:rPr>
        <w:t>Phytophthora infestans </w:t>
      </w:r>
      <w:r>
        <w:rPr/>
        <w:t>en los predios de cultivos comerciales de papa supera los </w:t>
      </w:r>
      <w:r>
        <w:rPr>
          <w:color w:val="141413"/>
        </w:rPr>
        <w:t>límites recomendables, generando costos de remoción </w:t>
      </w:r>
      <w:r>
        <w:rPr/>
        <w:t>y cambio en el tipo de reproducción de las cepas de </w:t>
      </w:r>
      <w:r>
        <w:rPr>
          <w:i/>
        </w:rPr>
        <w:t>Phytophthora infestans </w:t>
      </w:r>
      <w:r>
        <w:rPr/>
        <w:t>aisladas de cultivos comerciales de papa que son tratados con</w:t>
      </w:r>
      <w:r>
        <w:rPr>
          <w:spacing w:val="-1"/>
        </w:rPr>
        <w:t> </w:t>
      </w:r>
      <w:r>
        <w:rPr/>
        <w:t>metalaxil.</w:t>
      </w:r>
    </w:p>
    <w:p>
      <w:pPr>
        <w:spacing w:after="0" w:line="480" w:lineRule="auto"/>
        <w:jc w:val="both"/>
        <w:sectPr>
          <w:footerReference w:type="default" r:id="rId17"/>
          <w:pgSz w:w="12240" w:h="15840"/>
          <w:pgMar w:footer="740" w:header="719" w:top="1260" w:bottom="920" w:left="1460" w:right="1440"/>
          <w:pgNumType w:start="11"/>
        </w:sectPr>
      </w:pPr>
    </w:p>
    <w:p>
      <w:pPr>
        <w:pStyle w:val="BodyText"/>
        <w:spacing w:before="3"/>
        <w:rPr>
          <w:sz w:val="15"/>
        </w:rPr>
      </w:pPr>
    </w:p>
    <w:p>
      <w:pPr>
        <w:pStyle w:val="Heading1"/>
        <w:numPr>
          <w:ilvl w:val="1"/>
          <w:numId w:val="1"/>
        </w:numPr>
        <w:tabs>
          <w:tab w:pos="3938" w:val="left" w:leader="none"/>
        </w:tabs>
        <w:spacing w:line="240" w:lineRule="auto" w:before="66" w:after="0"/>
        <w:ind w:left="3938" w:right="0" w:hanging="392"/>
        <w:jc w:val="left"/>
      </w:pPr>
      <w:bookmarkStart w:name="_TOC_250029" w:id="13"/>
      <w:bookmarkEnd w:id="13"/>
      <w:r>
        <w:rPr/>
        <w:t>OBJETIVOS</w:t>
      </w:r>
    </w:p>
    <w:p>
      <w:pPr>
        <w:pStyle w:val="BodyText"/>
        <w:rPr>
          <w:b/>
          <w:sz w:val="20"/>
        </w:rPr>
      </w:pPr>
    </w:p>
    <w:p>
      <w:pPr>
        <w:pStyle w:val="BodyText"/>
        <w:spacing w:before="10"/>
        <w:rPr>
          <w:b/>
          <w:sz w:val="15"/>
        </w:rPr>
      </w:pPr>
    </w:p>
    <w:p>
      <w:pPr>
        <w:pStyle w:val="Heading2"/>
        <w:numPr>
          <w:ilvl w:val="1"/>
          <w:numId w:val="8"/>
        </w:numPr>
        <w:tabs>
          <w:tab w:pos="707" w:val="left" w:leader="none"/>
        </w:tabs>
        <w:spacing w:line="240" w:lineRule="auto" w:before="69" w:after="0"/>
        <w:ind w:left="706" w:right="0" w:hanging="467"/>
        <w:jc w:val="both"/>
      </w:pPr>
      <w:bookmarkStart w:name="_TOC_250028" w:id="14"/>
      <w:bookmarkEnd w:id="14"/>
      <w:r>
        <w:rPr/>
        <w:t>Objetivo general</w:t>
      </w:r>
    </w:p>
    <w:p>
      <w:pPr>
        <w:pStyle w:val="BodyText"/>
        <w:rPr>
          <w:b/>
        </w:rPr>
      </w:pPr>
    </w:p>
    <w:p>
      <w:pPr>
        <w:pStyle w:val="BodyText"/>
        <w:spacing w:line="480" w:lineRule="auto"/>
        <w:ind w:left="239" w:right="260"/>
        <w:jc w:val="both"/>
      </w:pPr>
      <w:r>
        <w:rPr/>
        <w:t>Determinar los costos de remoción de contaminantes del suelo derivado del uso  de metalaxil para controlar el Tizón Tardío (</w:t>
      </w:r>
      <w:r>
        <w:rPr>
          <w:i/>
        </w:rPr>
        <w:t>Phytophthora infestans</w:t>
      </w:r>
      <w:r>
        <w:rPr/>
        <w:t>) de la papa, así como valorar la capacidad para producir oosporas en los aislamientos de </w:t>
      </w:r>
      <w:r>
        <w:rPr>
          <w:i/>
        </w:rPr>
        <w:t>Phytophthora infestans </w:t>
      </w:r>
      <w:r>
        <w:rPr/>
        <w:t>resistentes a metalaxil de cultivos comerciales de papa (</w:t>
      </w:r>
      <w:r>
        <w:rPr>
          <w:i/>
        </w:rPr>
        <w:t>Solanum tuberosum</w:t>
      </w:r>
      <w:r>
        <w:rPr/>
        <w:t>).</w:t>
      </w:r>
    </w:p>
    <w:p>
      <w:pPr>
        <w:pStyle w:val="BodyText"/>
      </w:pPr>
    </w:p>
    <w:p>
      <w:pPr>
        <w:pStyle w:val="BodyText"/>
      </w:pPr>
    </w:p>
    <w:p>
      <w:pPr>
        <w:pStyle w:val="Heading2"/>
        <w:numPr>
          <w:ilvl w:val="1"/>
          <w:numId w:val="8"/>
        </w:numPr>
        <w:tabs>
          <w:tab w:pos="707" w:val="left" w:leader="none"/>
        </w:tabs>
        <w:spacing w:line="240" w:lineRule="auto" w:before="209" w:after="0"/>
        <w:ind w:left="706" w:right="0" w:hanging="467"/>
        <w:jc w:val="both"/>
      </w:pPr>
      <w:bookmarkStart w:name="_TOC_250027" w:id="15"/>
      <w:bookmarkEnd w:id="15"/>
      <w:r>
        <w:rPr/>
        <w:t>Objetivos específicos</w:t>
      </w:r>
    </w:p>
    <w:p>
      <w:pPr>
        <w:pStyle w:val="BodyText"/>
        <w:spacing w:before="6"/>
        <w:rPr>
          <w:b/>
          <w:sz w:val="23"/>
        </w:rPr>
      </w:pPr>
    </w:p>
    <w:p>
      <w:pPr>
        <w:pStyle w:val="ListParagraph"/>
        <w:numPr>
          <w:ilvl w:val="0"/>
          <w:numId w:val="9"/>
        </w:numPr>
        <w:tabs>
          <w:tab w:pos="523" w:val="left" w:leader="none"/>
        </w:tabs>
        <w:spacing w:line="240" w:lineRule="auto" w:before="0" w:after="0"/>
        <w:ind w:left="239" w:right="0" w:firstLine="0"/>
        <w:jc w:val="both"/>
        <w:rPr>
          <w:rFonts w:ascii="Arial" w:hAnsi="Arial"/>
          <w:i/>
          <w:sz w:val="24"/>
        </w:rPr>
      </w:pPr>
      <w:r>
        <w:rPr>
          <w:rFonts w:ascii="Arial" w:hAnsi="Arial"/>
          <w:sz w:val="24"/>
        </w:rPr>
        <w:t>Determinar el patrón de uso de metalaxil para controlar </w:t>
      </w:r>
      <w:r>
        <w:rPr>
          <w:rFonts w:ascii="Arial" w:hAnsi="Arial"/>
          <w:i/>
          <w:sz w:val="24"/>
        </w:rPr>
        <w:t>Phytophthora  </w:t>
      </w:r>
      <w:r>
        <w:rPr>
          <w:rFonts w:ascii="Arial" w:hAnsi="Arial"/>
          <w:i/>
          <w:spacing w:val="26"/>
          <w:sz w:val="24"/>
        </w:rPr>
        <w:t> </w:t>
      </w:r>
      <w:r>
        <w:rPr>
          <w:rFonts w:ascii="Arial" w:hAnsi="Arial"/>
          <w:i/>
          <w:sz w:val="24"/>
        </w:rPr>
        <w:t>infestans</w:t>
      </w:r>
    </w:p>
    <w:p>
      <w:pPr>
        <w:pStyle w:val="BodyText"/>
        <w:rPr>
          <w:i/>
        </w:rPr>
      </w:pPr>
    </w:p>
    <w:p>
      <w:pPr>
        <w:pStyle w:val="BodyText"/>
        <w:ind w:left="239"/>
        <w:jc w:val="both"/>
      </w:pPr>
      <w:r>
        <w:rPr/>
        <w:t>en el Valle de Toluca.</w:t>
      </w:r>
    </w:p>
    <w:p>
      <w:pPr>
        <w:pStyle w:val="BodyText"/>
      </w:pPr>
    </w:p>
    <w:p>
      <w:pPr>
        <w:pStyle w:val="ListParagraph"/>
        <w:numPr>
          <w:ilvl w:val="0"/>
          <w:numId w:val="9"/>
        </w:numPr>
        <w:tabs>
          <w:tab w:pos="556" w:val="left" w:leader="none"/>
        </w:tabs>
        <w:spacing w:line="480" w:lineRule="auto" w:before="0" w:after="0"/>
        <w:ind w:left="239" w:right="260" w:firstLine="0"/>
        <w:jc w:val="both"/>
        <w:rPr>
          <w:rFonts w:ascii="Arial" w:hAnsi="Arial"/>
          <w:sz w:val="24"/>
        </w:rPr>
      </w:pPr>
      <w:r>
        <w:rPr>
          <w:rFonts w:ascii="Arial" w:hAnsi="Arial"/>
          <w:sz w:val="24"/>
        </w:rPr>
        <w:t>Estimar el costo de remoción de los excedentes de fungicidas utilizados en cultivos de papa del Valle de Toluca.</w:t>
      </w:r>
    </w:p>
    <w:p>
      <w:pPr>
        <w:pStyle w:val="ListParagraph"/>
        <w:numPr>
          <w:ilvl w:val="0"/>
          <w:numId w:val="9"/>
        </w:numPr>
        <w:tabs>
          <w:tab w:pos="594" w:val="left" w:leader="none"/>
        </w:tabs>
        <w:spacing w:line="480" w:lineRule="auto" w:before="8" w:after="0"/>
        <w:ind w:left="239" w:right="260" w:firstLine="0"/>
        <w:jc w:val="both"/>
        <w:rPr>
          <w:rFonts w:ascii="Arial"/>
          <w:sz w:val="24"/>
        </w:rPr>
      </w:pPr>
      <w:r>
        <w:rPr>
          <w:rFonts w:ascii="Arial"/>
          <w:sz w:val="24"/>
        </w:rPr>
        <w:t>Determinar el tipo de apareamiento de los aislamientos de </w:t>
      </w:r>
      <w:r>
        <w:rPr>
          <w:rFonts w:ascii="Arial"/>
          <w:i/>
          <w:sz w:val="24"/>
        </w:rPr>
        <w:t>Phytophthora </w:t>
      </w:r>
      <w:r>
        <w:rPr>
          <w:rFonts w:ascii="Arial"/>
          <w:i/>
          <w:sz w:val="24"/>
        </w:rPr>
        <w:t>infestans </w:t>
      </w:r>
      <w:r>
        <w:rPr>
          <w:rFonts w:ascii="Arial"/>
          <w:sz w:val="24"/>
        </w:rPr>
        <w:t>de cultivo de papa del Valle de Toluca que son tratados con</w:t>
      </w:r>
      <w:r>
        <w:rPr>
          <w:rFonts w:ascii="Arial"/>
          <w:spacing w:val="-3"/>
          <w:sz w:val="24"/>
        </w:rPr>
        <w:t> </w:t>
      </w:r>
      <w:r>
        <w:rPr>
          <w:rFonts w:ascii="Arial"/>
          <w:sz w:val="24"/>
        </w:rPr>
        <w:t>metalaxil.</w:t>
      </w:r>
    </w:p>
    <w:p>
      <w:pPr>
        <w:pStyle w:val="ListParagraph"/>
        <w:numPr>
          <w:ilvl w:val="0"/>
          <w:numId w:val="9"/>
        </w:numPr>
        <w:tabs>
          <w:tab w:pos="516" w:val="left" w:leader="none"/>
        </w:tabs>
        <w:spacing w:line="240" w:lineRule="auto" w:before="8" w:after="0"/>
        <w:ind w:left="515" w:right="0" w:hanging="276"/>
        <w:jc w:val="both"/>
        <w:rPr>
          <w:rFonts w:ascii="Arial"/>
          <w:i/>
          <w:sz w:val="24"/>
        </w:rPr>
      </w:pPr>
      <w:r>
        <w:rPr>
          <w:rFonts w:ascii="Arial"/>
          <w:sz w:val="24"/>
        </w:rPr>
        <w:t>Valorar la resistencia al metalaxil de los aislamientos de </w:t>
      </w:r>
      <w:r>
        <w:rPr>
          <w:rFonts w:ascii="Arial"/>
          <w:i/>
          <w:sz w:val="24"/>
        </w:rPr>
        <w:t>Phytophthora </w:t>
      </w:r>
      <w:r>
        <w:rPr>
          <w:rFonts w:ascii="Arial"/>
          <w:i/>
          <w:spacing w:val="22"/>
          <w:sz w:val="24"/>
        </w:rPr>
        <w:t> </w:t>
      </w:r>
      <w:r>
        <w:rPr>
          <w:rFonts w:ascii="Arial"/>
          <w:i/>
          <w:sz w:val="24"/>
        </w:rPr>
        <w:t>infestans</w:t>
      </w:r>
    </w:p>
    <w:p>
      <w:pPr>
        <w:pStyle w:val="BodyText"/>
        <w:rPr>
          <w:i/>
        </w:rPr>
      </w:pPr>
    </w:p>
    <w:p>
      <w:pPr>
        <w:pStyle w:val="BodyText"/>
        <w:ind w:left="239"/>
        <w:jc w:val="both"/>
      </w:pPr>
      <w:r>
        <w:rPr/>
        <w:t>de cultivos de papa del Valle de Toluca.</w:t>
      </w:r>
    </w:p>
    <w:p>
      <w:pPr>
        <w:pStyle w:val="BodyText"/>
      </w:pPr>
    </w:p>
    <w:p>
      <w:pPr>
        <w:pStyle w:val="ListParagraph"/>
        <w:numPr>
          <w:ilvl w:val="0"/>
          <w:numId w:val="9"/>
        </w:numPr>
        <w:tabs>
          <w:tab w:pos="518" w:val="left" w:leader="none"/>
        </w:tabs>
        <w:spacing w:line="480" w:lineRule="auto" w:before="0" w:after="0"/>
        <w:ind w:left="239" w:right="260" w:firstLine="0"/>
        <w:jc w:val="both"/>
        <w:rPr>
          <w:rFonts w:ascii="Arial"/>
          <w:sz w:val="24"/>
        </w:rPr>
      </w:pPr>
      <w:r>
        <w:rPr>
          <w:rFonts w:ascii="Arial"/>
          <w:sz w:val="24"/>
        </w:rPr>
        <w:t>Valorar la capacidad de producir oosporas de los aislamientos de </w:t>
      </w:r>
      <w:r>
        <w:rPr>
          <w:rFonts w:ascii="Arial"/>
          <w:i/>
          <w:sz w:val="24"/>
        </w:rPr>
        <w:t>Phytophthora </w:t>
      </w:r>
      <w:r>
        <w:rPr>
          <w:rFonts w:ascii="Arial"/>
          <w:i/>
          <w:sz w:val="24"/>
        </w:rPr>
        <w:t>infestans </w:t>
      </w:r>
      <w:r>
        <w:rPr>
          <w:rFonts w:ascii="Arial"/>
          <w:sz w:val="24"/>
        </w:rPr>
        <w:t>obtenidos de cultivos comerciales de papa que son tratados con metalaxil.</w:t>
      </w:r>
    </w:p>
    <w:p>
      <w:pPr>
        <w:spacing w:after="0" w:line="480" w:lineRule="auto"/>
        <w:jc w:val="both"/>
        <w:rPr>
          <w:rFonts w:ascii="Arial"/>
          <w:sz w:val="24"/>
        </w:rPr>
        <w:sectPr>
          <w:pgSz w:w="12240" w:h="15840"/>
          <w:pgMar w:header="719" w:footer="740" w:top="1260" w:bottom="920" w:left="1460" w:right="1440"/>
        </w:sectPr>
      </w:pPr>
    </w:p>
    <w:p>
      <w:pPr>
        <w:pStyle w:val="BodyText"/>
        <w:rPr>
          <w:sz w:val="20"/>
        </w:rPr>
      </w:pPr>
    </w:p>
    <w:p>
      <w:pPr>
        <w:pStyle w:val="BodyText"/>
        <w:rPr>
          <w:sz w:val="20"/>
        </w:rPr>
      </w:pPr>
    </w:p>
    <w:p>
      <w:pPr>
        <w:pStyle w:val="BodyText"/>
        <w:rPr>
          <w:sz w:val="20"/>
        </w:rPr>
      </w:pPr>
    </w:p>
    <w:p>
      <w:pPr>
        <w:pStyle w:val="BodyText"/>
        <w:rPr>
          <w:sz w:val="20"/>
        </w:rPr>
      </w:pPr>
    </w:p>
    <w:p>
      <w:pPr>
        <w:pStyle w:val="Heading1"/>
        <w:numPr>
          <w:ilvl w:val="1"/>
          <w:numId w:val="1"/>
        </w:numPr>
        <w:tabs>
          <w:tab w:pos="2854" w:val="left" w:leader="none"/>
        </w:tabs>
        <w:spacing w:line="240" w:lineRule="auto" w:before="191" w:after="0"/>
        <w:ind w:left="2853" w:right="0" w:hanging="480"/>
        <w:jc w:val="left"/>
      </w:pPr>
      <w:bookmarkStart w:name="_TOC_250026" w:id="16"/>
      <w:r>
        <w:rPr/>
        <w:t>MATERIALES  Y</w:t>
      </w:r>
      <w:r>
        <w:rPr>
          <w:spacing w:val="32"/>
        </w:rPr>
        <w:t> </w:t>
      </w:r>
      <w:bookmarkEnd w:id="16"/>
      <w:r>
        <w:rPr/>
        <w:t>MÉTODOS</w:t>
      </w:r>
    </w:p>
    <w:p>
      <w:pPr>
        <w:pStyle w:val="Heading2"/>
        <w:numPr>
          <w:ilvl w:val="1"/>
          <w:numId w:val="10"/>
        </w:numPr>
        <w:tabs>
          <w:tab w:pos="707" w:val="left" w:leader="none"/>
        </w:tabs>
        <w:spacing w:line="240" w:lineRule="auto" w:before="203" w:after="0"/>
        <w:ind w:left="706" w:right="0" w:hanging="467"/>
        <w:jc w:val="both"/>
      </w:pPr>
      <w:bookmarkStart w:name="_TOC_250025" w:id="17"/>
      <w:bookmarkEnd w:id="17"/>
      <w:r>
        <w:rPr/>
        <w:t>Identificación del patrón de uso de metalaxil y su costo de remoción</w:t>
      </w:r>
    </w:p>
    <w:p>
      <w:pPr>
        <w:pStyle w:val="BodyText"/>
        <w:rPr>
          <w:b/>
        </w:rPr>
      </w:pPr>
    </w:p>
    <w:p>
      <w:pPr>
        <w:pStyle w:val="Heading2"/>
        <w:numPr>
          <w:ilvl w:val="2"/>
          <w:numId w:val="10"/>
        </w:numPr>
        <w:tabs>
          <w:tab w:pos="907" w:val="left" w:leader="none"/>
        </w:tabs>
        <w:spacing w:line="240" w:lineRule="auto" w:before="201" w:after="0"/>
        <w:ind w:left="906" w:right="0" w:hanging="667"/>
        <w:jc w:val="both"/>
      </w:pPr>
      <w:bookmarkStart w:name="_TOC_250024" w:id="18"/>
      <w:bookmarkEnd w:id="18"/>
      <w:r>
        <w:rPr/>
        <w:t>Área de estudio</w:t>
      </w:r>
    </w:p>
    <w:p>
      <w:pPr>
        <w:pStyle w:val="BodyText"/>
        <w:spacing w:before="6"/>
        <w:rPr>
          <w:b/>
          <w:sz w:val="23"/>
        </w:rPr>
      </w:pPr>
    </w:p>
    <w:p>
      <w:pPr>
        <w:pStyle w:val="BodyText"/>
        <w:spacing w:line="480" w:lineRule="auto"/>
        <w:ind w:left="239" w:right="260"/>
        <w:jc w:val="both"/>
      </w:pPr>
      <w:r>
        <w:rPr/>
        <w:t>El estudio se realizó en el municipio de Zinacantepec, ubicado a los 19º 17’ 00” de latitud norte y a los 99º 44’ 00” de longitud oeste del meridiano de Greenwich, y a una altitud de 2 740 msnm. Este municipio consta de una extensión de 30 868 hectáreas, de las cuales 19 440 pertenecen al Parque Nacional Nevado de Toluca (PNNT). Este municipio destina 611 hectáreas de temporal y 147 hectáreas de riego para el cultivo de papa, ubicándose como el segundo municipio productor en el Estado de México (SIAP, 2010). La superficie estudiada se encuentra a una altitud entre los 3 000 a 3 500 msnm (</w:t>
      </w:r>
      <w:r>
        <w:rPr>
          <w:b/>
        </w:rPr>
        <w:t>Figura 3</w:t>
      </w:r>
      <w:r>
        <w:rPr/>
        <w:t>).</w:t>
      </w:r>
    </w:p>
    <w:p>
      <w:pPr>
        <w:spacing w:after="0" w:line="480" w:lineRule="auto"/>
        <w:jc w:val="both"/>
        <w:sectPr>
          <w:pgSz w:w="12240" w:h="15840"/>
          <w:pgMar w:header="719" w:footer="740" w:top="1260" w:bottom="920" w:left="1460" w:right="1440"/>
        </w:sectPr>
      </w:pPr>
    </w:p>
    <w:p>
      <w:pPr>
        <w:pStyle w:val="BodyText"/>
        <w:spacing w:before="6" w:after="1"/>
        <w:rPr>
          <w:sz w:val="22"/>
        </w:rPr>
      </w:pPr>
    </w:p>
    <w:p>
      <w:pPr>
        <w:pStyle w:val="BodyText"/>
        <w:ind w:left="266"/>
        <w:rPr>
          <w:sz w:val="20"/>
        </w:rPr>
      </w:pPr>
      <w:r>
        <w:rPr>
          <w:sz w:val="20"/>
        </w:rPr>
        <w:pict>
          <v:group style="width:469.5pt;height:541.2pt;mso-position-horizontal-relative:char;mso-position-vertical-relative:line" coordorigin="0,0" coordsize="9390,10824">
            <v:shape style="position:absolute;left:15;top:15;width:9360;height:10793" type="#_x0000_t75" stroked="false">
              <v:imagedata r:id="rId18" o:title=""/>
            </v:shape>
            <v:rect style="position:absolute;left:7;top:8;width:9375;height:10808" filled="false" stroked="true" strokeweight=".75pt" strokecolor="#000000"/>
          </v:group>
        </w:pict>
      </w:r>
      <w:r>
        <w:rPr>
          <w:sz w:val="20"/>
        </w:rPr>
      </w:r>
    </w:p>
    <w:p>
      <w:pPr>
        <w:pStyle w:val="BodyText"/>
        <w:spacing w:line="274" w:lineRule="exact" w:before="8"/>
        <w:ind w:left="239" w:right="680"/>
        <w:jc w:val="both"/>
      </w:pPr>
      <w:r>
        <w:rPr/>
        <w:t>Figura 3. Localización de los predios de papa estudiados (Zinacantepec, Estado  de México. México).</w:t>
      </w:r>
    </w:p>
    <w:p>
      <w:pPr>
        <w:pStyle w:val="BodyText"/>
        <w:ind w:left="239" w:right="680"/>
        <w:jc w:val="both"/>
      </w:pPr>
      <w:r>
        <w:rPr/>
        <w:t>Fuente: López Orona, C. A., Peñuelas Rivas, C. G., Arteaga Reyes, T.T., y Martínez Campos, A. R. 2013. Análisis del costo de remoción de fungicidas utilizados en el control del tizón tardío (</w:t>
      </w:r>
      <w:r>
        <w:rPr>
          <w:i/>
        </w:rPr>
        <w:t>Phytophthora infestans</w:t>
      </w:r>
      <w:r>
        <w:rPr/>
        <w:t>) del cultivo de papa (</w:t>
      </w:r>
      <w:r>
        <w:rPr>
          <w:i/>
        </w:rPr>
        <w:t>Solanum tuberosum</w:t>
      </w:r>
      <w:r>
        <w:rPr/>
        <w:t>). Revista Internacional de Contaminación Ambiental 29 (4), 295-301.</w:t>
      </w:r>
    </w:p>
    <w:p>
      <w:pPr>
        <w:spacing w:after="0"/>
        <w:jc w:val="both"/>
        <w:sectPr>
          <w:pgSz w:w="12240" w:h="15840"/>
          <w:pgMar w:header="719" w:footer="740" w:top="1260" w:bottom="920" w:left="1460" w:right="1020"/>
        </w:sectPr>
      </w:pPr>
    </w:p>
    <w:p>
      <w:pPr>
        <w:pStyle w:val="BodyText"/>
        <w:rPr>
          <w:sz w:val="14"/>
        </w:rPr>
      </w:pPr>
    </w:p>
    <w:p>
      <w:pPr>
        <w:pStyle w:val="Heading2"/>
        <w:numPr>
          <w:ilvl w:val="2"/>
          <w:numId w:val="10"/>
        </w:numPr>
        <w:tabs>
          <w:tab w:pos="907" w:val="left" w:leader="none"/>
        </w:tabs>
        <w:spacing w:line="240" w:lineRule="auto" w:before="70" w:after="0"/>
        <w:ind w:left="906" w:right="0" w:hanging="667"/>
        <w:jc w:val="both"/>
      </w:pPr>
      <w:bookmarkStart w:name="_TOC_250023" w:id="19"/>
      <w:bookmarkEnd w:id="19"/>
      <w:r>
        <w:rPr/>
        <w:t>Marco de muestreo de productores de papa</w:t>
      </w:r>
    </w:p>
    <w:p>
      <w:pPr>
        <w:pStyle w:val="BodyText"/>
        <w:rPr>
          <w:b/>
        </w:rPr>
      </w:pPr>
    </w:p>
    <w:p>
      <w:pPr>
        <w:pStyle w:val="BodyText"/>
        <w:spacing w:line="480" w:lineRule="auto"/>
        <w:ind w:left="239" w:right="260"/>
        <w:jc w:val="both"/>
      </w:pPr>
      <w:r>
        <w:rPr/>
        <w:t>Se eligió a los productores por muestreo estratificado aplicando la metodología descrita por Scheaffer </w:t>
      </w:r>
      <w:r>
        <w:rPr>
          <w:i/>
        </w:rPr>
        <w:t>et al. </w:t>
      </w:r>
      <w:r>
        <w:rPr/>
        <w:t>(1986), clasificándolos de acuerdo con el sistema de producción: a) riego y b) temporal. Se encuestó a 43 productores de papa de un total de 71 productores del municipio de Zinacantepec, con base en la superficie sembrada de papa por productor, registrada en las bases de los Centros de Apoyo al Desarrollo Rural (CADER) y de los Distritos de Desarrollo Rural (DDR) del Estado de México. El estudio abarcó 181 hectáreas de temporal y 46 hectáreas de riego, todas incorporadas al PNNT.</w:t>
      </w:r>
    </w:p>
    <w:p>
      <w:pPr>
        <w:pStyle w:val="BodyText"/>
      </w:pPr>
    </w:p>
    <w:p>
      <w:pPr>
        <w:pStyle w:val="BodyText"/>
      </w:pPr>
    </w:p>
    <w:p>
      <w:pPr>
        <w:pStyle w:val="Heading2"/>
        <w:numPr>
          <w:ilvl w:val="2"/>
          <w:numId w:val="10"/>
        </w:numPr>
        <w:tabs>
          <w:tab w:pos="973" w:val="left" w:leader="none"/>
        </w:tabs>
        <w:spacing w:line="240" w:lineRule="auto" w:before="209" w:after="0"/>
        <w:ind w:left="973" w:right="0" w:hanging="668"/>
        <w:jc w:val="both"/>
      </w:pPr>
      <w:r>
        <w:rPr/>
        <w:t>Encuestas</w:t>
      </w:r>
    </w:p>
    <w:p>
      <w:pPr>
        <w:pStyle w:val="BodyText"/>
        <w:spacing w:before="6"/>
        <w:rPr>
          <w:b/>
          <w:sz w:val="23"/>
        </w:rPr>
      </w:pPr>
    </w:p>
    <w:p>
      <w:pPr>
        <w:pStyle w:val="BodyText"/>
        <w:spacing w:line="480" w:lineRule="auto"/>
        <w:ind w:left="239" w:right="260"/>
        <w:jc w:val="both"/>
      </w:pPr>
      <w:r>
        <w:rPr/>
        <w:t>Se utilizaron cuestionarios de preguntas abiertas y cerradas (Briones, 1996) con tres secciones: económica (precio de mercado y costos de producción), productiva (superficie sembrada, rendimiento, número de ciclos de siembra, fertilización y riego) y prácticas de control del patógeno (fungicidas utilizados, dosis, frecuencia y modo de aplicación).</w:t>
      </w:r>
    </w:p>
    <w:p>
      <w:pPr>
        <w:pStyle w:val="BodyText"/>
      </w:pPr>
    </w:p>
    <w:p>
      <w:pPr>
        <w:pStyle w:val="BodyText"/>
      </w:pPr>
    </w:p>
    <w:p>
      <w:pPr>
        <w:pStyle w:val="Heading2"/>
        <w:numPr>
          <w:ilvl w:val="2"/>
          <w:numId w:val="10"/>
        </w:numPr>
        <w:tabs>
          <w:tab w:pos="907" w:val="left" w:leader="none"/>
        </w:tabs>
        <w:spacing w:line="240" w:lineRule="auto" w:before="209" w:after="0"/>
        <w:ind w:left="906" w:right="0" w:hanging="667"/>
        <w:jc w:val="both"/>
      </w:pPr>
      <w:bookmarkStart w:name="_TOC_250022" w:id="20"/>
      <w:bookmarkEnd w:id="20"/>
      <w:r>
        <w:rPr/>
        <w:t>Cantidad de fungicidas utilizados</w:t>
      </w:r>
    </w:p>
    <w:p>
      <w:pPr>
        <w:pStyle w:val="BodyText"/>
        <w:rPr>
          <w:b/>
        </w:rPr>
      </w:pPr>
    </w:p>
    <w:p>
      <w:pPr>
        <w:pStyle w:val="BodyText"/>
        <w:spacing w:line="480" w:lineRule="auto"/>
        <w:ind w:left="239" w:right="260"/>
        <w:jc w:val="both"/>
      </w:pPr>
      <w:r>
        <w:rPr/>
        <w:t>Para determinar la cantidad anual y excedentes de ingredientes activos utilizados, se investigó la composición y concentración de cada fungicida en el catálogo oficial de plaguicidas (CICOPLAFEST, 2004), y la dosis recomendada para cada uno de estos por el Comité de Acción para la Resistencia a Fungicidas (2011) (FRAC,</w:t>
      </w:r>
      <w:r>
        <w:rPr>
          <w:spacing w:val="28"/>
        </w:rPr>
        <w:t> </w:t>
      </w:r>
      <w:r>
        <w:rPr/>
        <w:t>por</w:t>
      </w:r>
      <w:r>
        <w:rPr>
          <w:spacing w:val="28"/>
        </w:rPr>
        <w:t> </w:t>
      </w:r>
      <w:r>
        <w:rPr/>
        <w:t>sus</w:t>
      </w:r>
      <w:r>
        <w:rPr>
          <w:spacing w:val="28"/>
        </w:rPr>
        <w:t> </w:t>
      </w:r>
      <w:r>
        <w:rPr/>
        <w:t>siglas</w:t>
      </w:r>
      <w:r>
        <w:rPr>
          <w:spacing w:val="28"/>
        </w:rPr>
        <w:t> </w:t>
      </w:r>
      <w:r>
        <w:rPr/>
        <w:t>en</w:t>
      </w:r>
      <w:r>
        <w:rPr>
          <w:spacing w:val="28"/>
        </w:rPr>
        <w:t> </w:t>
      </w:r>
      <w:r>
        <w:rPr/>
        <w:t>inglés),</w:t>
      </w:r>
      <w:r>
        <w:rPr>
          <w:spacing w:val="28"/>
        </w:rPr>
        <w:t> </w:t>
      </w:r>
      <w:r>
        <w:rPr/>
        <w:t>así</w:t>
      </w:r>
      <w:r>
        <w:rPr>
          <w:spacing w:val="28"/>
        </w:rPr>
        <w:t> </w:t>
      </w:r>
      <w:r>
        <w:rPr/>
        <w:t>como</w:t>
      </w:r>
      <w:r>
        <w:rPr>
          <w:spacing w:val="28"/>
        </w:rPr>
        <w:t> </w:t>
      </w:r>
      <w:r>
        <w:rPr/>
        <w:t>la</w:t>
      </w:r>
      <w:r>
        <w:rPr>
          <w:spacing w:val="28"/>
        </w:rPr>
        <w:t> </w:t>
      </w:r>
      <w:r>
        <w:rPr/>
        <w:t>superficie</w:t>
      </w:r>
      <w:r>
        <w:rPr>
          <w:spacing w:val="28"/>
        </w:rPr>
        <w:t> </w:t>
      </w:r>
      <w:r>
        <w:rPr/>
        <w:t>de</w:t>
      </w:r>
      <w:r>
        <w:rPr>
          <w:spacing w:val="28"/>
        </w:rPr>
        <w:t> </w:t>
      </w:r>
      <w:r>
        <w:rPr/>
        <w:t>siembra,</w:t>
      </w:r>
      <w:r>
        <w:rPr>
          <w:spacing w:val="28"/>
        </w:rPr>
        <w:t> </w:t>
      </w:r>
      <w:r>
        <w:rPr/>
        <w:t>la</w:t>
      </w:r>
      <w:r>
        <w:rPr>
          <w:spacing w:val="28"/>
        </w:rPr>
        <w:t> </w:t>
      </w:r>
      <w:r>
        <w:rPr/>
        <w:t>dosis</w:t>
      </w:r>
      <w:r>
        <w:rPr>
          <w:spacing w:val="28"/>
        </w:rPr>
        <w:t> </w:t>
      </w:r>
      <w:r>
        <w:rPr/>
        <w:t>de</w:t>
      </w:r>
    </w:p>
    <w:p>
      <w:pPr>
        <w:spacing w:after="0" w:line="480" w:lineRule="auto"/>
        <w:jc w:val="both"/>
        <w:sectPr>
          <w:pgSz w:w="12240" w:h="15840"/>
          <w:pgMar w:header="719" w:footer="740" w:top="1260" w:bottom="920" w:left="1460" w:right="1440"/>
        </w:sectPr>
      </w:pPr>
    </w:p>
    <w:p>
      <w:pPr>
        <w:pStyle w:val="BodyText"/>
        <w:rPr>
          <w:sz w:val="14"/>
        </w:rPr>
      </w:pPr>
    </w:p>
    <w:p>
      <w:pPr>
        <w:pStyle w:val="BodyText"/>
        <w:spacing w:line="477" w:lineRule="auto" w:before="70"/>
        <w:ind w:left="239" w:right="260"/>
        <w:jc w:val="both"/>
      </w:pPr>
      <w:r>
        <w:rPr/>
        <w:t>estos fungicidas utilizada en campo, la frecuencia de aplicación de los mismos y el sistema de producción (riego o temporal). La acumulación y destino de los fungicidas se determinó por recopilación de información de las siguientes propiedades para cada grupo químico que conforma el ingrediente activo: coeficientes de partición en materia orgánica (K</w:t>
      </w:r>
      <w:r>
        <w:rPr>
          <w:position w:val="-2"/>
          <w:sz w:val="16"/>
        </w:rPr>
        <w:t>OC</w:t>
      </w:r>
      <w:r>
        <w:rPr/>
        <w:t>), constantes de adsorción (K</w:t>
      </w:r>
      <w:r>
        <w:rPr>
          <w:position w:val="-2"/>
          <w:sz w:val="16"/>
        </w:rPr>
        <w:t>d</w:t>
      </w:r>
      <w:r>
        <w:rPr/>
        <w:t>), vidas medias (t</w:t>
      </w:r>
      <w:r>
        <w:rPr>
          <w:position w:val="-2"/>
          <w:sz w:val="16"/>
        </w:rPr>
        <w:t>1/2</w:t>
      </w:r>
      <w:r>
        <w:rPr/>
        <w:t>) y categoría toxicológica.</w:t>
      </w:r>
    </w:p>
    <w:p>
      <w:pPr>
        <w:pStyle w:val="BodyText"/>
      </w:pPr>
    </w:p>
    <w:p>
      <w:pPr>
        <w:pStyle w:val="BodyText"/>
      </w:pPr>
    </w:p>
    <w:p>
      <w:pPr>
        <w:pStyle w:val="BodyText"/>
      </w:pPr>
    </w:p>
    <w:p>
      <w:pPr>
        <w:pStyle w:val="BodyText"/>
      </w:pPr>
    </w:p>
    <w:p>
      <w:pPr>
        <w:pStyle w:val="Heading2"/>
        <w:numPr>
          <w:ilvl w:val="2"/>
          <w:numId w:val="10"/>
        </w:numPr>
        <w:tabs>
          <w:tab w:pos="907" w:val="left" w:leader="none"/>
        </w:tabs>
        <w:spacing w:line="240" w:lineRule="auto" w:before="186" w:after="0"/>
        <w:ind w:left="906" w:right="0" w:hanging="667"/>
        <w:jc w:val="both"/>
      </w:pPr>
      <w:bookmarkStart w:name="_TOC_250021" w:id="21"/>
      <w:bookmarkEnd w:id="21"/>
      <w:r>
        <w:rPr/>
        <w:t>Análisis estadístico</w:t>
      </w:r>
    </w:p>
    <w:p>
      <w:pPr>
        <w:pStyle w:val="BodyText"/>
        <w:rPr>
          <w:b/>
        </w:rPr>
      </w:pPr>
    </w:p>
    <w:p>
      <w:pPr>
        <w:pStyle w:val="BodyText"/>
        <w:spacing w:line="480" w:lineRule="auto"/>
        <w:ind w:left="239" w:right="260"/>
        <w:jc w:val="both"/>
      </w:pPr>
      <w:r>
        <w:rPr/>
        <w:t>Los datos se analizaron mediante prueba de Tukey a nivel de significancia de  0.05, utilizando el paquete estadístico SAS versión 6.12 (SAS Institute,</w:t>
      </w:r>
      <w:r>
        <w:rPr>
          <w:spacing w:val="-2"/>
        </w:rPr>
        <w:t> </w:t>
      </w:r>
      <w:r>
        <w:rPr/>
        <w:t>1998).</w:t>
      </w:r>
    </w:p>
    <w:p>
      <w:pPr>
        <w:pStyle w:val="BodyText"/>
      </w:pPr>
    </w:p>
    <w:p>
      <w:pPr>
        <w:pStyle w:val="BodyText"/>
      </w:pPr>
    </w:p>
    <w:p>
      <w:pPr>
        <w:pStyle w:val="Heading2"/>
        <w:numPr>
          <w:ilvl w:val="2"/>
          <w:numId w:val="10"/>
        </w:numPr>
        <w:tabs>
          <w:tab w:pos="907" w:val="left" w:leader="none"/>
        </w:tabs>
        <w:spacing w:line="240" w:lineRule="auto" w:before="204" w:after="0"/>
        <w:ind w:left="906" w:right="0" w:hanging="667"/>
        <w:jc w:val="both"/>
      </w:pPr>
      <w:bookmarkStart w:name="_TOC_250020" w:id="22"/>
      <w:bookmarkEnd w:id="22"/>
      <w:r>
        <w:rPr/>
        <w:t>Análisis de costos por remoción de fungicidas en suelo</w:t>
      </w:r>
    </w:p>
    <w:p>
      <w:pPr>
        <w:pStyle w:val="BodyText"/>
        <w:rPr>
          <w:b/>
        </w:rPr>
      </w:pPr>
    </w:p>
    <w:p>
      <w:pPr>
        <w:pStyle w:val="BodyText"/>
        <w:spacing w:line="480" w:lineRule="auto"/>
        <w:ind w:left="239" w:right="260"/>
        <w:jc w:val="both"/>
      </w:pPr>
      <w:r>
        <w:rPr/>
        <w:t>La estimación de los costos de remoción de contaminantes se determinó por analogía con los costos reportados en el proceso de electro-remediación de suelos aplicado por la empresa Environmental &amp; Technology Services en 1997 (Loo y Chilingar, 1997) actualizados a valor presente de acuerdo con la inflación reportada por el Instituto Nacional de Estadística y Geografía (INEGI, 2011), considerando un alcance de acumulación de los fungicidas durante el ciclo de vida de la parcela de medio metro de profundidad y una densidad real del suelo de 1.33 kg/L (equivalente a 6.65 toneladas de suelo contaminado por</w:t>
      </w:r>
      <w:r>
        <w:rPr>
          <w:spacing w:val="-1"/>
        </w:rPr>
        <w:t> </w:t>
      </w:r>
      <w:r>
        <w:rPr/>
        <w:t>hectárea).</w:t>
      </w:r>
    </w:p>
    <w:p>
      <w:pPr>
        <w:spacing w:after="0" w:line="480" w:lineRule="auto"/>
        <w:jc w:val="both"/>
        <w:sectPr>
          <w:pgSz w:w="12240" w:h="15840"/>
          <w:pgMar w:header="719" w:footer="740" w:top="1260" w:bottom="920" w:left="1460" w:right="1440"/>
        </w:sectPr>
      </w:pPr>
    </w:p>
    <w:p>
      <w:pPr>
        <w:pStyle w:val="BodyText"/>
        <w:rPr>
          <w:sz w:val="14"/>
        </w:rPr>
      </w:pPr>
    </w:p>
    <w:p>
      <w:pPr>
        <w:pStyle w:val="Heading2"/>
        <w:numPr>
          <w:ilvl w:val="1"/>
          <w:numId w:val="10"/>
        </w:numPr>
        <w:tabs>
          <w:tab w:pos="838" w:val="left" w:leader="none"/>
        </w:tabs>
        <w:spacing w:line="240" w:lineRule="auto" w:before="70" w:after="0"/>
        <w:ind w:left="837" w:right="0" w:hanging="598"/>
        <w:jc w:val="both"/>
      </w:pPr>
      <w:bookmarkStart w:name="_TOC_250019" w:id="23"/>
      <w:r>
        <w:rPr/>
        <w:t>Determinación   del   tipo   de   apareamiento   de   los   aislamientos </w:t>
      </w:r>
      <w:r>
        <w:rPr>
          <w:spacing w:val="50"/>
        </w:rPr>
        <w:t> </w:t>
      </w:r>
      <w:bookmarkEnd w:id="23"/>
      <w:r>
        <w:rPr/>
        <w:t>de</w:t>
      </w:r>
    </w:p>
    <w:p>
      <w:pPr>
        <w:pStyle w:val="BodyText"/>
        <w:rPr>
          <w:b/>
        </w:rPr>
      </w:pPr>
    </w:p>
    <w:p>
      <w:pPr>
        <w:pStyle w:val="Heading3"/>
        <w:rPr>
          <w:i/>
        </w:rPr>
      </w:pPr>
      <w:bookmarkStart w:name="_TOC_250018" w:id="24"/>
      <w:bookmarkEnd w:id="24"/>
      <w:r>
        <w:rPr>
          <w:i/>
        </w:rPr>
        <w:t>Phytophthora infestans</w:t>
      </w:r>
    </w:p>
    <w:p>
      <w:pPr>
        <w:pStyle w:val="BodyText"/>
        <w:rPr>
          <w:b/>
          <w:i/>
        </w:rPr>
      </w:pPr>
    </w:p>
    <w:p>
      <w:pPr>
        <w:pStyle w:val="Heading2"/>
        <w:numPr>
          <w:ilvl w:val="2"/>
          <w:numId w:val="10"/>
        </w:numPr>
        <w:tabs>
          <w:tab w:pos="907" w:val="left" w:leader="none"/>
        </w:tabs>
        <w:spacing w:line="240" w:lineRule="auto" w:before="201" w:after="0"/>
        <w:ind w:left="906" w:right="0" w:hanging="667"/>
        <w:jc w:val="both"/>
      </w:pPr>
      <w:bookmarkStart w:name="_TOC_250017" w:id="25"/>
      <w:r>
        <w:rPr/>
        <w:t>Origen de los</w:t>
      </w:r>
      <w:r>
        <w:rPr>
          <w:spacing w:val="-3"/>
        </w:rPr>
        <w:t> </w:t>
      </w:r>
      <w:bookmarkEnd w:id="25"/>
      <w:r>
        <w:rPr/>
        <w:t>aislamientos</w:t>
      </w:r>
    </w:p>
    <w:p>
      <w:pPr>
        <w:pStyle w:val="BodyText"/>
        <w:rPr>
          <w:b/>
        </w:rPr>
      </w:pPr>
    </w:p>
    <w:p>
      <w:pPr>
        <w:pStyle w:val="BodyText"/>
        <w:spacing w:line="480" w:lineRule="auto"/>
        <w:ind w:left="239" w:right="260"/>
        <w:jc w:val="both"/>
      </w:pPr>
      <w:r>
        <w:rPr/>
        <w:t>Los aislamientos se obtuvieron a partir de follaje infectado de cultivos comerciales de papa (</w:t>
      </w:r>
      <w:r>
        <w:rPr>
          <w:i/>
        </w:rPr>
        <w:t>Solanum tuberosum</w:t>
      </w:r>
      <w:r>
        <w:rPr/>
        <w:t>) del municipio de Zinacantepec. El código y número de aislamientos se muestran en el </w:t>
      </w:r>
      <w:r>
        <w:rPr>
          <w:b/>
        </w:rPr>
        <w:t>Cuadro 1</w:t>
      </w:r>
      <w:r>
        <w:rPr/>
        <w:t>.</w:t>
      </w:r>
    </w:p>
    <w:p>
      <w:pPr>
        <w:pStyle w:val="BodyText"/>
        <w:spacing w:before="5"/>
      </w:pPr>
    </w:p>
    <w:p>
      <w:pPr>
        <w:spacing w:before="0"/>
        <w:ind w:left="239" w:right="0" w:firstLine="0"/>
        <w:jc w:val="both"/>
        <w:rPr>
          <w:sz w:val="24"/>
        </w:rPr>
      </w:pPr>
      <w:r>
        <w:rPr>
          <w:b/>
          <w:sz w:val="24"/>
        </w:rPr>
        <w:t>Cuadro 1</w:t>
      </w:r>
      <w:r>
        <w:rPr>
          <w:sz w:val="24"/>
        </w:rPr>
        <w:t>. Código de aislamientos de </w:t>
      </w:r>
      <w:r>
        <w:rPr>
          <w:i/>
          <w:sz w:val="24"/>
        </w:rPr>
        <w:t>Phytophthora infestans </w:t>
      </w:r>
      <w:r>
        <w:rPr>
          <w:sz w:val="24"/>
        </w:rPr>
        <w:t>obtenidos de</w:t>
      </w:r>
    </w:p>
    <w:p>
      <w:pPr>
        <w:tabs>
          <w:tab w:pos="7602" w:val="left" w:leader="none"/>
        </w:tabs>
        <w:spacing w:before="2"/>
        <w:ind w:left="239" w:right="0" w:firstLine="0"/>
        <w:jc w:val="both"/>
        <w:rPr>
          <w:sz w:val="24"/>
        </w:rPr>
      </w:pPr>
      <w:r>
        <w:rPr>
          <w:i/>
          <w:sz w:val="24"/>
        </w:rPr>
        <w:t>Solanum tube</w:t>
      </w:r>
      <w:r>
        <w:rPr>
          <w:i/>
          <w:sz w:val="24"/>
          <w:u w:val="single"/>
        </w:rPr>
        <w:t>rosum </w:t>
      </w:r>
      <w:r>
        <w:rPr>
          <w:sz w:val="24"/>
          <w:u w:val="single"/>
        </w:rPr>
        <w:t>en distintas localidades y</w:t>
      </w:r>
      <w:r>
        <w:rPr>
          <w:spacing w:val="-1"/>
          <w:sz w:val="24"/>
          <w:u w:val="single"/>
        </w:rPr>
        <w:t> </w:t>
      </w:r>
      <w:r>
        <w:rPr>
          <w:sz w:val="24"/>
          <w:u w:val="single"/>
        </w:rPr>
        <w:t>años.</w:t>
        <w:tab/>
      </w:r>
    </w:p>
    <w:tbl>
      <w:tblPr>
        <w:tblW w:w="0" w:type="auto"/>
        <w:jc w:val="left"/>
        <w:tblInd w:w="17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88"/>
        <w:gridCol w:w="1815"/>
        <w:gridCol w:w="2186"/>
      </w:tblGrid>
      <w:tr>
        <w:trPr>
          <w:trHeight w:val="385" w:hRule="exact"/>
        </w:trPr>
        <w:tc>
          <w:tcPr>
            <w:tcW w:w="1888" w:type="dxa"/>
            <w:tcBorders>
              <w:bottom w:val="single" w:sz="4" w:space="0" w:color="000000"/>
            </w:tcBorders>
          </w:tcPr>
          <w:p>
            <w:pPr>
              <w:pStyle w:val="TableParagraph"/>
              <w:spacing w:line="193" w:lineRule="exact"/>
              <w:ind w:left="110"/>
              <w:rPr>
                <w:rFonts w:ascii="Arial"/>
                <w:b/>
                <w:sz w:val="9"/>
              </w:rPr>
            </w:pPr>
            <w:r>
              <w:rPr>
                <w:rFonts w:ascii="Arial"/>
                <w:b/>
                <w:sz w:val="16"/>
              </w:rPr>
              <w:t>Localidad</w:t>
            </w:r>
            <w:r>
              <w:rPr>
                <w:rFonts w:ascii="Arial"/>
                <w:b/>
                <w:position w:val="8"/>
                <w:sz w:val="9"/>
              </w:rPr>
              <w:t>a</w:t>
            </w:r>
          </w:p>
        </w:tc>
        <w:tc>
          <w:tcPr>
            <w:tcW w:w="1815" w:type="dxa"/>
            <w:tcBorders>
              <w:bottom w:val="single" w:sz="4" w:space="0" w:color="000000"/>
            </w:tcBorders>
          </w:tcPr>
          <w:p>
            <w:pPr>
              <w:pStyle w:val="TableParagraph"/>
              <w:spacing w:line="193" w:lineRule="exact"/>
              <w:ind w:right="465"/>
              <w:jc w:val="right"/>
              <w:rPr>
                <w:rFonts w:ascii="Arial" w:hAnsi="Arial"/>
                <w:b/>
                <w:sz w:val="9"/>
              </w:rPr>
            </w:pPr>
            <w:r>
              <w:rPr>
                <w:rFonts w:ascii="Arial" w:hAnsi="Arial"/>
                <w:b/>
                <w:sz w:val="16"/>
              </w:rPr>
              <w:t>Año</w:t>
            </w:r>
            <w:r>
              <w:rPr>
                <w:rFonts w:ascii="Arial" w:hAnsi="Arial"/>
                <w:b/>
                <w:position w:val="8"/>
                <w:sz w:val="9"/>
              </w:rPr>
              <w:t>b</w:t>
            </w:r>
          </w:p>
        </w:tc>
        <w:tc>
          <w:tcPr>
            <w:tcW w:w="2186" w:type="dxa"/>
            <w:tcBorders>
              <w:bottom w:val="single" w:sz="4" w:space="0" w:color="000000"/>
            </w:tcBorders>
          </w:tcPr>
          <w:p>
            <w:pPr>
              <w:pStyle w:val="TableParagraph"/>
              <w:spacing w:line="193" w:lineRule="exact"/>
              <w:ind w:left="467"/>
              <w:rPr>
                <w:rFonts w:ascii="Arial" w:hAnsi="Arial"/>
                <w:b/>
                <w:sz w:val="9"/>
              </w:rPr>
            </w:pPr>
            <w:r>
              <w:rPr>
                <w:rFonts w:ascii="Arial" w:hAnsi="Arial"/>
                <w:b/>
                <w:sz w:val="16"/>
              </w:rPr>
              <w:t>Código</w:t>
            </w:r>
            <w:r>
              <w:rPr>
                <w:rFonts w:ascii="Arial" w:hAnsi="Arial"/>
                <w:b/>
                <w:position w:val="8"/>
                <w:sz w:val="9"/>
              </w:rPr>
              <w:t>c</w:t>
            </w:r>
          </w:p>
        </w:tc>
      </w:tr>
      <w:tr>
        <w:trPr>
          <w:trHeight w:val="252" w:hRule="exact"/>
        </w:trPr>
        <w:tc>
          <w:tcPr>
            <w:tcW w:w="1888" w:type="dxa"/>
            <w:tcBorders>
              <w:top w:val="single" w:sz="4" w:space="0" w:color="000000"/>
            </w:tcBorders>
          </w:tcPr>
          <w:p>
            <w:pPr>
              <w:pStyle w:val="TableParagraph"/>
              <w:spacing w:line="159" w:lineRule="exact"/>
              <w:ind w:left="110"/>
              <w:rPr>
                <w:rFonts w:ascii="Arial" w:hAnsi="Arial"/>
                <w:sz w:val="14"/>
              </w:rPr>
            </w:pPr>
            <w:r>
              <w:rPr>
                <w:rFonts w:ascii="Arial" w:hAnsi="Arial"/>
                <w:sz w:val="14"/>
              </w:rPr>
              <w:t>La Peñuela</w:t>
            </w:r>
          </w:p>
        </w:tc>
        <w:tc>
          <w:tcPr>
            <w:tcW w:w="1815" w:type="dxa"/>
            <w:tcBorders>
              <w:top w:val="single" w:sz="4" w:space="0" w:color="000000"/>
            </w:tcBorders>
          </w:tcPr>
          <w:p>
            <w:pPr>
              <w:pStyle w:val="TableParagraph"/>
              <w:spacing w:line="159" w:lineRule="exact"/>
              <w:ind w:right="524"/>
              <w:jc w:val="right"/>
              <w:rPr>
                <w:rFonts w:ascii="Arial"/>
                <w:sz w:val="14"/>
              </w:rPr>
            </w:pPr>
            <w:r>
              <w:rPr>
                <w:rFonts w:ascii="Arial"/>
                <w:w w:val="95"/>
                <w:sz w:val="14"/>
              </w:rPr>
              <w:t>2011</w:t>
            </w:r>
          </w:p>
        </w:tc>
        <w:tc>
          <w:tcPr>
            <w:tcW w:w="2186" w:type="dxa"/>
            <w:tcBorders>
              <w:top w:val="single" w:sz="4" w:space="0" w:color="000000"/>
            </w:tcBorders>
          </w:tcPr>
          <w:p>
            <w:pPr>
              <w:pStyle w:val="TableParagraph"/>
              <w:spacing w:line="159" w:lineRule="exact"/>
              <w:ind w:left="467"/>
              <w:rPr>
                <w:rFonts w:ascii="Arial"/>
                <w:sz w:val="14"/>
              </w:rPr>
            </w:pPr>
            <w:r>
              <w:rPr>
                <w:rFonts w:ascii="Arial"/>
                <w:sz w:val="14"/>
              </w:rPr>
              <w:t>LP1</w:t>
            </w:r>
          </w:p>
        </w:tc>
      </w:tr>
      <w:tr>
        <w:trPr>
          <w:trHeight w:val="322" w:hRule="exact"/>
        </w:trPr>
        <w:tc>
          <w:tcPr>
            <w:tcW w:w="1888" w:type="dxa"/>
          </w:tcPr>
          <w:p>
            <w:pPr/>
          </w:p>
        </w:tc>
        <w:tc>
          <w:tcPr>
            <w:tcW w:w="1815" w:type="dxa"/>
          </w:tcPr>
          <w:p>
            <w:pPr>
              <w:pStyle w:val="TableParagraph"/>
              <w:spacing w:before="72"/>
              <w:ind w:right="524"/>
              <w:jc w:val="right"/>
              <w:rPr>
                <w:rFonts w:ascii="Arial"/>
                <w:sz w:val="14"/>
              </w:rPr>
            </w:pPr>
            <w:r>
              <w:rPr>
                <w:rFonts w:ascii="Arial"/>
                <w:w w:val="95"/>
                <w:sz w:val="14"/>
              </w:rPr>
              <w:t>2011</w:t>
            </w:r>
          </w:p>
        </w:tc>
        <w:tc>
          <w:tcPr>
            <w:tcW w:w="2186" w:type="dxa"/>
          </w:tcPr>
          <w:p>
            <w:pPr>
              <w:pStyle w:val="TableParagraph"/>
              <w:spacing w:before="72"/>
              <w:ind w:left="467"/>
              <w:rPr>
                <w:rFonts w:ascii="Arial"/>
                <w:sz w:val="14"/>
              </w:rPr>
            </w:pPr>
            <w:r>
              <w:rPr>
                <w:rFonts w:ascii="Arial"/>
                <w:sz w:val="14"/>
              </w:rPr>
              <w:t>LP2</w:t>
            </w:r>
          </w:p>
        </w:tc>
      </w:tr>
      <w:tr>
        <w:trPr>
          <w:trHeight w:val="322" w:hRule="exact"/>
        </w:trPr>
        <w:tc>
          <w:tcPr>
            <w:tcW w:w="1888" w:type="dxa"/>
          </w:tcPr>
          <w:p>
            <w:pPr/>
          </w:p>
        </w:tc>
        <w:tc>
          <w:tcPr>
            <w:tcW w:w="1815" w:type="dxa"/>
          </w:tcPr>
          <w:p>
            <w:pPr>
              <w:pStyle w:val="TableParagraph"/>
              <w:spacing w:before="72"/>
              <w:ind w:right="524"/>
              <w:jc w:val="right"/>
              <w:rPr>
                <w:rFonts w:ascii="Arial"/>
                <w:sz w:val="14"/>
              </w:rPr>
            </w:pPr>
            <w:r>
              <w:rPr>
                <w:rFonts w:ascii="Arial"/>
                <w:w w:val="95"/>
                <w:sz w:val="14"/>
              </w:rPr>
              <w:t>2011</w:t>
            </w:r>
          </w:p>
        </w:tc>
        <w:tc>
          <w:tcPr>
            <w:tcW w:w="2186" w:type="dxa"/>
          </w:tcPr>
          <w:p>
            <w:pPr>
              <w:pStyle w:val="TableParagraph"/>
              <w:spacing w:before="72"/>
              <w:ind w:left="467"/>
              <w:rPr>
                <w:rFonts w:ascii="Arial"/>
                <w:sz w:val="14"/>
              </w:rPr>
            </w:pPr>
            <w:r>
              <w:rPr>
                <w:rFonts w:ascii="Arial"/>
                <w:sz w:val="14"/>
              </w:rPr>
              <w:t>LP3</w:t>
            </w:r>
          </w:p>
        </w:tc>
      </w:tr>
      <w:tr>
        <w:trPr>
          <w:trHeight w:val="322" w:hRule="exact"/>
        </w:trPr>
        <w:tc>
          <w:tcPr>
            <w:tcW w:w="1888" w:type="dxa"/>
          </w:tcPr>
          <w:p>
            <w:pPr/>
          </w:p>
        </w:tc>
        <w:tc>
          <w:tcPr>
            <w:tcW w:w="1815" w:type="dxa"/>
          </w:tcPr>
          <w:p>
            <w:pPr>
              <w:pStyle w:val="TableParagraph"/>
              <w:spacing w:before="72"/>
              <w:ind w:right="524"/>
              <w:jc w:val="right"/>
              <w:rPr>
                <w:rFonts w:ascii="Arial"/>
                <w:sz w:val="14"/>
              </w:rPr>
            </w:pPr>
            <w:r>
              <w:rPr>
                <w:rFonts w:ascii="Arial"/>
                <w:w w:val="95"/>
                <w:sz w:val="14"/>
              </w:rPr>
              <w:t>2011</w:t>
            </w:r>
          </w:p>
        </w:tc>
        <w:tc>
          <w:tcPr>
            <w:tcW w:w="2186" w:type="dxa"/>
          </w:tcPr>
          <w:p>
            <w:pPr>
              <w:pStyle w:val="TableParagraph"/>
              <w:spacing w:before="72"/>
              <w:ind w:left="467"/>
              <w:rPr>
                <w:rFonts w:ascii="Arial"/>
                <w:sz w:val="14"/>
              </w:rPr>
            </w:pPr>
            <w:r>
              <w:rPr>
                <w:rFonts w:ascii="Arial"/>
                <w:sz w:val="14"/>
              </w:rPr>
              <w:t>LP4</w:t>
            </w:r>
          </w:p>
        </w:tc>
      </w:tr>
      <w:tr>
        <w:trPr>
          <w:trHeight w:val="322" w:hRule="exact"/>
        </w:trPr>
        <w:tc>
          <w:tcPr>
            <w:tcW w:w="1888" w:type="dxa"/>
          </w:tcPr>
          <w:p>
            <w:pPr/>
          </w:p>
        </w:tc>
        <w:tc>
          <w:tcPr>
            <w:tcW w:w="1815" w:type="dxa"/>
          </w:tcPr>
          <w:p>
            <w:pPr>
              <w:pStyle w:val="TableParagraph"/>
              <w:spacing w:before="72"/>
              <w:ind w:right="524"/>
              <w:jc w:val="right"/>
              <w:rPr>
                <w:rFonts w:ascii="Arial"/>
                <w:sz w:val="14"/>
              </w:rPr>
            </w:pPr>
            <w:r>
              <w:rPr>
                <w:rFonts w:ascii="Arial"/>
                <w:w w:val="95"/>
                <w:sz w:val="14"/>
              </w:rPr>
              <w:t>2011</w:t>
            </w:r>
          </w:p>
        </w:tc>
        <w:tc>
          <w:tcPr>
            <w:tcW w:w="2186" w:type="dxa"/>
          </w:tcPr>
          <w:p>
            <w:pPr>
              <w:pStyle w:val="TableParagraph"/>
              <w:spacing w:before="72"/>
              <w:ind w:left="467"/>
              <w:rPr>
                <w:rFonts w:ascii="Arial"/>
                <w:sz w:val="14"/>
              </w:rPr>
            </w:pPr>
            <w:r>
              <w:rPr>
                <w:rFonts w:ascii="Arial"/>
                <w:sz w:val="14"/>
              </w:rPr>
              <w:t>LP5</w:t>
            </w:r>
          </w:p>
        </w:tc>
      </w:tr>
      <w:tr>
        <w:trPr>
          <w:trHeight w:val="322" w:hRule="exact"/>
        </w:trPr>
        <w:tc>
          <w:tcPr>
            <w:tcW w:w="1888" w:type="dxa"/>
          </w:tcPr>
          <w:p>
            <w:pPr/>
          </w:p>
        </w:tc>
        <w:tc>
          <w:tcPr>
            <w:tcW w:w="1815" w:type="dxa"/>
          </w:tcPr>
          <w:p>
            <w:pPr>
              <w:pStyle w:val="TableParagraph"/>
              <w:spacing w:before="72"/>
              <w:ind w:right="524"/>
              <w:jc w:val="right"/>
              <w:rPr>
                <w:rFonts w:ascii="Arial"/>
                <w:sz w:val="14"/>
              </w:rPr>
            </w:pPr>
            <w:r>
              <w:rPr>
                <w:rFonts w:ascii="Arial"/>
                <w:w w:val="95"/>
                <w:sz w:val="14"/>
              </w:rPr>
              <w:t>2012</w:t>
            </w:r>
          </w:p>
        </w:tc>
        <w:tc>
          <w:tcPr>
            <w:tcW w:w="2186" w:type="dxa"/>
          </w:tcPr>
          <w:p>
            <w:pPr>
              <w:pStyle w:val="TableParagraph"/>
              <w:spacing w:before="72"/>
              <w:ind w:left="467"/>
              <w:rPr>
                <w:rFonts w:ascii="Arial"/>
                <w:sz w:val="14"/>
              </w:rPr>
            </w:pPr>
            <w:r>
              <w:rPr>
                <w:rFonts w:ascii="Arial"/>
                <w:sz w:val="14"/>
              </w:rPr>
              <w:t>LPT1</w:t>
            </w:r>
          </w:p>
        </w:tc>
      </w:tr>
      <w:tr>
        <w:trPr>
          <w:trHeight w:val="322" w:hRule="exact"/>
        </w:trPr>
        <w:tc>
          <w:tcPr>
            <w:tcW w:w="1888" w:type="dxa"/>
          </w:tcPr>
          <w:p>
            <w:pPr/>
          </w:p>
        </w:tc>
        <w:tc>
          <w:tcPr>
            <w:tcW w:w="1815" w:type="dxa"/>
          </w:tcPr>
          <w:p>
            <w:pPr>
              <w:pStyle w:val="TableParagraph"/>
              <w:spacing w:before="72"/>
              <w:ind w:right="524"/>
              <w:jc w:val="right"/>
              <w:rPr>
                <w:rFonts w:ascii="Arial"/>
                <w:sz w:val="14"/>
              </w:rPr>
            </w:pPr>
            <w:r>
              <w:rPr>
                <w:rFonts w:ascii="Arial"/>
                <w:w w:val="95"/>
                <w:sz w:val="14"/>
              </w:rPr>
              <w:t>2012</w:t>
            </w:r>
          </w:p>
        </w:tc>
        <w:tc>
          <w:tcPr>
            <w:tcW w:w="2186" w:type="dxa"/>
          </w:tcPr>
          <w:p>
            <w:pPr>
              <w:pStyle w:val="TableParagraph"/>
              <w:spacing w:before="72"/>
              <w:ind w:left="467"/>
              <w:rPr>
                <w:rFonts w:ascii="Arial"/>
                <w:sz w:val="14"/>
              </w:rPr>
            </w:pPr>
            <w:r>
              <w:rPr>
                <w:rFonts w:ascii="Arial"/>
                <w:sz w:val="14"/>
              </w:rPr>
              <w:t>LPT2</w:t>
            </w:r>
          </w:p>
        </w:tc>
      </w:tr>
      <w:tr>
        <w:trPr>
          <w:trHeight w:val="322" w:hRule="exact"/>
        </w:trPr>
        <w:tc>
          <w:tcPr>
            <w:tcW w:w="1888" w:type="dxa"/>
          </w:tcPr>
          <w:p>
            <w:pPr/>
          </w:p>
        </w:tc>
        <w:tc>
          <w:tcPr>
            <w:tcW w:w="1815" w:type="dxa"/>
          </w:tcPr>
          <w:p>
            <w:pPr>
              <w:pStyle w:val="TableParagraph"/>
              <w:spacing w:before="72"/>
              <w:ind w:right="524"/>
              <w:jc w:val="right"/>
              <w:rPr>
                <w:rFonts w:ascii="Arial"/>
                <w:sz w:val="14"/>
              </w:rPr>
            </w:pPr>
            <w:r>
              <w:rPr>
                <w:rFonts w:ascii="Arial"/>
                <w:w w:val="95"/>
                <w:sz w:val="14"/>
              </w:rPr>
              <w:t>2012</w:t>
            </w:r>
          </w:p>
        </w:tc>
        <w:tc>
          <w:tcPr>
            <w:tcW w:w="2186" w:type="dxa"/>
          </w:tcPr>
          <w:p>
            <w:pPr>
              <w:pStyle w:val="TableParagraph"/>
              <w:spacing w:before="72"/>
              <w:ind w:left="467"/>
              <w:rPr>
                <w:rFonts w:ascii="Arial"/>
                <w:sz w:val="14"/>
              </w:rPr>
            </w:pPr>
            <w:r>
              <w:rPr>
                <w:rFonts w:ascii="Arial"/>
                <w:sz w:val="14"/>
              </w:rPr>
              <w:t>LPT3</w:t>
            </w:r>
          </w:p>
        </w:tc>
      </w:tr>
      <w:tr>
        <w:trPr>
          <w:trHeight w:val="324" w:hRule="exact"/>
        </w:trPr>
        <w:tc>
          <w:tcPr>
            <w:tcW w:w="1888" w:type="dxa"/>
          </w:tcPr>
          <w:p>
            <w:pPr/>
          </w:p>
        </w:tc>
        <w:tc>
          <w:tcPr>
            <w:tcW w:w="1815" w:type="dxa"/>
          </w:tcPr>
          <w:p>
            <w:pPr>
              <w:pStyle w:val="TableParagraph"/>
              <w:spacing w:before="72"/>
              <w:ind w:right="524"/>
              <w:jc w:val="right"/>
              <w:rPr>
                <w:rFonts w:ascii="Arial"/>
                <w:sz w:val="14"/>
              </w:rPr>
            </w:pPr>
            <w:r>
              <w:rPr>
                <w:rFonts w:ascii="Arial"/>
                <w:w w:val="95"/>
                <w:sz w:val="14"/>
              </w:rPr>
              <w:t>2012</w:t>
            </w:r>
          </w:p>
        </w:tc>
        <w:tc>
          <w:tcPr>
            <w:tcW w:w="2186" w:type="dxa"/>
          </w:tcPr>
          <w:p>
            <w:pPr>
              <w:pStyle w:val="TableParagraph"/>
              <w:spacing w:before="72"/>
              <w:ind w:left="467"/>
              <w:rPr>
                <w:rFonts w:ascii="Arial"/>
                <w:sz w:val="14"/>
              </w:rPr>
            </w:pPr>
            <w:r>
              <w:rPr>
                <w:rFonts w:ascii="Arial"/>
                <w:sz w:val="14"/>
              </w:rPr>
              <w:t>LPT4</w:t>
            </w:r>
          </w:p>
        </w:tc>
      </w:tr>
      <w:tr>
        <w:trPr>
          <w:trHeight w:val="324" w:hRule="exact"/>
        </w:trPr>
        <w:tc>
          <w:tcPr>
            <w:tcW w:w="1888" w:type="dxa"/>
          </w:tcPr>
          <w:p>
            <w:pPr/>
          </w:p>
        </w:tc>
        <w:tc>
          <w:tcPr>
            <w:tcW w:w="1815" w:type="dxa"/>
          </w:tcPr>
          <w:p>
            <w:pPr>
              <w:pStyle w:val="TableParagraph"/>
              <w:spacing w:before="75"/>
              <w:ind w:right="524"/>
              <w:jc w:val="right"/>
              <w:rPr>
                <w:rFonts w:ascii="Arial"/>
                <w:sz w:val="14"/>
              </w:rPr>
            </w:pPr>
            <w:r>
              <w:rPr>
                <w:rFonts w:ascii="Arial"/>
                <w:w w:val="95"/>
                <w:sz w:val="14"/>
              </w:rPr>
              <w:t>2012</w:t>
            </w:r>
          </w:p>
        </w:tc>
        <w:tc>
          <w:tcPr>
            <w:tcW w:w="2186" w:type="dxa"/>
          </w:tcPr>
          <w:p>
            <w:pPr>
              <w:pStyle w:val="TableParagraph"/>
              <w:spacing w:before="75"/>
              <w:ind w:left="467"/>
              <w:rPr>
                <w:rFonts w:ascii="Arial"/>
                <w:sz w:val="14"/>
              </w:rPr>
            </w:pPr>
            <w:r>
              <w:rPr>
                <w:rFonts w:ascii="Arial"/>
                <w:sz w:val="14"/>
              </w:rPr>
              <w:t>LPT5</w:t>
            </w:r>
          </w:p>
        </w:tc>
      </w:tr>
      <w:tr>
        <w:trPr>
          <w:trHeight w:val="322" w:hRule="exact"/>
        </w:trPr>
        <w:tc>
          <w:tcPr>
            <w:tcW w:w="1888" w:type="dxa"/>
          </w:tcPr>
          <w:p>
            <w:pPr/>
          </w:p>
        </w:tc>
        <w:tc>
          <w:tcPr>
            <w:tcW w:w="1815" w:type="dxa"/>
          </w:tcPr>
          <w:p>
            <w:pPr>
              <w:pStyle w:val="TableParagraph"/>
              <w:spacing w:before="72"/>
              <w:ind w:right="524"/>
              <w:jc w:val="right"/>
              <w:rPr>
                <w:rFonts w:ascii="Arial"/>
                <w:sz w:val="14"/>
              </w:rPr>
            </w:pPr>
            <w:r>
              <w:rPr>
                <w:rFonts w:ascii="Arial"/>
                <w:w w:val="95"/>
                <w:sz w:val="14"/>
              </w:rPr>
              <w:t>2012</w:t>
            </w:r>
          </w:p>
        </w:tc>
        <w:tc>
          <w:tcPr>
            <w:tcW w:w="2186" w:type="dxa"/>
          </w:tcPr>
          <w:p>
            <w:pPr>
              <w:pStyle w:val="TableParagraph"/>
              <w:spacing w:before="72"/>
              <w:ind w:left="467"/>
              <w:rPr>
                <w:rFonts w:ascii="Arial"/>
                <w:sz w:val="14"/>
              </w:rPr>
            </w:pPr>
            <w:r>
              <w:rPr>
                <w:rFonts w:ascii="Arial"/>
                <w:sz w:val="14"/>
              </w:rPr>
              <w:t>LPT6</w:t>
            </w:r>
          </w:p>
        </w:tc>
      </w:tr>
      <w:tr>
        <w:trPr>
          <w:trHeight w:val="322" w:hRule="exact"/>
        </w:trPr>
        <w:tc>
          <w:tcPr>
            <w:tcW w:w="1888" w:type="dxa"/>
          </w:tcPr>
          <w:p>
            <w:pPr>
              <w:pStyle w:val="TableParagraph"/>
              <w:spacing w:before="72"/>
              <w:ind w:left="110"/>
              <w:rPr>
                <w:rFonts w:ascii="Arial" w:hAnsi="Arial"/>
                <w:sz w:val="14"/>
              </w:rPr>
            </w:pPr>
            <w:r>
              <w:rPr>
                <w:rFonts w:ascii="Arial" w:hAnsi="Arial"/>
                <w:sz w:val="14"/>
              </w:rPr>
              <w:t>Raíces</w:t>
            </w:r>
          </w:p>
        </w:tc>
        <w:tc>
          <w:tcPr>
            <w:tcW w:w="1815" w:type="dxa"/>
          </w:tcPr>
          <w:p>
            <w:pPr>
              <w:pStyle w:val="TableParagraph"/>
              <w:spacing w:before="72"/>
              <w:ind w:right="524"/>
              <w:jc w:val="right"/>
              <w:rPr>
                <w:rFonts w:ascii="Arial"/>
                <w:sz w:val="14"/>
              </w:rPr>
            </w:pPr>
            <w:r>
              <w:rPr>
                <w:rFonts w:ascii="Arial"/>
                <w:w w:val="95"/>
                <w:sz w:val="14"/>
              </w:rPr>
              <w:t>2012</w:t>
            </w:r>
          </w:p>
        </w:tc>
        <w:tc>
          <w:tcPr>
            <w:tcW w:w="2186" w:type="dxa"/>
          </w:tcPr>
          <w:p>
            <w:pPr>
              <w:pStyle w:val="TableParagraph"/>
              <w:spacing w:before="72"/>
              <w:ind w:left="467"/>
              <w:rPr>
                <w:rFonts w:ascii="Arial"/>
                <w:sz w:val="14"/>
              </w:rPr>
            </w:pPr>
            <w:r>
              <w:rPr>
                <w:rFonts w:ascii="Arial"/>
                <w:sz w:val="14"/>
              </w:rPr>
              <w:t>RR1</w:t>
            </w:r>
          </w:p>
        </w:tc>
      </w:tr>
      <w:tr>
        <w:trPr>
          <w:trHeight w:val="322" w:hRule="exact"/>
        </w:trPr>
        <w:tc>
          <w:tcPr>
            <w:tcW w:w="1888" w:type="dxa"/>
          </w:tcPr>
          <w:p>
            <w:pPr/>
          </w:p>
        </w:tc>
        <w:tc>
          <w:tcPr>
            <w:tcW w:w="1815" w:type="dxa"/>
          </w:tcPr>
          <w:p>
            <w:pPr>
              <w:pStyle w:val="TableParagraph"/>
              <w:spacing w:before="72"/>
              <w:ind w:right="524"/>
              <w:jc w:val="right"/>
              <w:rPr>
                <w:rFonts w:ascii="Arial"/>
                <w:sz w:val="14"/>
              </w:rPr>
            </w:pPr>
            <w:r>
              <w:rPr>
                <w:rFonts w:ascii="Arial"/>
                <w:w w:val="95"/>
                <w:sz w:val="14"/>
              </w:rPr>
              <w:t>2012</w:t>
            </w:r>
          </w:p>
        </w:tc>
        <w:tc>
          <w:tcPr>
            <w:tcW w:w="2186" w:type="dxa"/>
          </w:tcPr>
          <w:p>
            <w:pPr>
              <w:pStyle w:val="TableParagraph"/>
              <w:spacing w:before="72"/>
              <w:ind w:left="467"/>
              <w:rPr>
                <w:rFonts w:ascii="Arial"/>
                <w:sz w:val="14"/>
              </w:rPr>
            </w:pPr>
            <w:r>
              <w:rPr>
                <w:rFonts w:ascii="Arial"/>
                <w:sz w:val="14"/>
              </w:rPr>
              <w:t>RR2</w:t>
            </w:r>
          </w:p>
        </w:tc>
      </w:tr>
      <w:tr>
        <w:trPr>
          <w:trHeight w:val="322" w:hRule="exact"/>
        </w:trPr>
        <w:tc>
          <w:tcPr>
            <w:tcW w:w="1888" w:type="dxa"/>
          </w:tcPr>
          <w:p>
            <w:pPr/>
          </w:p>
        </w:tc>
        <w:tc>
          <w:tcPr>
            <w:tcW w:w="1815" w:type="dxa"/>
          </w:tcPr>
          <w:p>
            <w:pPr>
              <w:pStyle w:val="TableParagraph"/>
              <w:spacing w:before="72"/>
              <w:ind w:right="524"/>
              <w:jc w:val="right"/>
              <w:rPr>
                <w:rFonts w:ascii="Arial"/>
                <w:sz w:val="14"/>
              </w:rPr>
            </w:pPr>
            <w:r>
              <w:rPr>
                <w:rFonts w:ascii="Arial"/>
                <w:w w:val="95"/>
                <w:sz w:val="14"/>
              </w:rPr>
              <w:t>2012</w:t>
            </w:r>
          </w:p>
        </w:tc>
        <w:tc>
          <w:tcPr>
            <w:tcW w:w="2186" w:type="dxa"/>
          </w:tcPr>
          <w:p>
            <w:pPr>
              <w:pStyle w:val="TableParagraph"/>
              <w:spacing w:before="72"/>
              <w:ind w:left="467"/>
              <w:rPr>
                <w:rFonts w:ascii="Arial"/>
                <w:sz w:val="14"/>
              </w:rPr>
            </w:pPr>
            <w:r>
              <w:rPr>
                <w:rFonts w:ascii="Arial"/>
                <w:sz w:val="14"/>
              </w:rPr>
              <w:t>RT1</w:t>
            </w:r>
          </w:p>
        </w:tc>
      </w:tr>
      <w:tr>
        <w:trPr>
          <w:trHeight w:val="322" w:hRule="exact"/>
        </w:trPr>
        <w:tc>
          <w:tcPr>
            <w:tcW w:w="1888" w:type="dxa"/>
          </w:tcPr>
          <w:p>
            <w:pPr/>
          </w:p>
        </w:tc>
        <w:tc>
          <w:tcPr>
            <w:tcW w:w="1815" w:type="dxa"/>
          </w:tcPr>
          <w:p>
            <w:pPr>
              <w:pStyle w:val="TableParagraph"/>
              <w:spacing w:before="72"/>
              <w:ind w:right="524"/>
              <w:jc w:val="right"/>
              <w:rPr>
                <w:rFonts w:ascii="Arial"/>
                <w:sz w:val="14"/>
              </w:rPr>
            </w:pPr>
            <w:r>
              <w:rPr>
                <w:rFonts w:ascii="Arial"/>
                <w:w w:val="95"/>
                <w:sz w:val="14"/>
              </w:rPr>
              <w:t>2012</w:t>
            </w:r>
          </w:p>
        </w:tc>
        <w:tc>
          <w:tcPr>
            <w:tcW w:w="2186" w:type="dxa"/>
          </w:tcPr>
          <w:p>
            <w:pPr>
              <w:pStyle w:val="TableParagraph"/>
              <w:spacing w:before="72"/>
              <w:ind w:left="467"/>
              <w:rPr>
                <w:rFonts w:ascii="Arial"/>
                <w:sz w:val="14"/>
              </w:rPr>
            </w:pPr>
            <w:r>
              <w:rPr>
                <w:rFonts w:ascii="Arial"/>
                <w:sz w:val="14"/>
              </w:rPr>
              <w:t>RT2</w:t>
            </w:r>
          </w:p>
        </w:tc>
      </w:tr>
      <w:tr>
        <w:trPr>
          <w:trHeight w:val="322" w:hRule="exact"/>
        </w:trPr>
        <w:tc>
          <w:tcPr>
            <w:tcW w:w="1888" w:type="dxa"/>
          </w:tcPr>
          <w:p>
            <w:pPr>
              <w:pStyle w:val="TableParagraph"/>
              <w:spacing w:before="72"/>
              <w:ind w:left="110"/>
              <w:rPr>
                <w:rFonts w:ascii="Arial"/>
                <w:sz w:val="14"/>
              </w:rPr>
            </w:pPr>
            <w:r>
              <w:rPr>
                <w:rFonts w:ascii="Arial"/>
                <w:sz w:val="14"/>
              </w:rPr>
              <w:t>Buenavista</w:t>
            </w:r>
          </w:p>
        </w:tc>
        <w:tc>
          <w:tcPr>
            <w:tcW w:w="1815" w:type="dxa"/>
          </w:tcPr>
          <w:p>
            <w:pPr>
              <w:pStyle w:val="TableParagraph"/>
              <w:spacing w:before="72"/>
              <w:ind w:right="524"/>
              <w:jc w:val="right"/>
              <w:rPr>
                <w:rFonts w:ascii="Arial"/>
                <w:sz w:val="14"/>
              </w:rPr>
            </w:pPr>
            <w:r>
              <w:rPr>
                <w:rFonts w:ascii="Arial"/>
                <w:w w:val="95"/>
                <w:sz w:val="14"/>
              </w:rPr>
              <w:t>2012</w:t>
            </w:r>
          </w:p>
        </w:tc>
        <w:tc>
          <w:tcPr>
            <w:tcW w:w="2186" w:type="dxa"/>
          </w:tcPr>
          <w:p>
            <w:pPr>
              <w:pStyle w:val="TableParagraph"/>
              <w:spacing w:before="72"/>
              <w:ind w:left="467"/>
              <w:rPr>
                <w:rFonts w:ascii="Arial"/>
                <w:sz w:val="14"/>
              </w:rPr>
            </w:pPr>
            <w:r>
              <w:rPr>
                <w:rFonts w:ascii="Arial"/>
                <w:sz w:val="14"/>
              </w:rPr>
              <w:t>BV1</w:t>
            </w:r>
          </w:p>
        </w:tc>
      </w:tr>
      <w:tr>
        <w:trPr>
          <w:trHeight w:val="322" w:hRule="exact"/>
        </w:trPr>
        <w:tc>
          <w:tcPr>
            <w:tcW w:w="1888" w:type="dxa"/>
          </w:tcPr>
          <w:p>
            <w:pPr/>
          </w:p>
        </w:tc>
        <w:tc>
          <w:tcPr>
            <w:tcW w:w="1815" w:type="dxa"/>
          </w:tcPr>
          <w:p>
            <w:pPr>
              <w:pStyle w:val="TableParagraph"/>
              <w:spacing w:before="72"/>
              <w:ind w:right="524"/>
              <w:jc w:val="right"/>
              <w:rPr>
                <w:rFonts w:ascii="Arial"/>
                <w:sz w:val="14"/>
              </w:rPr>
            </w:pPr>
            <w:r>
              <w:rPr>
                <w:rFonts w:ascii="Arial"/>
                <w:w w:val="95"/>
                <w:sz w:val="14"/>
              </w:rPr>
              <w:t>2012</w:t>
            </w:r>
          </w:p>
        </w:tc>
        <w:tc>
          <w:tcPr>
            <w:tcW w:w="2186" w:type="dxa"/>
          </w:tcPr>
          <w:p>
            <w:pPr>
              <w:pStyle w:val="TableParagraph"/>
              <w:spacing w:before="72"/>
              <w:ind w:left="467"/>
              <w:rPr>
                <w:rFonts w:ascii="Arial"/>
                <w:sz w:val="14"/>
              </w:rPr>
            </w:pPr>
            <w:r>
              <w:rPr>
                <w:rFonts w:ascii="Arial"/>
                <w:sz w:val="14"/>
              </w:rPr>
              <w:t>BV2</w:t>
            </w:r>
          </w:p>
        </w:tc>
      </w:tr>
      <w:tr>
        <w:trPr>
          <w:trHeight w:val="322" w:hRule="exact"/>
        </w:trPr>
        <w:tc>
          <w:tcPr>
            <w:tcW w:w="1888" w:type="dxa"/>
          </w:tcPr>
          <w:p>
            <w:pPr/>
          </w:p>
        </w:tc>
        <w:tc>
          <w:tcPr>
            <w:tcW w:w="1815" w:type="dxa"/>
          </w:tcPr>
          <w:p>
            <w:pPr>
              <w:pStyle w:val="TableParagraph"/>
              <w:spacing w:before="72"/>
              <w:ind w:right="524"/>
              <w:jc w:val="right"/>
              <w:rPr>
                <w:rFonts w:ascii="Arial"/>
                <w:sz w:val="14"/>
              </w:rPr>
            </w:pPr>
            <w:r>
              <w:rPr>
                <w:rFonts w:ascii="Arial"/>
                <w:w w:val="95"/>
                <w:sz w:val="14"/>
              </w:rPr>
              <w:t>2012</w:t>
            </w:r>
          </w:p>
        </w:tc>
        <w:tc>
          <w:tcPr>
            <w:tcW w:w="2186" w:type="dxa"/>
          </w:tcPr>
          <w:p>
            <w:pPr>
              <w:pStyle w:val="TableParagraph"/>
              <w:spacing w:before="72"/>
              <w:ind w:left="467"/>
              <w:rPr>
                <w:rFonts w:ascii="Arial"/>
                <w:sz w:val="14"/>
              </w:rPr>
            </w:pPr>
            <w:r>
              <w:rPr>
                <w:rFonts w:ascii="Arial"/>
                <w:sz w:val="14"/>
              </w:rPr>
              <w:t>BVT1</w:t>
            </w:r>
          </w:p>
        </w:tc>
      </w:tr>
      <w:tr>
        <w:trPr>
          <w:trHeight w:val="322" w:hRule="exact"/>
        </w:trPr>
        <w:tc>
          <w:tcPr>
            <w:tcW w:w="1888" w:type="dxa"/>
          </w:tcPr>
          <w:p>
            <w:pPr/>
          </w:p>
        </w:tc>
        <w:tc>
          <w:tcPr>
            <w:tcW w:w="1815" w:type="dxa"/>
          </w:tcPr>
          <w:p>
            <w:pPr>
              <w:pStyle w:val="TableParagraph"/>
              <w:spacing w:before="72"/>
              <w:ind w:right="524"/>
              <w:jc w:val="right"/>
              <w:rPr>
                <w:rFonts w:ascii="Arial"/>
                <w:sz w:val="14"/>
              </w:rPr>
            </w:pPr>
            <w:r>
              <w:rPr>
                <w:rFonts w:ascii="Arial"/>
                <w:w w:val="95"/>
                <w:sz w:val="14"/>
              </w:rPr>
              <w:t>2012</w:t>
            </w:r>
          </w:p>
        </w:tc>
        <w:tc>
          <w:tcPr>
            <w:tcW w:w="2186" w:type="dxa"/>
          </w:tcPr>
          <w:p>
            <w:pPr>
              <w:pStyle w:val="TableParagraph"/>
              <w:spacing w:before="72"/>
              <w:ind w:left="467"/>
              <w:rPr>
                <w:rFonts w:ascii="Arial"/>
                <w:sz w:val="14"/>
              </w:rPr>
            </w:pPr>
            <w:r>
              <w:rPr>
                <w:rFonts w:ascii="Arial"/>
                <w:sz w:val="14"/>
              </w:rPr>
              <w:t>BVT2</w:t>
            </w:r>
          </w:p>
        </w:tc>
      </w:tr>
      <w:tr>
        <w:trPr>
          <w:trHeight w:val="330" w:hRule="exact"/>
        </w:trPr>
        <w:tc>
          <w:tcPr>
            <w:tcW w:w="1888" w:type="dxa"/>
          </w:tcPr>
          <w:p>
            <w:pPr/>
          </w:p>
        </w:tc>
        <w:tc>
          <w:tcPr>
            <w:tcW w:w="1815" w:type="dxa"/>
          </w:tcPr>
          <w:p>
            <w:pPr>
              <w:pStyle w:val="TableParagraph"/>
              <w:spacing w:before="72"/>
              <w:ind w:right="524"/>
              <w:jc w:val="right"/>
              <w:rPr>
                <w:rFonts w:ascii="Arial"/>
                <w:sz w:val="14"/>
              </w:rPr>
            </w:pPr>
            <w:r>
              <w:rPr>
                <w:rFonts w:ascii="Arial"/>
                <w:w w:val="95"/>
                <w:sz w:val="14"/>
              </w:rPr>
              <w:t>2012</w:t>
            </w:r>
          </w:p>
        </w:tc>
        <w:tc>
          <w:tcPr>
            <w:tcW w:w="2186" w:type="dxa"/>
          </w:tcPr>
          <w:p>
            <w:pPr>
              <w:pStyle w:val="TableParagraph"/>
              <w:spacing w:before="72"/>
              <w:ind w:left="467"/>
              <w:rPr>
                <w:rFonts w:ascii="Arial"/>
                <w:sz w:val="14"/>
              </w:rPr>
            </w:pPr>
            <w:r>
              <w:rPr>
                <w:rFonts w:ascii="Arial"/>
                <w:sz w:val="14"/>
              </w:rPr>
              <w:t>BVT3</w:t>
            </w:r>
          </w:p>
        </w:tc>
      </w:tr>
    </w:tbl>
    <w:p>
      <w:pPr>
        <w:pStyle w:val="BodyText"/>
        <w:spacing w:before="5"/>
        <w:rPr>
          <w:sz w:val="6"/>
        </w:rPr>
      </w:pPr>
      <w:r>
        <w:rPr/>
        <w:pict>
          <v:group style="position:absolute;margin-left:157.669998pt;margin-top:5.66979pt;width:295.7pt;height:.5pt;mso-position-horizontal-relative:page;mso-position-vertical-relative:paragraph;z-index:1096;mso-wrap-distance-left:0;mso-wrap-distance-right:0" coordorigin="3153,113" coordsize="5914,10">
            <v:line style="position:absolute" from="3158,118" to="5434,118" stroked="true" strokeweight=".48pt" strokecolor="#000000"/>
            <v:line style="position:absolute" from="5419,118" to="5429,118" stroked="true" strokeweight=".48pt" strokecolor="#000000"/>
            <v:line style="position:absolute" from="5429,118" to="5928,118" stroked="true" strokeweight=".48pt" strokecolor="#000000"/>
            <v:line style="position:absolute" from="5914,118" to="5923,118" stroked="true" strokeweight=".48pt" strokecolor="#000000"/>
            <v:line style="position:absolute" from="5923,118" to="7234,118" stroked="true" strokeweight=".48pt" strokecolor="#000000"/>
            <v:line style="position:absolute" from="7219,118" to="7229,118" stroked="true" strokeweight=".48pt" strokecolor="#000000"/>
            <v:line style="position:absolute" from="7229,118" to="9062,118" stroked="true" strokeweight=".48pt" strokecolor="#000000"/>
            <w10:wrap type="topAndBottom"/>
          </v:group>
        </w:pict>
      </w:r>
    </w:p>
    <w:p>
      <w:pPr>
        <w:spacing w:line="130" w:lineRule="exact" w:before="0"/>
        <w:ind w:left="1657" w:right="0" w:firstLine="0"/>
        <w:jc w:val="both"/>
        <w:rPr>
          <w:sz w:val="14"/>
        </w:rPr>
      </w:pPr>
      <w:r>
        <w:rPr>
          <w:position w:val="7"/>
          <w:sz w:val="8"/>
        </w:rPr>
        <w:t>a</w:t>
      </w:r>
      <w:r>
        <w:rPr>
          <w:sz w:val="14"/>
        </w:rPr>
        <w:t>Localidad donde estaban establecidos los cultivos comerciales de papa de donde fueron obtenidos los aislamientos</w:t>
      </w:r>
    </w:p>
    <w:p>
      <w:pPr>
        <w:spacing w:line="153" w:lineRule="exact" w:before="2"/>
        <w:ind w:left="1657" w:right="0" w:firstLine="0"/>
        <w:jc w:val="both"/>
        <w:rPr>
          <w:sz w:val="14"/>
        </w:rPr>
      </w:pPr>
      <w:r>
        <w:rPr>
          <w:sz w:val="14"/>
        </w:rPr>
        <w:t>de </w:t>
      </w:r>
      <w:r>
        <w:rPr>
          <w:i/>
          <w:sz w:val="14"/>
        </w:rPr>
        <w:t>Phytophthora infestans</w:t>
      </w:r>
      <w:r>
        <w:rPr>
          <w:sz w:val="14"/>
        </w:rPr>
        <w:t>.</w:t>
      </w:r>
    </w:p>
    <w:p>
      <w:pPr>
        <w:spacing w:line="161" w:lineRule="exact" w:before="0"/>
        <w:ind w:left="1657" w:right="0" w:firstLine="0"/>
        <w:jc w:val="both"/>
        <w:rPr>
          <w:i/>
          <w:sz w:val="14"/>
        </w:rPr>
      </w:pPr>
      <w:r>
        <w:rPr>
          <w:position w:val="7"/>
          <w:sz w:val="8"/>
        </w:rPr>
        <w:t>b</w:t>
      </w:r>
      <w:r>
        <w:rPr>
          <w:sz w:val="14"/>
        </w:rPr>
        <w:t>Año que se obtuvieron los aislamientos de </w:t>
      </w:r>
      <w:r>
        <w:rPr>
          <w:i/>
          <w:sz w:val="14"/>
        </w:rPr>
        <w:t>Phytophthora infestans.</w:t>
      </w:r>
    </w:p>
    <w:p>
      <w:pPr>
        <w:spacing w:line="158" w:lineRule="exact" w:before="13"/>
        <w:ind w:left="1657" w:right="259" w:firstLine="38"/>
        <w:jc w:val="both"/>
        <w:rPr>
          <w:sz w:val="14"/>
        </w:rPr>
      </w:pPr>
      <w:r>
        <w:rPr>
          <w:position w:val="7"/>
          <w:sz w:val="8"/>
        </w:rPr>
        <w:t>c</w:t>
      </w:r>
      <w:r>
        <w:rPr>
          <w:sz w:val="14"/>
        </w:rPr>
        <w:t>Determinado en base a la localidad y sistema de producción (riego o temporal) de donde fueron obtenidos los aislamientos de </w:t>
      </w:r>
      <w:r>
        <w:rPr>
          <w:i/>
          <w:sz w:val="14"/>
        </w:rPr>
        <w:t>Phytophthora infestans</w:t>
      </w:r>
      <w:r>
        <w:rPr>
          <w:sz w:val="14"/>
        </w:rPr>
        <w:t>.</w:t>
      </w:r>
    </w:p>
    <w:p>
      <w:pPr>
        <w:spacing w:line="237" w:lineRule="auto" w:before="1"/>
        <w:ind w:left="1657" w:right="260" w:firstLine="0"/>
        <w:jc w:val="both"/>
        <w:rPr>
          <w:sz w:val="14"/>
        </w:rPr>
      </w:pPr>
      <w:r>
        <w:rPr>
          <w:sz w:val="14"/>
        </w:rPr>
        <w:t>Fuente: López Orona, C.A., Martínez Campos, A.R., Peñuelas Rivas C.G., Arteaga Reyes, T.T., Ruiz Olmos, C.A., Gómez Tenorio, M.A. y Palmero, D. 2013. Presencia de aislamientos homotálicos de </w:t>
      </w:r>
      <w:r>
        <w:rPr>
          <w:i/>
          <w:sz w:val="14"/>
        </w:rPr>
        <w:t>Phytophthora infestans </w:t>
      </w:r>
      <w:r>
        <w:rPr>
          <w:sz w:val="14"/>
        </w:rPr>
        <w:t>en  cultivos de papa (</w:t>
      </w:r>
      <w:r>
        <w:rPr>
          <w:i/>
          <w:sz w:val="14"/>
        </w:rPr>
        <w:t>Solanum tuberosum </w:t>
      </w:r>
      <w:r>
        <w:rPr>
          <w:sz w:val="14"/>
        </w:rPr>
        <w:t>L.) tratados con metalaxil en el Valle Toluca, México. ITEA-Información Técnica Económica Agraria 109 (4),</w:t>
      </w:r>
      <w:r>
        <w:rPr>
          <w:spacing w:val="-13"/>
          <w:sz w:val="14"/>
        </w:rPr>
        <w:t> </w:t>
      </w:r>
      <w:r>
        <w:rPr>
          <w:sz w:val="14"/>
        </w:rPr>
        <w:t>408-414.</w:t>
      </w:r>
    </w:p>
    <w:p>
      <w:pPr>
        <w:spacing w:after="0" w:line="237" w:lineRule="auto"/>
        <w:jc w:val="both"/>
        <w:rPr>
          <w:sz w:val="14"/>
        </w:rPr>
        <w:sectPr>
          <w:pgSz w:w="12240" w:h="15840"/>
          <w:pgMar w:header="719" w:footer="740" w:top="1260" w:bottom="920" w:left="1460" w:right="1440"/>
        </w:sectPr>
      </w:pPr>
    </w:p>
    <w:p>
      <w:pPr>
        <w:pStyle w:val="BodyText"/>
        <w:rPr>
          <w:sz w:val="14"/>
        </w:rPr>
      </w:pPr>
    </w:p>
    <w:p>
      <w:pPr>
        <w:pStyle w:val="Heading2"/>
        <w:numPr>
          <w:ilvl w:val="2"/>
          <w:numId w:val="10"/>
        </w:numPr>
        <w:tabs>
          <w:tab w:pos="907" w:val="left" w:leader="none"/>
        </w:tabs>
        <w:spacing w:line="240" w:lineRule="auto" w:before="70" w:after="0"/>
        <w:ind w:left="906" w:right="0" w:hanging="667"/>
        <w:jc w:val="both"/>
      </w:pPr>
      <w:bookmarkStart w:name="_TOC_250016" w:id="26"/>
      <w:bookmarkEnd w:id="26"/>
      <w:r>
        <w:rPr/>
        <w:t>Determinación del tipo de apareamiento</w:t>
      </w:r>
    </w:p>
    <w:p>
      <w:pPr>
        <w:pStyle w:val="BodyText"/>
        <w:spacing w:line="550" w:lineRule="atLeast" w:before="2"/>
        <w:ind w:left="239" w:right="260"/>
        <w:jc w:val="both"/>
      </w:pPr>
      <w:r>
        <w:rPr/>
        <w:t>Se determinó el tipo de apareamiento de los aislamientos de </w:t>
      </w:r>
      <w:r>
        <w:rPr>
          <w:i/>
        </w:rPr>
        <w:t>P. infestans </w:t>
      </w:r>
      <w:r>
        <w:rPr/>
        <w:t>bajo la metodología descrita por Erwin y Ribeiro (1996). Cada aislamiento fue enfrentado con los aislados de referencia J104 (A1) y J204 (A2) que fueron proporcionados por la Universidad Michoacana de San Nicolás de Hidalgo (México). Los enfrentamientos se realizaron bajo una temperatura de 15</w:t>
      </w:r>
      <w:r>
        <w:rPr>
          <w:position w:val="11"/>
          <w:sz w:val="16"/>
        </w:rPr>
        <w:t>o</w:t>
      </w:r>
      <w:r>
        <w:rPr/>
        <w:t>C y en oscuridad utilizando medio agar-jugo V8. Se realizaron observaciones diarias a partir del tercer día de contacto entre los aislados de referencia y los originarios del campo, hasta que fueron encontrados oogonios, anteridios y oosporas. Los aislamientos que sólo produjeron estructuras sexuales y oosporas al ser enfrentados con el aislado de referencia J104 (A1) fueron determinados como tipo de apareamiento A2, y los que sólo produjeron estructuras sexuales y oosporas al ser enfrentados con el aislado de referencia J204 (A2) fueron determinados como tipo de apareamiento A1. Los aislamientos que produjeron estructuras sexuales y oosporas con ambos aislados de referencia (A1 y A2) y por sí solos, fueron determinados como homotálicos (Guo </w:t>
      </w:r>
      <w:r>
        <w:rPr>
          <w:i/>
        </w:rPr>
        <w:t>et. al</w:t>
      </w:r>
      <w:r>
        <w:rPr/>
        <w:t>., 2010; Han </w:t>
      </w:r>
      <w:r>
        <w:rPr>
          <w:i/>
        </w:rPr>
        <w:t>et. al</w:t>
      </w:r>
      <w:r>
        <w:rPr/>
        <w:t>., 2013). Como controles se realizó la prueba de cultivar solos los aislados heterotálicos y el enfrentamiento entre los aislados de referencia J104 (A1) y J204 (A2).</w:t>
      </w:r>
    </w:p>
    <w:p>
      <w:pPr>
        <w:pStyle w:val="BodyText"/>
      </w:pPr>
    </w:p>
    <w:p>
      <w:pPr>
        <w:pStyle w:val="BodyText"/>
      </w:pPr>
    </w:p>
    <w:p>
      <w:pPr>
        <w:pStyle w:val="BodyText"/>
      </w:pPr>
    </w:p>
    <w:p>
      <w:pPr>
        <w:pStyle w:val="BodyText"/>
        <w:spacing w:before="10"/>
        <w:rPr>
          <w:sz w:val="20"/>
        </w:rPr>
      </w:pPr>
    </w:p>
    <w:p>
      <w:pPr>
        <w:pStyle w:val="Heading2"/>
        <w:numPr>
          <w:ilvl w:val="2"/>
          <w:numId w:val="10"/>
        </w:numPr>
        <w:tabs>
          <w:tab w:pos="907" w:val="left" w:leader="none"/>
        </w:tabs>
        <w:spacing w:line="240" w:lineRule="auto" w:before="0" w:after="0"/>
        <w:ind w:left="906" w:right="0" w:hanging="667"/>
        <w:jc w:val="both"/>
      </w:pPr>
      <w:bookmarkStart w:name="_TOC_250015" w:id="27"/>
      <w:bookmarkEnd w:id="27"/>
      <w:r>
        <w:rPr/>
        <w:t>Comprobación del homotalismo</w:t>
      </w:r>
    </w:p>
    <w:p>
      <w:pPr>
        <w:pStyle w:val="BodyText"/>
        <w:spacing w:before="4"/>
        <w:rPr>
          <w:b/>
        </w:rPr>
      </w:pPr>
    </w:p>
    <w:p>
      <w:pPr>
        <w:pStyle w:val="BodyText"/>
        <w:spacing w:line="480" w:lineRule="auto" w:before="1"/>
        <w:ind w:left="239" w:right="260"/>
        <w:jc w:val="both"/>
      </w:pPr>
      <w:r>
        <w:rPr/>
        <w:t>Se produjo progenie de los aislamientos homotálicos a partir de esporangios individuales. A cada aislamiento homotálico se le desprendieron esporangios al añadir 10 ml de agua estéril a la caja Petri con el aislamiento en medio de cultivo</w:t>
      </w:r>
    </w:p>
    <w:p>
      <w:pPr>
        <w:spacing w:after="0" w:line="480" w:lineRule="auto"/>
        <w:jc w:val="both"/>
        <w:sectPr>
          <w:pgSz w:w="12240" w:h="15840"/>
          <w:pgMar w:header="719" w:footer="740" w:top="1260" w:bottom="920" w:left="1460" w:right="1440"/>
        </w:sectPr>
      </w:pPr>
    </w:p>
    <w:p>
      <w:pPr>
        <w:pStyle w:val="BodyText"/>
        <w:rPr>
          <w:sz w:val="14"/>
        </w:rPr>
      </w:pPr>
    </w:p>
    <w:p>
      <w:pPr>
        <w:pStyle w:val="BodyText"/>
        <w:spacing w:line="480" w:lineRule="auto" w:before="70"/>
        <w:ind w:left="239" w:right="260"/>
        <w:jc w:val="both"/>
      </w:pPr>
      <w:r>
        <w:rPr/>
        <w:t>agar-jugo V8. Un ml de la concentración homogénea de esporangios se cultivó en una caja Petri con medio de cultivo agar-jugo V8. Después de 30 horas a 17ºC, 8 esporangios germinados tomados al azar de cada aislamiento homotálico fueron transferidos a medio de cultivo agar-jugo v8 con centeno (Caten y Jinks, 1968). Posteriormente, a cada aislamiento se le determino su tipo de apareamiento como es descrito en el apartado 6.2.2.</w:t>
      </w:r>
    </w:p>
    <w:p>
      <w:pPr>
        <w:pStyle w:val="BodyText"/>
      </w:pPr>
    </w:p>
    <w:p>
      <w:pPr>
        <w:pStyle w:val="BodyText"/>
      </w:pPr>
    </w:p>
    <w:p>
      <w:pPr>
        <w:pStyle w:val="Heading2"/>
        <w:numPr>
          <w:ilvl w:val="1"/>
          <w:numId w:val="10"/>
        </w:numPr>
        <w:tabs>
          <w:tab w:pos="829" w:val="left" w:leader="none"/>
        </w:tabs>
        <w:spacing w:line="240" w:lineRule="auto" w:before="209" w:after="0"/>
        <w:ind w:left="828" w:right="0" w:hanging="589"/>
        <w:jc w:val="both"/>
      </w:pPr>
      <w:bookmarkStart w:name="_TOC_250014" w:id="28"/>
      <w:r>
        <w:rPr/>
        <w:t>Valoración   de   la   resistencia   al   metalaxil   en   los   aislamientos</w:t>
      </w:r>
      <w:r>
        <w:rPr>
          <w:spacing w:val="25"/>
        </w:rPr>
        <w:t> </w:t>
      </w:r>
      <w:bookmarkEnd w:id="28"/>
      <w:r>
        <w:rPr/>
        <w:t>de</w:t>
      </w:r>
    </w:p>
    <w:p>
      <w:pPr>
        <w:pStyle w:val="BodyText"/>
        <w:rPr>
          <w:b/>
        </w:rPr>
      </w:pPr>
    </w:p>
    <w:p>
      <w:pPr>
        <w:pStyle w:val="Heading3"/>
        <w:rPr>
          <w:i/>
        </w:rPr>
      </w:pPr>
      <w:bookmarkStart w:name="_TOC_250013" w:id="29"/>
      <w:bookmarkEnd w:id="29"/>
      <w:r>
        <w:rPr>
          <w:i/>
        </w:rPr>
        <w:t>Phytophthora infestans</w:t>
      </w:r>
    </w:p>
    <w:p>
      <w:pPr>
        <w:pStyle w:val="BodyText"/>
        <w:rPr>
          <w:b/>
          <w:i/>
        </w:rPr>
      </w:pPr>
    </w:p>
    <w:p>
      <w:pPr>
        <w:pStyle w:val="BodyText"/>
        <w:spacing w:before="10"/>
        <w:rPr>
          <w:b/>
          <w:i/>
          <w:sz w:val="20"/>
        </w:rPr>
      </w:pPr>
    </w:p>
    <w:p>
      <w:pPr>
        <w:pStyle w:val="Heading2"/>
        <w:numPr>
          <w:ilvl w:val="2"/>
          <w:numId w:val="10"/>
        </w:numPr>
        <w:tabs>
          <w:tab w:pos="907" w:val="left" w:leader="none"/>
        </w:tabs>
        <w:spacing w:line="240" w:lineRule="auto" w:before="0" w:after="0"/>
        <w:ind w:left="906" w:right="0" w:hanging="667"/>
        <w:jc w:val="both"/>
      </w:pPr>
      <w:bookmarkStart w:name="_TOC_250012" w:id="30"/>
      <w:bookmarkEnd w:id="30"/>
      <w:r>
        <w:rPr/>
        <w:t>Valoración de la resistencia al metalaxil</w:t>
      </w:r>
    </w:p>
    <w:p>
      <w:pPr>
        <w:pStyle w:val="BodyText"/>
        <w:rPr>
          <w:b/>
        </w:rPr>
      </w:pPr>
    </w:p>
    <w:p>
      <w:pPr>
        <w:pStyle w:val="BodyText"/>
        <w:spacing w:line="477" w:lineRule="auto"/>
        <w:ind w:left="239" w:right="260"/>
        <w:jc w:val="both"/>
      </w:pPr>
      <w:r>
        <w:rPr/>
        <w:t>La valoración de la resistencia se determinó bajo la propuesta planteada por el FRAC (Fungicide Resistance Action Committee, 1992), donde el cálculo se hace a partir del crecimiento relativo (CR) expresado por:</w:t>
      </w:r>
    </w:p>
    <w:p>
      <w:pPr>
        <w:pStyle w:val="Heading2"/>
        <w:spacing w:before="10"/>
        <w:ind w:left="1655" w:firstLine="0"/>
        <w:jc w:val="left"/>
      </w:pPr>
      <w:r>
        <w:rPr/>
        <w:t>CR= (DMCF/DMCT) x 100</w:t>
      </w:r>
    </w:p>
    <w:p>
      <w:pPr>
        <w:pStyle w:val="BodyText"/>
        <w:rPr>
          <w:b/>
        </w:rPr>
      </w:pPr>
    </w:p>
    <w:p>
      <w:pPr>
        <w:pStyle w:val="BodyText"/>
        <w:spacing w:line="480" w:lineRule="auto"/>
        <w:ind w:left="947"/>
      </w:pPr>
      <w:r>
        <w:rPr/>
        <w:t>Donde, </w:t>
      </w:r>
      <w:r>
        <w:rPr>
          <w:b/>
        </w:rPr>
        <w:t>DMCF: </w:t>
      </w:r>
      <w:r>
        <w:rPr/>
        <w:t>diámetro medio de la cepa crecida en medio de cultivo agar- jugo V8 con una concentración determinada de fungicida.</w:t>
      </w:r>
    </w:p>
    <w:p>
      <w:pPr>
        <w:pStyle w:val="BodyText"/>
        <w:spacing w:line="480" w:lineRule="auto" w:before="8"/>
        <w:ind w:left="947" w:right="270"/>
      </w:pPr>
      <w:r>
        <w:rPr>
          <w:b/>
        </w:rPr>
        <w:t>DMCT</w:t>
      </w:r>
      <w:r>
        <w:rPr/>
        <w:t>: diámetro medio de la cepa crecida en medio de cultivo agar-jugo V8 sin fungicida (testigo).</w:t>
      </w:r>
    </w:p>
    <w:p>
      <w:pPr>
        <w:pStyle w:val="BodyText"/>
      </w:pPr>
    </w:p>
    <w:p>
      <w:pPr>
        <w:pStyle w:val="BodyText"/>
        <w:spacing w:before="7"/>
      </w:pPr>
    </w:p>
    <w:p>
      <w:pPr>
        <w:pStyle w:val="BodyText"/>
        <w:spacing w:line="480" w:lineRule="auto" w:before="1"/>
        <w:ind w:left="239" w:right="260"/>
        <w:jc w:val="both"/>
      </w:pPr>
      <w:r>
        <w:rPr/>
        <w:t>Partiendo del criterio empleado por Goodwin </w:t>
      </w:r>
      <w:r>
        <w:rPr>
          <w:i/>
        </w:rPr>
        <w:t>et al</w:t>
      </w:r>
      <w:r>
        <w:rPr/>
        <w:t>. (1996) donde el testigo (sin fungicida) es considerado como 100% del crecimiento, los aislamientos que mostraron más de 40% de crecimiento relativo al testigo en presencia de 5.0 µg/ml (ingrediente  activo)  de  metalaxil  fueron  considerados  resistentes.  Las      dosis</w:t>
      </w:r>
    </w:p>
    <w:p>
      <w:pPr>
        <w:spacing w:after="0" w:line="480" w:lineRule="auto"/>
        <w:jc w:val="both"/>
        <w:sectPr>
          <w:pgSz w:w="12240" w:h="15840"/>
          <w:pgMar w:header="719" w:footer="740" w:top="1260" w:bottom="920" w:left="1460" w:right="1440"/>
        </w:sectPr>
      </w:pPr>
    </w:p>
    <w:p>
      <w:pPr>
        <w:pStyle w:val="BodyText"/>
        <w:rPr>
          <w:sz w:val="14"/>
        </w:rPr>
      </w:pPr>
    </w:p>
    <w:p>
      <w:pPr>
        <w:pStyle w:val="BodyText"/>
        <w:spacing w:line="480" w:lineRule="auto" w:before="70"/>
        <w:ind w:left="239" w:right="260"/>
        <w:jc w:val="both"/>
      </w:pPr>
      <w:r>
        <w:rPr/>
        <w:t>ensayadas fueron 0, 0.1, 0.5, 1.0 y 5.0, µl/ml (ingrediente activo) de metalaxil incorporados al medio de cultivo (agar-jugo V8) después de la esterilización y de enfriado el medio para evitar degradar el producto. Se realizaron 3 repeticiones  por aislamiento de </w:t>
      </w:r>
      <w:r>
        <w:rPr>
          <w:i/>
        </w:rPr>
        <w:t>Phytophthora infestans</w:t>
      </w:r>
      <w:r>
        <w:rPr/>
        <w:t>. La siembra de cada placa de Petri se realizó mediante una pastilla de 8mm de diámetro tomada del borde del crecimiento</w:t>
      </w:r>
      <w:r>
        <w:rPr>
          <w:spacing w:val="38"/>
        </w:rPr>
        <w:t> </w:t>
      </w:r>
      <w:r>
        <w:rPr/>
        <w:t>activo</w:t>
      </w:r>
      <w:r>
        <w:rPr>
          <w:spacing w:val="38"/>
        </w:rPr>
        <w:t> </w:t>
      </w:r>
      <w:r>
        <w:rPr/>
        <w:t>de</w:t>
      </w:r>
      <w:r>
        <w:rPr>
          <w:spacing w:val="38"/>
        </w:rPr>
        <w:t> </w:t>
      </w:r>
      <w:r>
        <w:rPr/>
        <w:t>una</w:t>
      </w:r>
      <w:r>
        <w:rPr>
          <w:spacing w:val="38"/>
        </w:rPr>
        <w:t> </w:t>
      </w:r>
      <w:r>
        <w:rPr/>
        <w:t>colonia</w:t>
      </w:r>
      <w:r>
        <w:rPr>
          <w:spacing w:val="38"/>
        </w:rPr>
        <w:t> </w:t>
      </w:r>
      <w:r>
        <w:rPr/>
        <w:t>en</w:t>
      </w:r>
      <w:r>
        <w:rPr>
          <w:spacing w:val="38"/>
        </w:rPr>
        <w:t> </w:t>
      </w:r>
      <w:r>
        <w:rPr/>
        <w:t>agar-jugo</w:t>
      </w:r>
      <w:r>
        <w:rPr>
          <w:spacing w:val="38"/>
        </w:rPr>
        <w:t> </w:t>
      </w:r>
      <w:r>
        <w:rPr/>
        <w:t>V8.</w:t>
      </w:r>
      <w:r>
        <w:rPr>
          <w:spacing w:val="38"/>
        </w:rPr>
        <w:t> </w:t>
      </w:r>
      <w:r>
        <w:rPr/>
        <w:t>La</w:t>
      </w:r>
      <w:r>
        <w:rPr>
          <w:spacing w:val="38"/>
        </w:rPr>
        <w:t> </w:t>
      </w:r>
      <w:r>
        <w:rPr/>
        <w:t>incubación</w:t>
      </w:r>
      <w:r>
        <w:rPr>
          <w:spacing w:val="38"/>
        </w:rPr>
        <w:t> </w:t>
      </w:r>
      <w:r>
        <w:rPr/>
        <w:t>se</w:t>
      </w:r>
      <w:r>
        <w:rPr>
          <w:spacing w:val="38"/>
        </w:rPr>
        <w:t> </w:t>
      </w:r>
      <w:r>
        <w:rPr/>
        <w:t>realizó</w:t>
      </w:r>
      <w:r>
        <w:rPr>
          <w:spacing w:val="38"/>
        </w:rPr>
        <w:t> </w:t>
      </w:r>
      <w:r>
        <w:rPr/>
        <w:t>en</w:t>
      </w:r>
    </w:p>
    <w:p>
      <w:pPr>
        <w:pStyle w:val="BodyText"/>
        <w:spacing w:line="284" w:lineRule="exact"/>
        <w:ind w:left="239"/>
        <w:jc w:val="both"/>
      </w:pPr>
      <w:r>
        <w:rPr/>
        <w:t>estufa y en oscuridad a 19</w:t>
      </w:r>
      <w:r>
        <w:rPr>
          <w:position w:val="11"/>
          <w:sz w:val="16"/>
        </w:rPr>
        <w:t>o</w:t>
      </w:r>
      <w:r>
        <w:rPr/>
        <w:t>C. Dos diámetros perpendiculares para cada aislado</w:t>
      </w:r>
    </w:p>
    <w:p>
      <w:pPr>
        <w:pStyle w:val="BodyText"/>
      </w:pPr>
    </w:p>
    <w:p>
      <w:pPr>
        <w:pStyle w:val="BodyText"/>
        <w:ind w:left="239"/>
        <w:jc w:val="both"/>
      </w:pPr>
      <w:r>
        <w:rPr/>
        <w:t>fueron medidos a los 9 días de incubación y después fueron promediados.</w:t>
      </w:r>
    </w:p>
    <w:p>
      <w:pPr>
        <w:pStyle w:val="BodyText"/>
      </w:pPr>
    </w:p>
    <w:p>
      <w:pPr>
        <w:pStyle w:val="BodyText"/>
      </w:pPr>
    </w:p>
    <w:p>
      <w:pPr>
        <w:pStyle w:val="BodyText"/>
      </w:pPr>
    </w:p>
    <w:p>
      <w:pPr>
        <w:pStyle w:val="BodyText"/>
        <w:spacing w:line="480" w:lineRule="auto"/>
        <w:ind w:left="239" w:right="260"/>
        <w:jc w:val="both"/>
      </w:pPr>
      <w:r>
        <w:rPr/>
        <w:t>Para la elaboración del medio de cultivo agar-jugo V8 se utilizó la propuesta de Miller (1955). Se utilizaron los siguientes materiales con sus cantidades:</w:t>
      </w:r>
    </w:p>
    <w:p>
      <w:pPr>
        <w:pStyle w:val="ListParagraph"/>
        <w:numPr>
          <w:ilvl w:val="0"/>
          <w:numId w:val="11"/>
        </w:numPr>
        <w:tabs>
          <w:tab w:pos="400" w:val="left" w:leader="none"/>
        </w:tabs>
        <w:spacing w:line="240" w:lineRule="auto" w:before="8" w:after="0"/>
        <w:ind w:left="399" w:right="0" w:hanging="160"/>
        <w:jc w:val="both"/>
        <w:rPr>
          <w:rFonts w:ascii="Arial"/>
          <w:sz w:val="24"/>
        </w:rPr>
      </w:pPr>
      <w:r>
        <w:rPr>
          <w:rFonts w:ascii="Arial"/>
          <w:sz w:val="24"/>
        </w:rPr>
        <w:t>200 ml de jugo</w:t>
      </w:r>
      <w:r>
        <w:rPr>
          <w:rFonts w:ascii="Arial"/>
          <w:spacing w:val="-3"/>
          <w:sz w:val="24"/>
        </w:rPr>
        <w:t> </w:t>
      </w:r>
      <w:r>
        <w:rPr>
          <w:rFonts w:ascii="Arial"/>
          <w:sz w:val="24"/>
        </w:rPr>
        <w:t>V8.</w:t>
      </w:r>
    </w:p>
    <w:p>
      <w:pPr>
        <w:pStyle w:val="BodyText"/>
      </w:pPr>
    </w:p>
    <w:p>
      <w:pPr>
        <w:pStyle w:val="ListParagraph"/>
        <w:numPr>
          <w:ilvl w:val="0"/>
          <w:numId w:val="11"/>
        </w:numPr>
        <w:tabs>
          <w:tab w:pos="400" w:val="left" w:leader="none"/>
        </w:tabs>
        <w:spacing w:line="240" w:lineRule="auto" w:before="0" w:after="0"/>
        <w:ind w:left="399" w:right="0" w:hanging="160"/>
        <w:jc w:val="both"/>
        <w:rPr>
          <w:rFonts w:ascii="Arial"/>
          <w:sz w:val="24"/>
        </w:rPr>
      </w:pPr>
      <w:r>
        <w:rPr>
          <w:rFonts w:ascii="Arial"/>
          <w:sz w:val="24"/>
        </w:rPr>
        <w:t>3 gr de carbonato de calcio.</w:t>
      </w:r>
    </w:p>
    <w:p>
      <w:pPr>
        <w:pStyle w:val="BodyText"/>
      </w:pPr>
    </w:p>
    <w:p>
      <w:pPr>
        <w:pStyle w:val="ListParagraph"/>
        <w:numPr>
          <w:ilvl w:val="0"/>
          <w:numId w:val="11"/>
        </w:numPr>
        <w:tabs>
          <w:tab w:pos="400" w:val="left" w:leader="none"/>
        </w:tabs>
        <w:spacing w:line="240" w:lineRule="auto" w:before="0" w:after="0"/>
        <w:ind w:left="399" w:right="0" w:hanging="160"/>
        <w:jc w:val="both"/>
        <w:rPr>
          <w:rFonts w:ascii="Arial"/>
          <w:sz w:val="24"/>
        </w:rPr>
      </w:pPr>
      <w:r>
        <w:rPr>
          <w:rFonts w:ascii="Arial"/>
          <w:sz w:val="24"/>
        </w:rPr>
        <w:t>20 gr de agar.</w:t>
      </w:r>
    </w:p>
    <w:p>
      <w:pPr>
        <w:pStyle w:val="BodyText"/>
      </w:pPr>
    </w:p>
    <w:p>
      <w:pPr>
        <w:pStyle w:val="BodyText"/>
        <w:spacing w:line="480" w:lineRule="auto"/>
        <w:ind w:left="239" w:right="260"/>
        <w:jc w:val="both"/>
      </w:pPr>
      <w:r>
        <w:rPr/>
        <w:t>Los materiales se colocaron en un sólo matraz y se aforó a 1 litro con agua destilada, posteriormente, se esterilizó el medio por 30 minutos en autoclave a 121ºC.</w:t>
      </w:r>
    </w:p>
    <w:p>
      <w:pPr>
        <w:pStyle w:val="BodyText"/>
      </w:pPr>
    </w:p>
    <w:p>
      <w:pPr>
        <w:pStyle w:val="BodyText"/>
      </w:pPr>
    </w:p>
    <w:p>
      <w:pPr>
        <w:pStyle w:val="Heading2"/>
        <w:numPr>
          <w:ilvl w:val="2"/>
          <w:numId w:val="10"/>
        </w:numPr>
        <w:tabs>
          <w:tab w:pos="907" w:val="left" w:leader="none"/>
        </w:tabs>
        <w:spacing w:line="240" w:lineRule="auto" w:before="209" w:after="0"/>
        <w:ind w:left="906" w:right="0" w:hanging="667"/>
        <w:jc w:val="both"/>
      </w:pPr>
      <w:bookmarkStart w:name="_TOC_250011" w:id="31"/>
      <w:r>
        <w:rPr/>
        <w:t>Evaluación del efecto fungicida de</w:t>
      </w:r>
      <w:r>
        <w:rPr>
          <w:spacing w:val="-1"/>
        </w:rPr>
        <w:t> </w:t>
      </w:r>
      <w:bookmarkEnd w:id="31"/>
      <w:r>
        <w:rPr/>
        <w:t>metalaxil</w:t>
      </w:r>
    </w:p>
    <w:p>
      <w:pPr>
        <w:pStyle w:val="BodyText"/>
        <w:spacing w:before="6"/>
        <w:rPr>
          <w:b/>
          <w:sz w:val="23"/>
        </w:rPr>
      </w:pPr>
    </w:p>
    <w:p>
      <w:pPr>
        <w:pStyle w:val="BodyText"/>
        <w:spacing w:line="480" w:lineRule="auto"/>
        <w:ind w:left="239" w:right="260"/>
        <w:jc w:val="both"/>
      </w:pPr>
      <w:r>
        <w:rPr/>
        <w:t>Para determinar el efecto fungicida (matar al patógeno) o fungistático (detiene el crecimiento del patógeno sin matarlo) del metalaxil sobre los aislamientos de </w:t>
      </w:r>
      <w:r>
        <w:rPr>
          <w:i/>
        </w:rPr>
        <w:t>Phytophthora  infestans</w:t>
      </w:r>
      <w:r>
        <w:rPr/>
        <w:t>,  estos  fueron  expuestos  a  concentraciones  de  100.0 y</w:t>
      </w:r>
    </w:p>
    <w:p>
      <w:pPr>
        <w:pStyle w:val="BodyText"/>
        <w:spacing w:before="8"/>
        <w:ind w:left="239"/>
        <w:jc w:val="both"/>
      </w:pPr>
      <w:r>
        <w:rPr/>
        <w:t>300.0 µl de ingrediente activo de metalaxil por ml de medio de cultivo agar-jugo</w:t>
      </w:r>
    </w:p>
    <w:p>
      <w:pPr>
        <w:spacing w:after="0"/>
        <w:jc w:val="both"/>
        <w:sectPr>
          <w:footerReference w:type="default" r:id="rId19"/>
          <w:pgSz w:w="12240" w:h="15840"/>
          <w:pgMar w:footer="740" w:header="719" w:top="1260" w:bottom="920" w:left="1460" w:right="1440"/>
        </w:sectPr>
      </w:pPr>
    </w:p>
    <w:p>
      <w:pPr>
        <w:pStyle w:val="BodyText"/>
        <w:rPr>
          <w:sz w:val="14"/>
        </w:rPr>
      </w:pPr>
    </w:p>
    <w:p>
      <w:pPr>
        <w:pStyle w:val="BodyText"/>
        <w:spacing w:line="480" w:lineRule="auto" w:before="70"/>
        <w:ind w:left="239" w:right="260"/>
        <w:jc w:val="both"/>
      </w:pPr>
      <w:r>
        <w:rPr/>
        <w:t>V8. Los aislamientos fueron expuestos a las dosis señaladas durante una semana, y posteriormente fueron transferidos a medio de cultivo agar-jugo V8 sin fungicida. Los aislamientos que crecieron en el medio sin fungicida, se determinó que hubo un efecto fungistático, y donde no se observó crecimiento, se consideró que hubo un efecto fungicida.</w:t>
      </w:r>
    </w:p>
    <w:p>
      <w:pPr>
        <w:pStyle w:val="BodyText"/>
      </w:pPr>
    </w:p>
    <w:p>
      <w:pPr>
        <w:pStyle w:val="BodyText"/>
      </w:pPr>
    </w:p>
    <w:p>
      <w:pPr>
        <w:pStyle w:val="ListParagraph"/>
        <w:numPr>
          <w:ilvl w:val="1"/>
          <w:numId w:val="12"/>
        </w:numPr>
        <w:tabs>
          <w:tab w:pos="743" w:val="left" w:leader="none"/>
        </w:tabs>
        <w:spacing w:line="240" w:lineRule="auto" w:before="209" w:after="0"/>
        <w:ind w:left="742" w:right="0" w:hanging="503"/>
        <w:jc w:val="both"/>
        <w:rPr>
          <w:rFonts w:ascii="Arial" w:hAnsi="Arial"/>
          <w:b/>
          <w:i/>
          <w:sz w:val="24"/>
        </w:rPr>
      </w:pPr>
      <w:r>
        <w:rPr>
          <w:rFonts w:ascii="Arial" w:hAnsi="Arial"/>
          <w:b/>
          <w:sz w:val="24"/>
        </w:rPr>
        <w:t>Valoración</w:t>
      </w:r>
      <w:r>
        <w:rPr>
          <w:rFonts w:ascii="Arial" w:hAnsi="Arial"/>
          <w:b/>
          <w:spacing w:val="35"/>
          <w:sz w:val="24"/>
        </w:rPr>
        <w:t> </w:t>
      </w:r>
      <w:r>
        <w:rPr>
          <w:rFonts w:ascii="Arial" w:hAnsi="Arial"/>
          <w:b/>
          <w:sz w:val="24"/>
        </w:rPr>
        <w:t>de</w:t>
      </w:r>
      <w:r>
        <w:rPr>
          <w:rFonts w:ascii="Arial" w:hAnsi="Arial"/>
          <w:b/>
          <w:spacing w:val="35"/>
          <w:sz w:val="24"/>
        </w:rPr>
        <w:t> </w:t>
      </w:r>
      <w:r>
        <w:rPr>
          <w:rFonts w:ascii="Arial" w:hAnsi="Arial"/>
          <w:b/>
          <w:sz w:val="24"/>
        </w:rPr>
        <w:t>la</w:t>
      </w:r>
      <w:r>
        <w:rPr>
          <w:rFonts w:ascii="Arial" w:hAnsi="Arial"/>
          <w:b/>
          <w:spacing w:val="35"/>
          <w:sz w:val="24"/>
        </w:rPr>
        <w:t> </w:t>
      </w:r>
      <w:r>
        <w:rPr>
          <w:rFonts w:ascii="Arial" w:hAnsi="Arial"/>
          <w:b/>
          <w:sz w:val="24"/>
        </w:rPr>
        <w:t>capacidad</w:t>
      </w:r>
      <w:r>
        <w:rPr>
          <w:rFonts w:ascii="Arial" w:hAnsi="Arial"/>
          <w:b/>
          <w:spacing w:val="35"/>
          <w:sz w:val="24"/>
        </w:rPr>
        <w:t> </w:t>
      </w:r>
      <w:r>
        <w:rPr>
          <w:rFonts w:ascii="Arial" w:hAnsi="Arial"/>
          <w:b/>
          <w:sz w:val="24"/>
        </w:rPr>
        <w:t>de</w:t>
      </w:r>
      <w:r>
        <w:rPr>
          <w:rFonts w:ascii="Arial" w:hAnsi="Arial"/>
          <w:b/>
          <w:spacing w:val="35"/>
          <w:sz w:val="24"/>
        </w:rPr>
        <w:t> </w:t>
      </w:r>
      <w:r>
        <w:rPr>
          <w:rFonts w:ascii="Arial" w:hAnsi="Arial"/>
          <w:b/>
          <w:sz w:val="24"/>
        </w:rPr>
        <w:t>aislamientos</w:t>
      </w:r>
      <w:r>
        <w:rPr>
          <w:rFonts w:ascii="Arial" w:hAnsi="Arial"/>
          <w:b/>
          <w:spacing w:val="35"/>
          <w:sz w:val="24"/>
        </w:rPr>
        <w:t> </w:t>
      </w:r>
      <w:r>
        <w:rPr>
          <w:rFonts w:ascii="Arial" w:hAnsi="Arial"/>
          <w:b/>
          <w:sz w:val="24"/>
        </w:rPr>
        <w:t>de</w:t>
      </w:r>
      <w:r>
        <w:rPr>
          <w:rFonts w:ascii="Arial" w:hAnsi="Arial"/>
          <w:b/>
          <w:spacing w:val="35"/>
          <w:sz w:val="24"/>
        </w:rPr>
        <w:t> </w:t>
      </w:r>
      <w:r>
        <w:rPr>
          <w:rFonts w:ascii="Arial" w:hAnsi="Arial"/>
          <w:b/>
          <w:i/>
          <w:sz w:val="24"/>
        </w:rPr>
        <w:t>Phytophthora</w:t>
      </w:r>
      <w:r>
        <w:rPr>
          <w:rFonts w:ascii="Arial" w:hAnsi="Arial"/>
          <w:b/>
          <w:i/>
          <w:spacing w:val="35"/>
          <w:sz w:val="24"/>
        </w:rPr>
        <w:t> </w:t>
      </w:r>
      <w:r>
        <w:rPr>
          <w:rFonts w:ascii="Arial" w:hAnsi="Arial"/>
          <w:b/>
          <w:i/>
          <w:sz w:val="24"/>
        </w:rPr>
        <w:t>infestans</w:t>
      </w:r>
    </w:p>
    <w:p>
      <w:pPr>
        <w:pStyle w:val="BodyText"/>
        <w:rPr>
          <w:b/>
          <w:i/>
        </w:rPr>
      </w:pPr>
    </w:p>
    <w:p>
      <w:pPr>
        <w:pStyle w:val="Heading2"/>
        <w:spacing w:before="0"/>
        <w:ind w:left="239" w:firstLine="0"/>
      </w:pPr>
      <w:r>
        <w:rPr/>
        <w:t>para producir oosporas</w:t>
      </w:r>
    </w:p>
    <w:p>
      <w:pPr>
        <w:pStyle w:val="BodyText"/>
        <w:rPr>
          <w:b/>
        </w:rPr>
      </w:pPr>
    </w:p>
    <w:p>
      <w:pPr>
        <w:pStyle w:val="Heading2"/>
        <w:numPr>
          <w:ilvl w:val="2"/>
          <w:numId w:val="12"/>
        </w:numPr>
        <w:tabs>
          <w:tab w:pos="907" w:val="left" w:leader="none"/>
        </w:tabs>
        <w:spacing w:line="240" w:lineRule="auto" w:before="201" w:after="0"/>
        <w:ind w:left="906" w:right="0" w:hanging="667"/>
        <w:jc w:val="both"/>
      </w:pPr>
      <w:bookmarkStart w:name="_TOC_250010" w:id="32"/>
      <w:r>
        <w:rPr/>
        <w:t>Enfrentamientos para la producción de</w:t>
      </w:r>
      <w:r>
        <w:rPr>
          <w:spacing w:val="-8"/>
        </w:rPr>
        <w:t> </w:t>
      </w:r>
      <w:bookmarkEnd w:id="32"/>
      <w:r>
        <w:rPr/>
        <w:t>oosporas</w:t>
      </w:r>
    </w:p>
    <w:p>
      <w:pPr>
        <w:pStyle w:val="BodyText"/>
        <w:spacing w:before="6"/>
        <w:rPr>
          <w:b/>
          <w:sz w:val="23"/>
        </w:rPr>
      </w:pPr>
    </w:p>
    <w:p>
      <w:pPr>
        <w:pStyle w:val="BodyText"/>
        <w:spacing w:line="480" w:lineRule="auto"/>
        <w:ind w:left="239" w:right="260"/>
        <w:jc w:val="both"/>
      </w:pPr>
      <w:r>
        <w:rPr/>
        <w:t>Los enfrentamientos se realizaron bajo la metodología descrita por Erwin y Ribeiro (1996). Discos de micelio (5 mm de diámetro) de los aislamientos de </w:t>
      </w:r>
      <w:r>
        <w:rPr>
          <w:i/>
        </w:rPr>
        <w:t>Phytophthora </w:t>
      </w:r>
      <w:r>
        <w:rPr>
          <w:i/>
        </w:rPr>
        <w:t>infestans </w:t>
      </w:r>
      <w:r>
        <w:rPr/>
        <w:t>(</w:t>
      </w:r>
      <w:r>
        <w:rPr>
          <w:b/>
        </w:rPr>
        <w:t>Cuadro 2</w:t>
      </w:r>
      <w:r>
        <w:rPr/>
        <w:t>) fueron enfrentados por separado con discos de micelio (5  mm de diámetro) de los aislados de referencia J104 (A1) y J204 (A2) y de los aislamientos BV2 (A1) y LPT5 (A2) en cajas Petri (9 cm de diámetro) con medio de cultivo agar-jugo V8 con centeno. Los seis aislamientos homotálicos fueron enfrentados con los aislados de referencia J104 y J204 del tipo de apareamiento A1 y A2 respectivamente, y con los aislados BV2 (A1) y LPT5 (A2). Los nueve aislamientos heterotálicos del tipo de apareamiento A1 fueron enfrentados con el aislado de referencia J204 del tipo de apareamiento A2 y con el aislado LPT5 (A2). Los cinco aislados heterotálicos del tipo de apareamiento A2 fueron enfrentados con el aislado de referencia J104 del tipo de apareamiento A1 y con el aislado BV2 (A1). Los enfrentamientos para la producción de oosporas fueron realizadas bajo las mismas condiciones que los descritos en los ensayos de determinación de </w:t>
      </w:r>
      <w:r>
        <w:rPr>
          <w:spacing w:val="3"/>
        </w:rPr>
        <w:t> </w:t>
      </w:r>
      <w:r>
        <w:rPr/>
        <w:t>tipo</w:t>
      </w:r>
    </w:p>
    <w:p>
      <w:pPr>
        <w:spacing w:after="0" w:line="480" w:lineRule="auto"/>
        <w:jc w:val="both"/>
        <w:sectPr>
          <w:footerReference w:type="default" r:id="rId20"/>
          <w:pgSz w:w="12240" w:h="15840"/>
          <w:pgMar w:footer="740" w:header="719" w:top="1260" w:bottom="920" w:left="1460" w:right="1440"/>
          <w:pgNumType w:start="21"/>
        </w:sectPr>
      </w:pPr>
    </w:p>
    <w:p>
      <w:pPr>
        <w:pStyle w:val="BodyText"/>
        <w:rPr>
          <w:sz w:val="14"/>
        </w:rPr>
      </w:pPr>
    </w:p>
    <w:p>
      <w:pPr>
        <w:pStyle w:val="BodyText"/>
        <w:spacing w:line="480" w:lineRule="auto" w:before="70"/>
        <w:ind w:left="239" w:right="260"/>
        <w:jc w:val="both"/>
      </w:pPr>
      <w:r>
        <w:rPr/>
        <w:t>de apareamiento. Como controles se realizó la prueba de cultivar solos los aislados heterotálicos y el enfrentamiento entre los aislados de referencia J104 (A1) y J204 (A2). Los aislamientos BV2 (A1) y LPT5 (A2) fueron seleccionados al azar para ver si existía diferencia en la cantidad de oosporas producidas en los enfrentamientos entre los aislamientos y las cepas de referencia. Se hizo una sola repetición de los enfrentamientos ya que se observó que el número de oosporas producidas en los enfrentamientos entre los aislamientos estudiados del mismo tipo de apareamiento y los aislados de referencia no presentaron</w:t>
      </w:r>
      <w:r>
        <w:rPr>
          <w:spacing w:val="-2"/>
        </w:rPr>
        <w:t> </w:t>
      </w:r>
      <w:r>
        <w:rPr/>
        <w:t>diferencias.</w:t>
      </w:r>
    </w:p>
    <w:p>
      <w:pPr>
        <w:pStyle w:val="BodyText"/>
      </w:pPr>
    </w:p>
    <w:p>
      <w:pPr>
        <w:pStyle w:val="BodyText"/>
        <w:spacing w:before="2"/>
        <w:rPr>
          <w:sz w:val="25"/>
        </w:rPr>
      </w:pPr>
    </w:p>
    <w:p>
      <w:pPr>
        <w:tabs>
          <w:tab w:pos="3229" w:val="left" w:leader="none"/>
          <w:tab w:pos="6085" w:val="left" w:leader="none"/>
        </w:tabs>
        <w:spacing w:line="274" w:lineRule="exact" w:before="0"/>
        <w:ind w:left="239" w:right="260" w:firstLine="0"/>
        <w:jc w:val="both"/>
        <w:rPr>
          <w:sz w:val="24"/>
        </w:rPr>
      </w:pPr>
      <w:r>
        <w:rPr>
          <w:b/>
          <w:color w:val="141413"/>
          <w:sz w:val="24"/>
        </w:rPr>
        <w:t>Cuadro 2</w:t>
      </w:r>
      <w:r>
        <w:rPr>
          <w:color w:val="141413"/>
          <w:sz w:val="24"/>
        </w:rPr>
        <w:t>. Código y tipo de apareamiento de los aislamientos de </w:t>
      </w:r>
      <w:r>
        <w:rPr>
          <w:i/>
          <w:color w:val="141413"/>
          <w:sz w:val="24"/>
        </w:rPr>
        <w:t>Phytophthora </w:t>
      </w:r>
      <w:r>
        <w:rPr>
          <w:i/>
          <w:color w:val="141413"/>
          <w:sz w:val="24"/>
        </w:rPr>
        <w:t>infestans</w:t>
      </w:r>
      <w:r>
        <w:rPr>
          <w:color w:val="141413"/>
          <w:sz w:val="24"/>
        </w:rPr>
        <w:t>.</w:t>
        <w:tab/>
      </w:r>
      <w:r>
        <w:rPr>
          <w:color w:val="141413"/>
          <w:sz w:val="24"/>
          <w:u w:val="single" w:color="000000"/>
        </w:rPr>
        <w:t> </w:t>
        <w:tab/>
      </w:r>
    </w:p>
    <w:p>
      <w:pPr>
        <w:pStyle w:val="BodyText"/>
        <w:spacing w:before="10"/>
        <w:rPr>
          <w:sz w:val="17"/>
        </w:rPr>
      </w:pPr>
    </w:p>
    <w:p>
      <w:pPr>
        <w:spacing w:after="0"/>
        <w:rPr>
          <w:sz w:val="17"/>
        </w:rPr>
        <w:sectPr>
          <w:pgSz w:w="12240" w:h="15840"/>
          <w:pgMar w:header="719" w:footer="740" w:top="1260" w:bottom="920" w:left="1460" w:right="1440"/>
        </w:sectPr>
      </w:pPr>
    </w:p>
    <w:p>
      <w:pPr>
        <w:pStyle w:val="BodyText"/>
        <w:rPr>
          <w:sz w:val="16"/>
        </w:rPr>
      </w:pPr>
    </w:p>
    <w:p>
      <w:pPr>
        <w:pStyle w:val="BodyText"/>
        <w:spacing w:before="1"/>
        <w:rPr>
          <w:sz w:val="15"/>
        </w:rPr>
      </w:pPr>
    </w:p>
    <w:p>
      <w:pPr>
        <w:spacing w:before="0"/>
        <w:ind w:left="0" w:right="0" w:firstLine="0"/>
        <w:jc w:val="right"/>
        <w:rPr>
          <w:b/>
          <w:sz w:val="16"/>
        </w:rPr>
      </w:pPr>
      <w:r>
        <w:rPr>
          <w:b/>
          <w:color w:val="141413"/>
          <w:w w:val="95"/>
          <w:sz w:val="16"/>
        </w:rPr>
        <w:t>Aislamiento</w:t>
      </w:r>
    </w:p>
    <w:p>
      <w:pPr>
        <w:spacing w:line="362" w:lineRule="auto" w:before="79"/>
        <w:ind w:left="437" w:right="2795" w:firstLine="213"/>
        <w:jc w:val="left"/>
        <w:rPr>
          <w:b/>
          <w:sz w:val="16"/>
        </w:rPr>
      </w:pPr>
      <w:r>
        <w:rPr/>
        <w:br w:type="column"/>
      </w:r>
      <w:r>
        <w:rPr>
          <w:b/>
          <w:color w:val="141413"/>
          <w:sz w:val="16"/>
        </w:rPr>
        <w:t>Tipo de </w:t>
      </w:r>
      <w:r>
        <w:rPr>
          <w:b/>
          <w:color w:val="141413"/>
          <w:w w:val="95"/>
          <w:sz w:val="16"/>
        </w:rPr>
        <w:t>apareamiento</w:t>
      </w:r>
    </w:p>
    <w:p>
      <w:pPr>
        <w:spacing w:after="0" w:line="362" w:lineRule="auto"/>
        <w:jc w:val="left"/>
        <w:rPr>
          <w:sz w:val="16"/>
        </w:rPr>
        <w:sectPr>
          <w:type w:val="continuous"/>
          <w:pgSz w:w="12240" w:h="15840"/>
          <w:pgMar w:top="1500" w:bottom="1820" w:left="1460" w:right="1440"/>
          <w:cols w:num="2" w:equalWidth="0">
            <w:col w:w="4317" w:space="40"/>
            <w:col w:w="4983"/>
          </w:cols>
        </w:sectPr>
      </w:pPr>
    </w:p>
    <w:p>
      <w:pPr>
        <w:pStyle w:val="BodyText"/>
        <w:spacing w:before="7"/>
        <w:rPr>
          <w:b/>
          <w:sz w:val="11"/>
        </w:rPr>
      </w:pPr>
    </w:p>
    <w:p>
      <w:pPr>
        <w:pStyle w:val="BodyText"/>
        <w:spacing w:line="20" w:lineRule="exact"/>
        <w:ind w:left="3224"/>
        <w:rPr>
          <w:sz w:val="2"/>
        </w:rPr>
      </w:pPr>
      <w:r>
        <w:rPr>
          <w:sz w:val="2"/>
        </w:rPr>
        <w:pict>
          <v:group style="width:143.3pt;height:.5pt;mso-position-horizontal-relative:char;mso-position-vertical-relative:line" coordorigin="0,0" coordsize="2866,10">
            <v:line style="position:absolute" from="5,5" to="1267,5" stroked="true" strokeweight=".48pt" strokecolor="#000000"/>
            <v:line style="position:absolute" from="1267,5" to="1277,5" stroked="true" strokeweight=".48pt" strokecolor="#000000"/>
            <v:line style="position:absolute" from="1277,5" to="2861,5" stroked="true" strokeweight=".48pt" strokecolor="#000000"/>
          </v:group>
        </w:pict>
      </w:r>
      <w:r>
        <w:rPr>
          <w:sz w:val="2"/>
        </w:rPr>
      </w:r>
    </w:p>
    <w:p>
      <w:pPr>
        <w:tabs>
          <w:tab w:pos="1242" w:val="left" w:leader="none"/>
        </w:tabs>
        <w:spacing w:before="0"/>
        <w:ind w:left="63" w:right="0" w:firstLine="0"/>
        <w:jc w:val="center"/>
        <w:rPr>
          <w:sz w:val="16"/>
        </w:rPr>
      </w:pPr>
      <w:r>
        <w:rPr>
          <w:sz w:val="16"/>
        </w:rPr>
        <w:t>RT1</w:t>
        <w:tab/>
        <w:t>Homotálico</w:t>
      </w:r>
    </w:p>
    <w:p>
      <w:pPr>
        <w:tabs>
          <w:tab w:pos="1242" w:val="left" w:leader="none"/>
        </w:tabs>
        <w:spacing w:before="85"/>
        <w:ind w:left="23" w:right="0" w:firstLine="0"/>
        <w:jc w:val="center"/>
        <w:rPr>
          <w:sz w:val="16"/>
        </w:rPr>
      </w:pPr>
      <w:r>
        <w:rPr>
          <w:sz w:val="16"/>
        </w:rPr>
        <w:t>LPT3</w:t>
        <w:tab/>
        <w:t>Homotálico</w:t>
      </w:r>
    </w:p>
    <w:p>
      <w:pPr>
        <w:tabs>
          <w:tab w:pos="1242" w:val="left" w:leader="none"/>
        </w:tabs>
        <w:spacing w:before="94"/>
        <w:ind w:left="54" w:right="0" w:firstLine="0"/>
        <w:jc w:val="center"/>
        <w:rPr>
          <w:sz w:val="16"/>
        </w:rPr>
      </w:pPr>
      <w:r>
        <w:rPr>
          <w:color w:val="141413"/>
          <w:sz w:val="16"/>
        </w:rPr>
        <w:t>RR1</w:t>
        <w:tab/>
      </w:r>
      <w:r>
        <w:rPr>
          <w:sz w:val="16"/>
        </w:rPr>
        <w:t>Homotálico</w:t>
      </w:r>
    </w:p>
    <w:p>
      <w:pPr>
        <w:tabs>
          <w:tab w:pos="1242" w:val="left" w:leader="none"/>
        </w:tabs>
        <w:spacing w:before="89"/>
        <w:ind w:left="23" w:right="0" w:firstLine="0"/>
        <w:jc w:val="center"/>
        <w:rPr>
          <w:sz w:val="16"/>
        </w:rPr>
      </w:pPr>
      <w:r>
        <w:rPr>
          <w:sz w:val="16"/>
        </w:rPr>
        <w:t>LPT2</w:t>
        <w:tab/>
        <w:t>Homotálico</w:t>
      </w:r>
    </w:p>
    <w:p>
      <w:pPr>
        <w:tabs>
          <w:tab w:pos="1242" w:val="left" w:leader="none"/>
        </w:tabs>
        <w:spacing w:before="94"/>
        <w:ind w:left="72" w:right="0" w:firstLine="0"/>
        <w:jc w:val="center"/>
        <w:rPr>
          <w:sz w:val="16"/>
        </w:rPr>
      </w:pPr>
      <w:r>
        <w:rPr>
          <w:sz w:val="16"/>
        </w:rPr>
        <w:t>LP5</w:t>
        <w:tab/>
        <w:t>Homotálico</w:t>
      </w:r>
    </w:p>
    <w:p>
      <w:pPr>
        <w:tabs>
          <w:tab w:pos="4891" w:val="left" w:leader="none"/>
          <w:tab w:pos="5193" w:val="left" w:leader="none"/>
        </w:tabs>
        <w:spacing w:line="362" w:lineRule="auto" w:before="94"/>
        <w:ind w:left="3672" w:right="3646" w:firstLine="48"/>
        <w:jc w:val="left"/>
        <w:rPr>
          <w:sz w:val="16"/>
        </w:rPr>
      </w:pPr>
      <w:r>
        <w:rPr>
          <w:sz w:val="16"/>
        </w:rPr>
        <w:t>LP2</w:t>
        <w:tab/>
      </w:r>
      <w:r>
        <w:rPr>
          <w:w w:val="95"/>
          <w:sz w:val="16"/>
        </w:rPr>
        <w:t>Homotálico </w:t>
      </w:r>
      <w:r>
        <w:rPr>
          <w:sz w:val="16"/>
        </w:rPr>
        <w:t>LPT6</w:t>
        <w:tab/>
        <w:tab/>
        <w:t>A1</w:t>
      </w:r>
    </w:p>
    <w:p>
      <w:pPr>
        <w:tabs>
          <w:tab w:pos="1481" w:val="left" w:leader="none"/>
        </w:tabs>
        <w:spacing w:line="182" w:lineRule="exact" w:before="0"/>
        <w:ind w:left="0" w:right="235" w:firstLine="0"/>
        <w:jc w:val="center"/>
        <w:rPr>
          <w:sz w:val="16"/>
        </w:rPr>
      </w:pPr>
      <w:r>
        <w:rPr>
          <w:sz w:val="16"/>
        </w:rPr>
        <w:t>BV2</w:t>
        <w:tab/>
        <w:t>A1</w:t>
      </w:r>
    </w:p>
    <w:p>
      <w:pPr>
        <w:tabs>
          <w:tab w:pos="1472" w:val="left" w:leader="none"/>
        </w:tabs>
        <w:spacing w:before="94"/>
        <w:ind w:left="0" w:right="226" w:firstLine="0"/>
        <w:jc w:val="center"/>
        <w:rPr>
          <w:sz w:val="16"/>
        </w:rPr>
      </w:pPr>
      <w:r>
        <w:rPr>
          <w:sz w:val="16"/>
        </w:rPr>
        <w:t>LP4</w:t>
        <w:tab/>
        <w:t>A1</w:t>
      </w:r>
    </w:p>
    <w:p>
      <w:pPr>
        <w:tabs>
          <w:tab w:pos="1472" w:val="left" w:leader="none"/>
        </w:tabs>
        <w:spacing w:before="94"/>
        <w:ind w:left="0" w:right="226" w:firstLine="0"/>
        <w:jc w:val="center"/>
        <w:rPr>
          <w:sz w:val="16"/>
        </w:rPr>
      </w:pPr>
      <w:r>
        <w:rPr>
          <w:sz w:val="16"/>
        </w:rPr>
        <w:t>LP3</w:t>
        <w:tab/>
        <w:t>A1</w:t>
      </w:r>
    </w:p>
    <w:p>
      <w:pPr>
        <w:tabs>
          <w:tab w:pos="1490" w:val="left" w:leader="none"/>
        </w:tabs>
        <w:spacing w:before="89"/>
        <w:ind w:left="0" w:right="244" w:firstLine="0"/>
        <w:jc w:val="center"/>
        <w:rPr>
          <w:sz w:val="16"/>
        </w:rPr>
      </w:pPr>
      <w:r>
        <w:rPr>
          <w:sz w:val="16"/>
        </w:rPr>
        <w:t>RR2</w:t>
        <w:tab/>
        <w:t>A1</w:t>
      </w:r>
    </w:p>
    <w:p>
      <w:pPr>
        <w:tabs>
          <w:tab w:pos="1521" w:val="left" w:leader="none"/>
        </w:tabs>
        <w:spacing w:before="94"/>
        <w:ind w:left="0" w:right="275" w:firstLine="0"/>
        <w:jc w:val="center"/>
        <w:rPr>
          <w:sz w:val="16"/>
        </w:rPr>
      </w:pPr>
      <w:r>
        <w:rPr>
          <w:sz w:val="16"/>
        </w:rPr>
        <w:t>LPT4</w:t>
        <w:tab/>
        <w:t>A1</w:t>
      </w:r>
    </w:p>
    <w:p>
      <w:pPr>
        <w:tabs>
          <w:tab w:pos="1472" w:val="left" w:leader="none"/>
        </w:tabs>
        <w:spacing w:before="94"/>
        <w:ind w:left="0" w:right="226" w:firstLine="0"/>
        <w:jc w:val="center"/>
        <w:rPr>
          <w:sz w:val="16"/>
        </w:rPr>
      </w:pPr>
      <w:r>
        <w:rPr>
          <w:sz w:val="16"/>
        </w:rPr>
        <w:t>LP1</w:t>
        <w:tab/>
        <w:t>A1</w:t>
      </w:r>
    </w:p>
    <w:p>
      <w:pPr>
        <w:tabs>
          <w:tab w:pos="1481" w:val="left" w:leader="none"/>
        </w:tabs>
        <w:spacing w:before="94"/>
        <w:ind w:left="0" w:right="235" w:firstLine="0"/>
        <w:jc w:val="center"/>
        <w:rPr>
          <w:sz w:val="16"/>
        </w:rPr>
      </w:pPr>
      <w:r>
        <w:rPr>
          <w:sz w:val="16"/>
        </w:rPr>
        <w:t>BV1</w:t>
        <w:tab/>
        <w:t>A1</w:t>
      </w:r>
    </w:p>
    <w:p>
      <w:pPr>
        <w:tabs>
          <w:tab w:pos="1530" w:val="left" w:leader="none"/>
        </w:tabs>
        <w:spacing w:before="89"/>
        <w:ind w:left="0" w:right="284" w:firstLine="0"/>
        <w:jc w:val="center"/>
        <w:rPr>
          <w:sz w:val="16"/>
        </w:rPr>
      </w:pPr>
      <w:r>
        <w:rPr>
          <w:sz w:val="16"/>
        </w:rPr>
        <w:t>BVT2</w:t>
        <w:tab/>
        <w:t>A1</w:t>
      </w:r>
    </w:p>
    <w:p>
      <w:pPr>
        <w:tabs>
          <w:tab w:pos="1521" w:val="left" w:leader="none"/>
        </w:tabs>
        <w:spacing w:before="94"/>
        <w:ind w:left="0" w:right="275" w:firstLine="0"/>
        <w:jc w:val="center"/>
        <w:rPr>
          <w:sz w:val="16"/>
        </w:rPr>
      </w:pPr>
      <w:r>
        <w:rPr>
          <w:sz w:val="16"/>
        </w:rPr>
        <w:t>LPT1</w:t>
        <w:tab/>
        <w:t>A2</w:t>
      </w:r>
    </w:p>
    <w:p>
      <w:pPr>
        <w:tabs>
          <w:tab w:pos="1521" w:val="left" w:leader="none"/>
        </w:tabs>
        <w:spacing w:before="94"/>
        <w:ind w:left="0" w:right="275" w:firstLine="0"/>
        <w:jc w:val="center"/>
        <w:rPr>
          <w:sz w:val="16"/>
        </w:rPr>
      </w:pPr>
      <w:r>
        <w:rPr>
          <w:sz w:val="16"/>
        </w:rPr>
        <w:t>LPT5</w:t>
        <w:tab/>
        <w:t>A2</w:t>
      </w:r>
    </w:p>
    <w:p>
      <w:pPr>
        <w:tabs>
          <w:tab w:pos="1530" w:val="left" w:leader="none"/>
        </w:tabs>
        <w:spacing w:before="89"/>
        <w:ind w:left="0" w:right="284" w:firstLine="0"/>
        <w:jc w:val="center"/>
        <w:rPr>
          <w:sz w:val="16"/>
        </w:rPr>
      </w:pPr>
      <w:r>
        <w:rPr>
          <w:sz w:val="16"/>
        </w:rPr>
        <w:t>BVT3</w:t>
        <w:tab/>
        <w:t>A2</w:t>
      </w:r>
    </w:p>
    <w:p>
      <w:pPr>
        <w:tabs>
          <w:tab w:pos="1530" w:val="left" w:leader="none"/>
        </w:tabs>
        <w:spacing w:before="94"/>
        <w:ind w:left="0" w:right="284" w:firstLine="0"/>
        <w:jc w:val="center"/>
        <w:rPr>
          <w:sz w:val="16"/>
        </w:rPr>
      </w:pPr>
      <w:r>
        <w:rPr>
          <w:sz w:val="16"/>
        </w:rPr>
        <w:t>BVT1</w:t>
        <w:tab/>
        <w:t>A2</w:t>
      </w:r>
    </w:p>
    <w:p>
      <w:pPr>
        <w:tabs>
          <w:tab w:pos="1481" w:val="left" w:leader="none"/>
        </w:tabs>
        <w:spacing w:before="94"/>
        <w:ind w:left="0" w:right="235" w:firstLine="0"/>
        <w:jc w:val="center"/>
        <w:rPr>
          <w:sz w:val="16"/>
        </w:rPr>
      </w:pPr>
      <w:r>
        <w:rPr/>
        <w:pict>
          <v:group style="position:absolute;margin-left:233.509995pt;margin-top:18.673908pt;width:144.050pt;height:.5pt;mso-position-horizontal-relative:page;mso-position-vertical-relative:paragraph;z-index:1144;mso-wrap-distance-left:0;mso-wrap-distance-right:0" coordorigin="4670,373" coordsize="2881,10">
            <v:line style="position:absolute" from="4675,378" to="5952,378" stroked="true" strokeweight=".48pt" strokecolor="#000000"/>
            <v:line style="position:absolute" from="5938,378" to="5947,378" stroked="true" strokeweight=".48pt" strokecolor="#000000"/>
            <v:line style="position:absolute" from="5947,378" to="7546,378" stroked="true" strokeweight=".48pt" strokecolor="#000000"/>
            <w10:wrap type="topAndBottom"/>
          </v:group>
        </w:pict>
      </w:r>
      <w:r>
        <w:rPr>
          <w:sz w:val="16"/>
        </w:rPr>
        <w:t>RT2</w:t>
        <w:tab/>
        <w:t>A2</w:t>
      </w:r>
    </w:p>
    <w:p>
      <w:pPr>
        <w:spacing w:after="0"/>
        <w:jc w:val="center"/>
        <w:rPr>
          <w:sz w:val="16"/>
        </w:rPr>
        <w:sectPr>
          <w:type w:val="continuous"/>
          <w:pgSz w:w="12240" w:h="15840"/>
          <w:pgMar w:top="1500" w:bottom="1820" w:left="1460" w:right="1440"/>
        </w:sectPr>
      </w:pPr>
    </w:p>
    <w:p>
      <w:pPr>
        <w:pStyle w:val="BodyText"/>
        <w:rPr>
          <w:sz w:val="14"/>
        </w:rPr>
      </w:pPr>
    </w:p>
    <w:p>
      <w:pPr>
        <w:pStyle w:val="Heading2"/>
        <w:numPr>
          <w:ilvl w:val="2"/>
          <w:numId w:val="12"/>
        </w:numPr>
        <w:tabs>
          <w:tab w:pos="907" w:val="left" w:leader="none"/>
        </w:tabs>
        <w:spacing w:line="240" w:lineRule="auto" w:before="70" w:after="0"/>
        <w:ind w:left="906" w:right="0" w:hanging="667"/>
        <w:jc w:val="both"/>
      </w:pPr>
      <w:bookmarkStart w:name="_TOC_250009" w:id="33"/>
      <w:bookmarkEnd w:id="33"/>
      <w:r>
        <w:rPr/>
        <w:t>Cuantificación de oosporas</w:t>
      </w:r>
    </w:p>
    <w:p>
      <w:pPr>
        <w:pStyle w:val="BodyText"/>
        <w:rPr>
          <w:b/>
        </w:rPr>
      </w:pPr>
    </w:p>
    <w:p>
      <w:pPr>
        <w:pStyle w:val="BodyText"/>
        <w:spacing w:line="480" w:lineRule="auto"/>
        <w:ind w:left="239" w:right="260"/>
        <w:jc w:val="both"/>
      </w:pPr>
      <w:r>
        <w:rPr/>
        <w:t>Con ayuda de un microscopio óptico se contaron el número total de oosporas que se encontraban entre y sobre la superficie del micelio en cada caja Petri (9 cm de diámetro) veinte días después del enfrentamiento entre los aislamientos homotálicos y los aislados de referencia heterotálicos (Groves y Ristaino, 2000; Han </w:t>
      </w:r>
      <w:r>
        <w:rPr>
          <w:i/>
        </w:rPr>
        <w:t>et. al</w:t>
      </w:r>
      <w:r>
        <w:rPr/>
        <w:t>., 2013). De igual manera, se cuantificaron las oosporas producidas por los aislamientos homotálicos por sí solos.</w:t>
      </w:r>
    </w:p>
    <w:p>
      <w:pPr>
        <w:pStyle w:val="BodyText"/>
      </w:pPr>
    </w:p>
    <w:p>
      <w:pPr>
        <w:pStyle w:val="Heading2"/>
        <w:numPr>
          <w:ilvl w:val="2"/>
          <w:numId w:val="12"/>
        </w:numPr>
        <w:tabs>
          <w:tab w:pos="907" w:val="left" w:leader="none"/>
        </w:tabs>
        <w:spacing w:line="240" w:lineRule="auto" w:before="212" w:after="0"/>
        <w:ind w:left="906" w:right="0" w:hanging="667"/>
        <w:jc w:val="both"/>
      </w:pPr>
      <w:bookmarkStart w:name="_TOC_250008" w:id="34"/>
      <w:bookmarkEnd w:id="34"/>
      <w:r>
        <w:rPr/>
        <w:t>Análisis estadístico</w:t>
      </w:r>
    </w:p>
    <w:p>
      <w:pPr>
        <w:pStyle w:val="BodyText"/>
        <w:rPr>
          <w:b/>
        </w:rPr>
      </w:pPr>
    </w:p>
    <w:p>
      <w:pPr>
        <w:pStyle w:val="BodyText"/>
        <w:spacing w:line="480" w:lineRule="auto"/>
        <w:ind w:left="239" w:right="260"/>
        <w:jc w:val="both"/>
      </w:pPr>
      <w:r>
        <w:rPr/>
        <w:t>Los datos del número de oosporas producidas obtenidos para cada uno de los ensayos se sometieron a un análisis de varianza y prueba de comparación de medias de Tukey (p &lt; 0.05), con el paquete estadístico SAS versión 9.0 (SAS Institute, 2002).</w:t>
      </w:r>
    </w:p>
    <w:p>
      <w:pPr>
        <w:pStyle w:val="BodyText"/>
      </w:pPr>
    </w:p>
    <w:p>
      <w:pPr>
        <w:pStyle w:val="BodyText"/>
      </w:pPr>
    </w:p>
    <w:p>
      <w:pPr>
        <w:pStyle w:val="BodyText"/>
        <w:spacing w:before="8"/>
        <w:rPr>
          <w:sz w:val="35"/>
        </w:rPr>
      </w:pPr>
    </w:p>
    <w:p>
      <w:pPr>
        <w:pStyle w:val="Heading2"/>
        <w:numPr>
          <w:ilvl w:val="1"/>
          <w:numId w:val="13"/>
        </w:numPr>
        <w:tabs>
          <w:tab w:pos="707" w:val="left" w:leader="none"/>
        </w:tabs>
        <w:spacing w:line="240" w:lineRule="auto" w:before="0" w:after="0"/>
        <w:ind w:left="706" w:right="0" w:hanging="467"/>
        <w:jc w:val="both"/>
      </w:pPr>
      <w:bookmarkStart w:name="_TOC_250007" w:id="35"/>
      <w:r>
        <w:rPr/>
        <w:t>Valoración  de la capacidad de los aislamientos homotálicos</w:t>
      </w:r>
      <w:r>
        <w:rPr>
          <w:spacing w:val="-1"/>
        </w:rPr>
        <w:t> </w:t>
      </w:r>
      <w:bookmarkEnd w:id="35"/>
      <w:r>
        <w:rPr/>
        <w:t>de</w:t>
      </w:r>
    </w:p>
    <w:p>
      <w:pPr>
        <w:pStyle w:val="BodyText"/>
        <w:spacing w:before="6"/>
        <w:rPr>
          <w:b/>
          <w:sz w:val="23"/>
        </w:rPr>
      </w:pPr>
    </w:p>
    <w:p>
      <w:pPr>
        <w:spacing w:before="0"/>
        <w:ind w:left="239" w:right="0" w:firstLine="0"/>
        <w:jc w:val="both"/>
        <w:rPr>
          <w:b/>
          <w:sz w:val="24"/>
        </w:rPr>
      </w:pPr>
      <w:r>
        <w:rPr>
          <w:b/>
          <w:i/>
          <w:sz w:val="24"/>
        </w:rPr>
        <w:t>Phytophthora infestans </w:t>
      </w:r>
      <w:r>
        <w:rPr>
          <w:b/>
          <w:sz w:val="24"/>
        </w:rPr>
        <w:t>para producir progenie homotálica.</w:t>
      </w:r>
    </w:p>
    <w:p>
      <w:pPr>
        <w:pStyle w:val="BodyText"/>
        <w:rPr>
          <w:b/>
        </w:rPr>
      </w:pPr>
    </w:p>
    <w:p>
      <w:pPr>
        <w:pStyle w:val="Heading2"/>
        <w:numPr>
          <w:ilvl w:val="2"/>
          <w:numId w:val="13"/>
        </w:numPr>
        <w:tabs>
          <w:tab w:pos="907" w:val="left" w:leader="none"/>
        </w:tabs>
        <w:spacing w:line="240" w:lineRule="auto" w:before="201" w:after="0"/>
        <w:ind w:left="906" w:right="0" w:hanging="667"/>
        <w:jc w:val="both"/>
      </w:pPr>
      <w:bookmarkStart w:name="_TOC_250006" w:id="36"/>
      <w:bookmarkEnd w:id="36"/>
      <w:r>
        <w:rPr/>
        <w:t>Producción de progenie asexual</w:t>
      </w:r>
    </w:p>
    <w:p>
      <w:pPr>
        <w:pStyle w:val="BodyText"/>
        <w:rPr>
          <w:b/>
        </w:rPr>
      </w:pPr>
    </w:p>
    <w:p>
      <w:pPr>
        <w:pStyle w:val="BodyText"/>
        <w:spacing w:line="480" w:lineRule="auto"/>
        <w:ind w:left="239" w:right="260"/>
        <w:jc w:val="both"/>
      </w:pPr>
      <w:r>
        <w:rPr/>
        <w:t>Se obtuvo progenie monospórica a partir de zoosporas individuales obtenidas de los aislamientos homotálicos siguiendo la metodología de Han </w:t>
      </w:r>
      <w:r>
        <w:rPr>
          <w:i/>
        </w:rPr>
        <w:t>et. al</w:t>
      </w:r>
      <w:r>
        <w:rPr/>
        <w:t>., (2013). Los esporangios fueron desprendidos de la superficie del micelio de los aislados homotálicos de 10 días de edad al añadir 10 ml de agua estéril a cada caja Petri con el aislamiento en medio de cultivo agar-jugo v8 con centeno. Las zoosporas</w:t>
      </w:r>
    </w:p>
    <w:p>
      <w:pPr>
        <w:spacing w:after="0" w:line="480" w:lineRule="auto"/>
        <w:jc w:val="both"/>
        <w:sectPr>
          <w:pgSz w:w="12240" w:h="15840"/>
          <w:pgMar w:header="719" w:footer="740" w:top="1260" w:bottom="920" w:left="1460" w:right="1440"/>
        </w:sectPr>
      </w:pPr>
    </w:p>
    <w:p>
      <w:pPr>
        <w:pStyle w:val="BodyText"/>
        <w:rPr>
          <w:sz w:val="14"/>
        </w:rPr>
      </w:pPr>
    </w:p>
    <w:p>
      <w:pPr>
        <w:pStyle w:val="BodyText"/>
        <w:spacing w:line="480" w:lineRule="auto" w:before="70"/>
        <w:ind w:left="239" w:right="260"/>
        <w:jc w:val="both"/>
      </w:pPr>
      <w:r>
        <w:rPr/>
        <w:t>fueron obtenidas por exposición de la suspensión de esporangios a estrés térmico, dos horas a 4ºC y posterior transferencia a temperatura ambiente por 30 minutos. La suspensión de esporas se agitó por 30 segundos en un vórtex. Un ml de la concentración homogénea de zoosporas se cultivó en una caja Petri con medio de cultivo agar-jugo V8 con centeno. Después de 30 horas a 17ºC las zoosporas individuales germinadas fueron transferidas a medio de cultivo agar-jugo v8 con centeno.</w:t>
      </w:r>
    </w:p>
    <w:p>
      <w:pPr>
        <w:pStyle w:val="BodyText"/>
      </w:pPr>
    </w:p>
    <w:p>
      <w:pPr>
        <w:pStyle w:val="BodyText"/>
      </w:pPr>
    </w:p>
    <w:p>
      <w:pPr>
        <w:pStyle w:val="Heading2"/>
        <w:numPr>
          <w:ilvl w:val="2"/>
          <w:numId w:val="13"/>
        </w:numPr>
        <w:tabs>
          <w:tab w:pos="907" w:val="left" w:leader="none"/>
        </w:tabs>
        <w:spacing w:line="240" w:lineRule="auto" w:before="209" w:after="0"/>
        <w:ind w:left="906" w:right="0" w:hanging="667"/>
        <w:jc w:val="both"/>
      </w:pPr>
      <w:bookmarkStart w:name="_TOC_250005" w:id="37"/>
      <w:r>
        <w:rPr/>
        <w:t>Determinación de tipo de apareamiento de la</w:t>
      </w:r>
      <w:r>
        <w:rPr>
          <w:spacing w:val="-3"/>
        </w:rPr>
        <w:t> </w:t>
      </w:r>
      <w:bookmarkEnd w:id="37"/>
      <w:r>
        <w:rPr/>
        <w:t>progenie</w:t>
      </w:r>
    </w:p>
    <w:p>
      <w:pPr>
        <w:pStyle w:val="BodyText"/>
        <w:rPr>
          <w:b/>
        </w:rPr>
      </w:pPr>
    </w:p>
    <w:p>
      <w:pPr>
        <w:pStyle w:val="BodyText"/>
        <w:spacing w:line="472" w:lineRule="auto"/>
        <w:ind w:left="239" w:right="260"/>
        <w:jc w:val="both"/>
      </w:pPr>
      <w:r>
        <w:rPr/>
        <w:t>Se determinó el tipo de apareamiento de la progenie monospórica como fue descrito por Erwin y Ribeiro (1996). Cada uno de los aislamientos monospóricos fue enfrentado con los aislados de referencia J104 (A1) y J204 (A2), que fueron proporcionados por la Universidad Michoacana de San Nicolás de Hidalgo (México) para determinar su tipo de apareamiento. Los enfrentamientos se realizaron</w:t>
      </w:r>
      <w:r>
        <w:rPr>
          <w:spacing w:val="35"/>
        </w:rPr>
        <w:t> </w:t>
      </w:r>
      <w:r>
        <w:rPr/>
        <w:t>bajo</w:t>
      </w:r>
      <w:r>
        <w:rPr>
          <w:spacing w:val="35"/>
        </w:rPr>
        <w:t> </w:t>
      </w:r>
      <w:r>
        <w:rPr/>
        <w:t>temperatura</w:t>
      </w:r>
      <w:r>
        <w:rPr>
          <w:spacing w:val="35"/>
        </w:rPr>
        <w:t> </w:t>
      </w:r>
      <w:r>
        <w:rPr/>
        <w:t>de</w:t>
      </w:r>
      <w:r>
        <w:rPr>
          <w:spacing w:val="35"/>
        </w:rPr>
        <w:t> </w:t>
      </w:r>
      <w:r>
        <w:rPr/>
        <w:t>15</w:t>
      </w:r>
      <w:r>
        <w:rPr>
          <w:position w:val="11"/>
          <w:sz w:val="16"/>
        </w:rPr>
        <w:t>o</w:t>
      </w:r>
      <w:r>
        <w:rPr/>
        <w:t>C</w:t>
      </w:r>
      <w:r>
        <w:rPr>
          <w:spacing w:val="35"/>
        </w:rPr>
        <w:t> </w:t>
      </w:r>
      <w:r>
        <w:rPr/>
        <w:t>y</w:t>
      </w:r>
      <w:r>
        <w:rPr>
          <w:spacing w:val="35"/>
        </w:rPr>
        <w:t> </w:t>
      </w:r>
      <w:r>
        <w:rPr/>
        <w:t>en</w:t>
      </w:r>
      <w:r>
        <w:rPr>
          <w:spacing w:val="35"/>
        </w:rPr>
        <w:t> </w:t>
      </w:r>
      <w:r>
        <w:rPr/>
        <w:t>oscuridad,</w:t>
      </w:r>
      <w:r>
        <w:rPr>
          <w:spacing w:val="35"/>
        </w:rPr>
        <w:t> </w:t>
      </w:r>
      <w:r>
        <w:rPr/>
        <w:t>utilizando</w:t>
      </w:r>
      <w:r>
        <w:rPr>
          <w:spacing w:val="35"/>
        </w:rPr>
        <w:t> </w:t>
      </w:r>
      <w:r>
        <w:rPr/>
        <w:t>medio</w:t>
      </w:r>
      <w:r>
        <w:rPr>
          <w:spacing w:val="35"/>
        </w:rPr>
        <w:t> </w:t>
      </w:r>
      <w:r>
        <w:rPr/>
        <w:t>de</w:t>
      </w:r>
      <w:r>
        <w:rPr>
          <w:spacing w:val="35"/>
        </w:rPr>
        <w:t> </w:t>
      </w:r>
      <w:r>
        <w:rPr/>
        <w:t>cultivo</w:t>
      </w:r>
    </w:p>
    <w:p>
      <w:pPr>
        <w:pStyle w:val="BodyText"/>
        <w:spacing w:line="255" w:lineRule="exact"/>
        <w:ind w:left="239"/>
        <w:jc w:val="both"/>
      </w:pPr>
      <w:r>
        <w:rPr/>
        <w:t>agar-jugo V8 con centeno. A partir del tercer día de contacto entre los aislamientos</w:t>
      </w:r>
    </w:p>
    <w:p>
      <w:pPr>
        <w:pStyle w:val="BodyText"/>
      </w:pPr>
    </w:p>
    <w:p>
      <w:pPr>
        <w:pStyle w:val="BodyText"/>
        <w:spacing w:line="480" w:lineRule="auto"/>
        <w:ind w:left="239" w:right="260"/>
        <w:jc w:val="both"/>
      </w:pPr>
      <w:r>
        <w:rPr/>
        <w:t>de referencia y la progenie se realizaron observaciones diarias hasta que fueron encontrados órganos sexuales (oogonios y anteridios anfiginos) y oosporas. Los aislamientos que sólo produjeron estructuras sexuales y oosporas al ser enfrentados con el aislado de referencia J104 (A1) fueron determinados como tipo de apareamiento A2, y los que sólo produjeron estructuras sexuales y oosporas al ser enfrentados con el aislado de referencia J204 (A2) fueron determinados como tipo de apareamiento A1. Los aislamientos que produjeron oosporas con ambos</w:t>
      </w:r>
    </w:p>
    <w:p>
      <w:pPr>
        <w:spacing w:after="0" w:line="480" w:lineRule="auto"/>
        <w:jc w:val="both"/>
        <w:sectPr>
          <w:pgSz w:w="12240" w:h="15840"/>
          <w:pgMar w:header="719" w:footer="740" w:top="1260" w:bottom="920" w:left="1460" w:right="1440"/>
        </w:sectPr>
      </w:pPr>
    </w:p>
    <w:p>
      <w:pPr>
        <w:pStyle w:val="BodyText"/>
        <w:rPr>
          <w:sz w:val="14"/>
        </w:rPr>
      </w:pPr>
    </w:p>
    <w:p>
      <w:pPr>
        <w:pStyle w:val="BodyText"/>
        <w:spacing w:line="480" w:lineRule="auto" w:before="70"/>
        <w:ind w:left="239" w:right="260"/>
        <w:jc w:val="both"/>
      </w:pPr>
      <w:r>
        <w:rPr/>
        <w:t>tipos de apareamiento (A1 y A2) y por sí solos, fueron determinados como homotálicos (Guo </w:t>
      </w:r>
      <w:r>
        <w:rPr>
          <w:i/>
        </w:rPr>
        <w:t>et. al</w:t>
      </w:r>
      <w:r>
        <w:rPr/>
        <w:t>., 2010; Han </w:t>
      </w:r>
      <w:r>
        <w:rPr>
          <w:i/>
        </w:rPr>
        <w:t>et. al</w:t>
      </w:r>
      <w:r>
        <w:rPr/>
        <w:t>., 2013). Como controles se realizó la prueba de cultivar solos los aislados heterotálicos y el enfrentamiento entre los aislados de referencia A1 y A2.</w:t>
      </w:r>
    </w:p>
    <w:p>
      <w:pPr>
        <w:spacing w:after="0" w:line="480" w:lineRule="auto"/>
        <w:jc w:val="both"/>
        <w:sectPr>
          <w:pgSz w:w="12240" w:h="15840"/>
          <w:pgMar w:header="719" w:footer="740" w:top="1260" w:bottom="920" w:left="1460" w:right="1440"/>
        </w:sectPr>
      </w:pPr>
    </w:p>
    <w:p>
      <w:pPr>
        <w:pStyle w:val="BodyText"/>
        <w:spacing w:before="3"/>
        <w:rPr>
          <w:sz w:val="15"/>
        </w:rPr>
      </w:pPr>
    </w:p>
    <w:p>
      <w:pPr>
        <w:pStyle w:val="Heading1"/>
        <w:numPr>
          <w:ilvl w:val="1"/>
          <w:numId w:val="1"/>
        </w:numPr>
        <w:tabs>
          <w:tab w:pos="3841" w:val="left" w:leader="none"/>
        </w:tabs>
        <w:spacing w:line="240" w:lineRule="auto" w:before="66" w:after="0"/>
        <w:ind w:left="3840" w:right="0" w:hanging="569"/>
        <w:jc w:val="left"/>
      </w:pPr>
      <w:bookmarkStart w:name="_TOC_250004" w:id="38"/>
      <w:bookmarkEnd w:id="38"/>
      <w:r>
        <w:rPr/>
        <w:t>RESULTADOS</w:t>
      </w:r>
    </w:p>
    <w:p>
      <w:pPr>
        <w:pStyle w:val="BodyText"/>
        <w:spacing w:before="10"/>
        <w:rPr>
          <w:b/>
          <w:sz w:val="41"/>
        </w:rPr>
      </w:pPr>
    </w:p>
    <w:p>
      <w:pPr>
        <w:spacing w:line="480" w:lineRule="auto" w:before="0"/>
        <w:ind w:left="239" w:right="260" w:firstLine="0"/>
        <w:jc w:val="both"/>
        <w:rPr>
          <w:b/>
          <w:sz w:val="24"/>
        </w:rPr>
      </w:pPr>
      <w:r>
        <w:rPr>
          <w:b/>
          <w:sz w:val="24"/>
        </w:rPr>
        <w:t>Capítulo I. Análisis del costo de remoción de fungicidas utilizados en el control del tizón tardío (</w:t>
      </w:r>
      <w:r>
        <w:rPr>
          <w:b/>
          <w:i/>
          <w:sz w:val="24"/>
        </w:rPr>
        <w:t>Phytophthora infestans</w:t>
      </w:r>
      <w:r>
        <w:rPr>
          <w:b/>
          <w:sz w:val="24"/>
        </w:rPr>
        <w:t>) del cultivo de papa (</w:t>
      </w:r>
      <w:r>
        <w:rPr>
          <w:b/>
          <w:i/>
          <w:sz w:val="24"/>
        </w:rPr>
        <w:t>Solanum tuberosum</w:t>
      </w:r>
      <w:r>
        <w:rPr>
          <w:b/>
          <w:sz w:val="24"/>
        </w:rPr>
        <w:t>).</w:t>
      </w:r>
    </w:p>
    <w:p>
      <w:pPr>
        <w:pStyle w:val="BodyText"/>
        <w:rPr>
          <w:b/>
        </w:rPr>
      </w:pPr>
    </w:p>
    <w:p>
      <w:pPr>
        <w:pStyle w:val="BodyText"/>
        <w:spacing w:before="7"/>
        <w:rPr>
          <w:b/>
        </w:rPr>
      </w:pPr>
    </w:p>
    <w:p>
      <w:pPr>
        <w:pStyle w:val="BodyText"/>
        <w:spacing w:line="480" w:lineRule="auto" w:before="1"/>
        <w:ind w:left="239" w:right="260"/>
        <w:jc w:val="both"/>
      </w:pPr>
      <w:r>
        <w:rPr/>
        <w:t>Los principales fungicidas utilizados para el control de </w:t>
      </w:r>
      <w:r>
        <w:rPr>
          <w:i/>
        </w:rPr>
        <w:t>Phytophthora infestans </w:t>
      </w:r>
      <w:r>
        <w:rPr/>
        <w:t>en cultivos comerciales de papa en el Valle de Toluca fueron: Propamocarb, mancozeb, cymoxanil, fenamidone, metalaxil y clorotalonil. Los resultados muestran que la frecuencia  de  aplicación  de  los  fungicidas  pasó  de  dos  a  tres aplicaciones por temporada a dos y tres aplicaciones por semana. Las aplicaciones de metalaxil en follaje se realizaron a intervalos de 7 días para los sistemas de producción de riego y 4 para los de temporal, con más de 4 aplicaciones al año, no habiendo rotación de ingrediente activo. Los costos estimados para remover los excedentes de fungicidas fueron de 2.73 millones de pesos por ha, considerando 15 años de vida media de producción para los sistemas que aplican los fungicidas por arriba de lo recomendado, se tiene un ingreso libre máximo de 2.66 millones de pesos por ha, lo cual no cubre los costos de remoción.</w:t>
      </w:r>
    </w:p>
    <w:p>
      <w:pPr>
        <w:pStyle w:val="BodyText"/>
      </w:pPr>
    </w:p>
    <w:p>
      <w:pPr>
        <w:pStyle w:val="BodyText"/>
        <w:spacing w:before="7"/>
      </w:pPr>
    </w:p>
    <w:p>
      <w:pPr>
        <w:pStyle w:val="BodyText"/>
        <w:spacing w:line="480" w:lineRule="auto" w:before="1"/>
        <w:ind w:left="239" w:right="260"/>
        <w:jc w:val="both"/>
      </w:pPr>
      <w:r>
        <w:rPr/>
        <w:t>Los resultados completos se encuentran contenidos en la publicación “Análisis del costo de remoción de fungicidas utilizados en el control del tizón tardío (</w:t>
      </w:r>
      <w:r>
        <w:rPr>
          <w:i/>
        </w:rPr>
        <w:t>Phytophthora infestans</w:t>
      </w:r>
      <w:r>
        <w:rPr/>
        <w:t>) del cultivo de papa (</w:t>
      </w:r>
      <w:r>
        <w:rPr>
          <w:i/>
        </w:rPr>
        <w:t>Solanum tuberosum</w:t>
      </w:r>
      <w:r>
        <w:rPr/>
        <w:t>)” que se transcribe a continuación.</w:t>
      </w:r>
    </w:p>
    <w:p>
      <w:pPr>
        <w:spacing w:after="0" w:line="480" w:lineRule="auto"/>
        <w:jc w:val="both"/>
        <w:sectPr>
          <w:pgSz w:w="12240" w:h="15840"/>
          <w:pgMar w:header="719" w:footer="740" w:top="1260" w:bottom="920" w:left="1460" w:right="1440"/>
        </w:sectPr>
      </w:pPr>
    </w:p>
    <w:p>
      <w:pPr>
        <w:pStyle w:val="BodyText"/>
        <w:rPr>
          <w:sz w:val="20"/>
        </w:rPr>
      </w:pPr>
    </w:p>
    <w:p>
      <w:pPr>
        <w:pStyle w:val="BodyText"/>
        <w:rPr>
          <w:sz w:val="20"/>
        </w:rPr>
      </w:pPr>
    </w:p>
    <w:p>
      <w:pPr>
        <w:pStyle w:val="BodyText"/>
        <w:spacing w:before="6"/>
        <w:rPr>
          <w:sz w:val="23"/>
        </w:rPr>
      </w:pPr>
    </w:p>
    <w:p>
      <w:pPr>
        <w:spacing w:before="92"/>
        <w:ind w:left="63" w:right="80" w:firstLine="0"/>
        <w:jc w:val="center"/>
        <w:rPr>
          <w:rFonts w:ascii="Times New Roman"/>
          <w:sz w:val="11"/>
        </w:rPr>
      </w:pPr>
      <w:r>
        <w:rPr>
          <w:rFonts w:ascii="Times New Roman"/>
          <w:color w:val="231F20"/>
          <w:w w:val="105"/>
          <w:sz w:val="11"/>
        </w:rPr>
        <w:t>Rev. Int. Contam. Ambie. 29 (4) 295-301, 2013</w:t>
      </w:r>
    </w:p>
    <w:p>
      <w:pPr>
        <w:pStyle w:val="BodyText"/>
        <w:rPr>
          <w:rFonts w:ascii="Times New Roman"/>
          <w:sz w:val="12"/>
        </w:rPr>
      </w:pPr>
    </w:p>
    <w:p>
      <w:pPr>
        <w:pStyle w:val="BodyText"/>
        <w:rPr>
          <w:rFonts w:ascii="Times New Roman"/>
          <w:sz w:val="12"/>
        </w:rPr>
      </w:pPr>
    </w:p>
    <w:p>
      <w:pPr>
        <w:pStyle w:val="BodyText"/>
        <w:rPr>
          <w:rFonts w:ascii="Times New Roman"/>
          <w:sz w:val="12"/>
        </w:rPr>
      </w:pPr>
    </w:p>
    <w:p>
      <w:pPr>
        <w:spacing w:line="158" w:lineRule="exact" w:before="85"/>
        <w:ind w:left="63" w:right="73" w:firstLine="0"/>
        <w:jc w:val="center"/>
        <w:rPr>
          <w:rFonts w:ascii="Times New Roman" w:hAnsi="Times New Roman"/>
          <w:b/>
          <w:sz w:val="14"/>
        </w:rPr>
      </w:pPr>
      <w:r>
        <w:rPr>
          <w:rFonts w:ascii="Times New Roman" w:hAnsi="Times New Roman"/>
          <w:b/>
          <w:color w:val="231F20"/>
          <w:sz w:val="14"/>
        </w:rPr>
        <w:t>ANÁLISIS DEL COSTO DE REMOCIÓN DE FUNGICIDAS UTILIZADOS EN  EL</w:t>
      </w:r>
    </w:p>
    <w:p>
      <w:pPr>
        <w:spacing w:line="156" w:lineRule="exact" w:before="3"/>
        <w:ind w:left="1868" w:right="1879" w:firstLine="0"/>
        <w:jc w:val="center"/>
        <w:rPr>
          <w:rFonts w:ascii="Times New Roman" w:hAnsi="Times New Roman"/>
          <w:b/>
          <w:sz w:val="14"/>
        </w:rPr>
      </w:pPr>
      <w:r>
        <w:rPr>
          <w:rFonts w:ascii="Times New Roman" w:hAnsi="Times New Roman"/>
          <w:b/>
          <w:color w:val="231F20"/>
          <w:sz w:val="14"/>
        </w:rPr>
        <w:t>CONTROL DEL TIZÓN TARDÍO (</w:t>
      </w:r>
      <w:r>
        <w:rPr>
          <w:rFonts w:ascii="Times New Roman" w:hAnsi="Times New Roman"/>
          <w:b/>
          <w:i/>
          <w:color w:val="231F20"/>
          <w:sz w:val="14"/>
        </w:rPr>
        <w:t>Phytophthora infestans</w:t>
      </w:r>
      <w:r>
        <w:rPr>
          <w:rFonts w:ascii="Times New Roman" w:hAnsi="Times New Roman"/>
          <w:b/>
          <w:color w:val="231F20"/>
          <w:sz w:val="14"/>
        </w:rPr>
        <w:t>) DEL CULTIVO DE PAPA (</w:t>
      </w:r>
      <w:r>
        <w:rPr>
          <w:rFonts w:ascii="Times New Roman" w:hAnsi="Times New Roman"/>
          <w:b/>
          <w:i/>
          <w:color w:val="231F20"/>
          <w:sz w:val="14"/>
        </w:rPr>
        <w:t>Solanum tuberosum</w:t>
      </w:r>
      <w:r>
        <w:rPr>
          <w:rFonts w:ascii="Times New Roman" w:hAnsi="Times New Roman"/>
          <w:b/>
          <w:color w:val="231F20"/>
          <w:sz w:val="14"/>
        </w:rPr>
        <w:t>)</w:t>
      </w:r>
    </w:p>
    <w:p>
      <w:pPr>
        <w:pStyle w:val="BodyText"/>
        <w:rPr>
          <w:rFonts w:ascii="Times New Roman"/>
          <w:b/>
          <w:sz w:val="14"/>
        </w:rPr>
      </w:pPr>
    </w:p>
    <w:p>
      <w:pPr>
        <w:pStyle w:val="BodyText"/>
        <w:rPr>
          <w:rFonts w:ascii="Times New Roman"/>
          <w:b/>
          <w:sz w:val="14"/>
        </w:rPr>
      </w:pPr>
    </w:p>
    <w:p>
      <w:pPr>
        <w:pStyle w:val="BodyText"/>
        <w:spacing w:before="4"/>
        <w:rPr>
          <w:rFonts w:ascii="Times New Roman"/>
          <w:b/>
          <w:sz w:val="13"/>
        </w:rPr>
      </w:pPr>
    </w:p>
    <w:p>
      <w:pPr>
        <w:spacing w:line="156" w:lineRule="exact" w:before="1"/>
        <w:ind w:left="2444" w:right="2462" w:firstLine="0"/>
        <w:jc w:val="center"/>
        <w:rPr>
          <w:rFonts w:ascii="Times New Roman" w:hAnsi="Times New Roman"/>
          <w:sz w:val="14"/>
        </w:rPr>
      </w:pPr>
      <w:r>
        <w:rPr>
          <w:rFonts w:ascii="Times New Roman" w:hAnsi="Times New Roman"/>
          <w:color w:val="231F20"/>
          <w:sz w:val="14"/>
        </w:rPr>
        <w:t>Carlos Alfonso LÓPEZ ORONA</w:t>
      </w:r>
      <w:r>
        <w:rPr>
          <w:rFonts w:ascii="Times New Roman" w:hAnsi="Times New Roman"/>
          <w:color w:val="231F20"/>
          <w:position w:val="5"/>
          <w:sz w:val="10"/>
        </w:rPr>
        <w:t>1, 2</w:t>
      </w:r>
      <w:r>
        <w:rPr>
          <w:rFonts w:ascii="Times New Roman" w:hAnsi="Times New Roman"/>
          <w:color w:val="231F20"/>
          <w:sz w:val="14"/>
        </w:rPr>
        <w:t>, Claudia Giovanna PEÑUELAS RIVAS</w:t>
      </w:r>
      <w:r>
        <w:rPr>
          <w:rFonts w:ascii="Times New Roman" w:hAnsi="Times New Roman"/>
          <w:color w:val="231F20"/>
          <w:position w:val="5"/>
          <w:sz w:val="10"/>
        </w:rPr>
        <w:t>3</w:t>
      </w:r>
      <w:r>
        <w:rPr>
          <w:rFonts w:ascii="Times New Roman" w:hAnsi="Times New Roman"/>
          <w:color w:val="231F20"/>
          <w:sz w:val="14"/>
        </w:rPr>
        <w:t>, Tizbe Teresa ARTEAGA REYES</w:t>
      </w:r>
      <w:r>
        <w:rPr>
          <w:rFonts w:ascii="Times New Roman" w:hAnsi="Times New Roman"/>
          <w:color w:val="231F20"/>
          <w:position w:val="5"/>
          <w:sz w:val="10"/>
        </w:rPr>
        <w:t>1  </w:t>
      </w:r>
      <w:r>
        <w:rPr>
          <w:rFonts w:ascii="Times New Roman" w:hAnsi="Times New Roman"/>
          <w:color w:val="231F20"/>
          <w:sz w:val="14"/>
        </w:rPr>
        <w:t>y Angel Roberto MARTÍNEZ CAMPOS</w:t>
      </w:r>
      <w:r>
        <w:rPr>
          <w:rFonts w:ascii="Times New Roman" w:hAnsi="Times New Roman"/>
          <w:color w:val="231F20"/>
          <w:position w:val="5"/>
          <w:sz w:val="10"/>
        </w:rPr>
        <w:t>1</w:t>
      </w:r>
      <w:r>
        <w:rPr>
          <w:rFonts w:ascii="Times New Roman" w:hAnsi="Times New Roman"/>
          <w:color w:val="231F20"/>
          <w:sz w:val="14"/>
        </w:rPr>
        <w:t>*</w:t>
      </w:r>
    </w:p>
    <w:p>
      <w:pPr>
        <w:pStyle w:val="BodyText"/>
        <w:rPr>
          <w:rFonts w:ascii="Times New Roman"/>
          <w:sz w:val="16"/>
        </w:rPr>
      </w:pPr>
    </w:p>
    <w:p>
      <w:pPr>
        <w:pStyle w:val="BodyText"/>
        <w:rPr>
          <w:rFonts w:ascii="Times New Roman"/>
          <w:sz w:val="16"/>
        </w:rPr>
      </w:pPr>
    </w:p>
    <w:p>
      <w:pPr>
        <w:spacing w:line="156" w:lineRule="exact" w:before="108"/>
        <w:ind w:left="1542" w:right="1559" w:firstLine="0"/>
        <w:jc w:val="both"/>
        <w:rPr>
          <w:rFonts w:ascii="Times New Roman" w:hAnsi="Times New Roman"/>
          <w:sz w:val="14"/>
        </w:rPr>
      </w:pPr>
      <w:r>
        <w:rPr>
          <w:rFonts w:ascii="Times New Roman" w:hAnsi="Times New Roman"/>
          <w:color w:val="231F20"/>
          <w:position w:val="5"/>
          <w:sz w:val="10"/>
        </w:rPr>
        <w:t>1 </w:t>
      </w:r>
      <w:r>
        <w:rPr>
          <w:rFonts w:ascii="Times New Roman" w:hAnsi="Times New Roman"/>
          <w:color w:val="231F20"/>
          <w:sz w:val="14"/>
        </w:rPr>
        <w:t>Universidad Autónoma del Estado de México.  Instituto  de  Ciencias  Agropecuarias  y  Rurales  </w:t>
      </w:r>
      <w:r>
        <w:rPr>
          <w:rFonts w:ascii="Times New Roman" w:hAnsi="Times New Roman"/>
          <w:color w:val="231F20"/>
          <w:spacing w:val="2"/>
          <w:sz w:val="14"/>
        </w:rPr>
        <w:t>(ICAR)  </w:t>
      </w:r>
      <w:r>
        <w:rPr>
          <w:rFonts w:ascii="Times New Roman" w:hAnsi="Times New Roman"/>
          <w:color w:val="231F20"/>
          <w:sz w:val="14"/>
        </w:rPr>
        <w:t>km. </w:t>
      </w:r>
      <w:r>
        <w:rPr>
          <w:rFonts w:ascii="Times New Roman" w:hAnsi="Times New Roman"/>
          <w:color w:val="231F20"/>
          <w:spacing w:val="-3"/>
          <w:sz w:val="14"/>
        </w:rPr>
        <w:t>14.5 Autopista </w:t>
      </w:r>
      <w:r>
        <w:rPr>
          <w:rFonts w:ascii="Times New Roman" w:hAnsi="Times New Roman"/>
          <w:color w:val="231F20"/>
          <w:spacing w:val="-4"/>
          <w:sz w:val="14"/>
        </w:rPr>
        <w:t>Toluca-Atlacomulco. </w:t>
      </w:r>
      <w:r>
        <w:rPr>
          <w:rFonts w:ascii="Times New Roman" w:hAnsi="Times New Roman"/>
          <w:color w:val="231F20"/>
          <w:sz w:val="14"/>
        </w:rPr>
        <w:t>San </w:t>
      </w:r>
      <w:r>
        <w:rPr>
          <w:rFonts w:ascii="Times New Roman" w:hAnsi="Times New Roman"/>
          <w:color w:val="231F20"/>
          <w:spacing w:val="-3"/>
          <w:sz w:val="14"/>
        </w:rPr>
        <w:t>Cayetano </w:t>
      </w:r>
      <w:r>
        <w:rPr>
          <w:rFonts w:ascii="Times New Roman" w:hAnsi="Times New Roman"/>
          <w:color w:val="231F20"/>
          <w:sz w:val="14"/>
        </w:rPr>
        <w:t>de </w:t>
      </w:r>
      <w:r>
        <w:rPr>
          <w:rFonts w:ascii="Times New Roman" w:hAnsi="Times New Roman"/>
          <w:color w:val="231F20"/>
          <w:spacing w:val="-3"/>
          <w:sz w:val="14"/>
        </w:rPr>
        <w:t>Morelos. </w:t>
      </w:r>
      <w:r>
        <w:rPr>
          <w:rFonts w:ascii="Times New Roman" w:hAnsi="Times New Roman"/>
          <w:color w:val="231F20"/>
          <w:spacing w:val="-4"/>
          <w:sz w:val="14"/>
        </w:rPr>
        <w:t>Toluca, </w:t>
      </w:r>
      <w:r>
        <w:rPr>
          <w:rFonts w:ascii="Times New Roman" w:hAnsi="Times New Roman"/>
          <w:color w:val="231F20"/>
          <w:spacing w:val="-3"/>
          <w:sz w:val="14"/>
        </w:rPr>
        <w:t>Estado </w:t>
      </w:r>
      <w:r>
        <w:rPr>
          <w:rFonts w:ascii="Times New Roman" w:hAnsi="Times New Roman"/>
          <w:color w:val="231F20"/>
          <w:sz w:val="14"/>
        </w:rPr>
        <w:t>de </w:t>
      </w:r>
      <w:r>
        <w:rPr>
          <w:rFonts w:ascii="Times New Roman" w:hAnsi="Times New Roman"/>
          <w:color w:val="231F20"/>
          <w:spacing w:val="-3"/>
          <w:sz w:val="14"/>
        </w:rPr>
        <w:t>México. </w:t>
      </w:r>
      <w:r>
        <w:rPr>
          <w:rFonts w:ascii="Times New Roman" w:hAnsi="Times New Roman"/>
          <w:color w:val="231F20"/>
          <w:sz w:val="14"/>
        </w:rPr>
        <w:t>CP </w:t>
      </w:r>
      <w:r>
        <w:rPr>
          <w:rFonts w:ascii="Times New Roman" w:hAnsi="Times New Roman"/>
          <w:color w:val="231F20"/>
          <w:spacing w:val="-3"/>
          <w:sz w:val="14"/>
        </w:rPr>
        <w:t>50295. México  </w:t>
      </w:r>
      <w:r>
        <w:rPr>
          <w:rFonts w:ascii="Times New Roman" w:hAnsi="Times New Roman"/>
          <w:color w:val="231F20"/>
          <w:position w:val="5"/>
          <w:sz w:val="10"/>
        </w:rPr>
        <w:t>2 </w:t>
      </w:r>
      <w:r>
        <w:rPr>
          <w:rFonts w:ascii="Times New Roman" w:hAnsi="Times New Roman"/>
          <w:color w:val="231F20"/>
          <w:sz w:val="14"/>
        </w:rPr>
        <w:t>Universidad Autónoma de Sinaloa. Facultad de Agronomía. Carretera Culiacán-Eldorado Km. 17.5. Culiacán de Rosales, Sinaloa. </w:t>
      </w:r>
      <w:r>
        <w:rPr>
          <w:rFonts w:ascii="Times New Roman" w:hAnsi="Times New Roman"/>
          <w:color w:val="231F20"/>
          <w:spacing w:val="-4"/>
          <w:sz w:val="14"/>
        </w:rPr>
        <w:t>C.P. </w:t>
      </w:r>
      <w:r>
        <w:rPr>
          <w:rFonts w:ascii="Times New Roman" w:hAnsi="Times New Roman"/>
          <w:color w:val="231F20"/>
          <w:sz w:val="14"/>
        </w:rPr>
        <w:t>80398.</w:t>
      </w:r>
      <w:r>
        <w:rPr>
          <w:rFonts w:ascii="Times New Roman" w:hAnsi="Times New Roman"/>
          <w:color w:val="231F20"/>
          <w:spacing w:val="27"/>
          <w:sz w:val="14"/>
        </w:rPr>
        <w:t> </w:t>
      </w:r>
      <w:r>
        <w:rPr>
          <w:rFonts w:ascii="Times New Roman" w:hAnsi="Times New Roman"/>
          <w:color w:val="231F20"/>
          <w:sz w:val="14"/>
        </w:rPr>
        <w:t>México</w:t>
      </w:r>
    </w:p>
    <w:p>
      <w:pPr>
        <w:spacing w:line="156" w:lineRule="exact" w:before="0"/>
        <w:ind w:left="1616" w:right="1511" w:hanging="74"/>
        <w:jc w:val="left"/>
        <w:rPr>
          <w:rFonts w:ascii="Times New Roman" w:hAnsi="Times New Roman"/>
          <w:sz w:val="14"/>
        </w:rPr>
      </w:pPr>
      <w:r>
        <w:rPr>
          <w:rFonts w:ascii="Times New Roman" w:hAnsi="Times New Roman"/>
          <w:color w:val="231F20"/>
          <w:position w:val="5"/>
          <w:sz w:val="10"/>
        </w:rPr>
        <w:t>3 </w:t>
      </w:r>
      <w:r>
        <w:rPr>
          <w:rFonts w:ascii="Times New Roman" w:hAnsi="Times New Roman"/>
          <w:color w:val="231F20"/>
          <w:sz w:val="14"/>
        </w:rPr>
        <w:t>Universidad Autónoma del Estado de México. Facultad de Medicina Veterinaria y Zootecnia. El Cerrillo Piedras Blancas, Toluca, Estado de México. CP 50090. México</w:t>
      </w:r>
    </w:p>
    <w:p>
      <w:pPr>
        <w:spacing w:line="154" w:lineRule="exact" w:before="0"/>
        <w:ind w:left="1542" w:right="0" w:firstLine="0"/>
        <w:jc w:val="both"/>
        <w:rPr>
          <w:rFonts w:ascii="Times New Roman"/>
          <w:sz w:val="14"/>
        </w:rPr>
      </w:pPr>
      <w:r>
        <w:rPr>
          <w:rFonts w:ascii="Times New Roman"/>
          <w:color w:val="231F20"/>
          <w:sz w:val="14"/>
        </w:rPr>
        <w:t>*Autor  responsable: </w:t>
      </w:r>
      <w:hyperlink r:id="rId21">
        <w:r>
          <w:rPr>
            <w:rFonts w:ascii="Times New Roman"/>
            <w:color w:val="231F20"/>
            <w:sz w:val="14"/>
          </w:rPr>
          <w:t>amartim</w:t>
        </w:r>
      </w:hyperlink>
      <w:hyperlink r:id="rId22">
        <w:r>
          <w:rPr>
            <w:rFonts w:ascii="Times New Roman"/>
            <w:color w:val="231F20"/>
            <w:sz w:val="14"/>
          </w:rPr>
          <w:t>acar@yahoo.com.mx</w:t>
        </w:r>
      </w:hyperlink>
    </w:p>
    <w:p>
      <w:pPr>
        <w:pStyle w:val="BodyText"/>
        <w:spacing w:before="5"/>
        <w:rPr>
          <w:rFonts w:ascii="Times New Roman"/>
          <w:sz w:val="15"/>
        </w:rPr>
      </w:pPr>
    </w:p>
    <w:p>
      <w:pPr>
        <w:spacing w:before="0"/>
        <w:ind w:left="1542" w:right="0" w:firstLine="0"/>
        <w:jc w:val="both"/>
        <w:rPr>
          <w:rFonts w:ascii="Times New Roman"/>
          <w:i/>
          <w:sz w:val="14"/>
        </w:rPr>
      </w:pPr>
      <w:r>
        <w:rPr>
          <w:rFonts w:ascii="Times New Roman"/>
          <w:i/>
          <w:color w:val="231F20"/>
          <w:sz w:val="14"/>
        </w:rPr>
        <w:t>(Recibido enero 2013, aceptado mayo 2013)</w:t>
      </w:r>
    </w:p>
    <w:p>
      <w:pPr>
        <w:pStyle w:val="BodyText"/>
        <w:rPr>
          <w:rFonts w:ascii="Times New Roman"/>
          <w:i/>
          <w:sz w:val="14"/>
        </w:rPr>
      </w:pPr>
    </w:p>
    <w:p>
      <w:pPr>
        <w:pStyle w:val="BodyText"/>
        <w:spacing w:before="2"/>
        <w:rPr>
          <w:rFonts w:ascii="Times New Roman"/>
          <w:i/>
          <w:sz w:val="14"/>
        </w:rPr>
      </w:pPr>
    </w:p>
    <w:p>
      <w:pPr>
        <w:spacing w:before="0"/>
        <w:ind w:left="1542" w:right="0" w:firstLine="0"/>
        <w:jc w:val="both"/>
        <w:rPr>
          <w:rFonts w:ascii="Times New Roman" w:hAnsi="Times New Roman"/>
          <w:sz w:val="14"/>
        </w:rPr>
      </w:pPr>
      <w:r>
        <w:rPr>
          <w:rFonts w:ascii="Times New Roman" w:hAnsi="Times New Roman"/>
          <w:color w:val="231F20"/>
          <w:sz w:val="14"/>
        </w:rPr>
        <w:t>Palabras clave: patrón de uso, clorotalonil, metalaxil,  fenamidone</w:t>
      </w:r>
    </w:p>
    <w:p>
      <w:pPr>
        <w:pStyle w:val="BodyText"/>
        <w:rPr>
          <w:rFonts w:ascii="Times New Roman"/>
          <w:sz w:val="14"/>
        </w:rPr>
      </w:pPr>
    </w:p>
    <w:p>
      <w:pPr>
        <w:pStyle w:val="BodyText"/>
        <w:spacing w:before="7"/>
        <w:rPr>
          <w:rFonts w:ascii="Times New Roman"/>
          <w:sz w:val="13"/>
        </w:rPr>
      </w:pPr>
    </w:p>
    <w:p>
      <w:pPr>
        <w:spacing w:before="0"/>
        <w:ind w:left="63" w:right="81" w:firstLine="0"/>
        <w:jc w:val="center"/>
        <w:rPr>
          <w:rFonts w:ascii="Times New Roman"/>
          <w:b/>
          <w:sz w:val="13"/>
        </w:rPr>
      </w:pPr>
      <w:r>
        <w:rPr>
          <w:rFonts w:ascii="Times New Roman"/>
          <w:b/>
          <w:color w:val="231F20"/>
          <w:sz w:val="13"/>
        </w:rPr>
        <w:t>RESUMEN</w:t>
      </w:r>
    </w:p>
    <w:p>
      <w:pPr>
        <w:pStyle w:val="BodyText"/>
        <w:spacing w:before="1"/>
        <w:rPr>
          <w:rFonts w:ascii="Times New Roman"/>
          <w:b/>
          <w:sz w:val="12"/>
        </w:rPr>
      </w:pPr>
    </w:p>
    <w:p>
      <w:pPr>
        <w:spacing w:line="140" w:lineRule="exact" w:before="0"/>
        <w:ind w:left="2460" w:right="2477" w:firstLine="0"/>
        <w:jc w:val="both"/>
        <w:rPr>
          <w:rFonts w:ascii="Times New Roman" w:hAnsi="Times New Roman"/>
          <w:sz w:val="13"/>
        </w:rPr>
      </w:pPr>
      <w:r>
        <w:rPr>
          <w:rFonts w:ascii="Times New Roman" w:hAnsi="Times New Roman"/>
          <w:color w:val="231F20"/>
          <w:sz w:val="13"/>
        </w:rPr>
        <w:t>En el presente estudio se determinaron el patrón de uso y los costos de remoción en suelo</w:t>
      </w:r>
      <w:r>
        <w:rPr>
          <w:rFonts w:ascii="Times New Roman" w:hAnsi="Times New Roman"/>
          <w:color w:val="231F20"/>
          <w:spacing w:val="-19"/>
          <w:sz w:val="13"/>
        </w:rPr>
        <w:t> </w:t>
      </w:r>
      <w:r>
        <w:rPr>
          <w:rFonts w:ascii="Times New Roman" w:hAnsi="Times New Roman"/>
          <w:color w:val="231F20"/>
          <w:sz w:val="13"/>
        </w:rPr>
        <w:t>de</w:t>
      </w:r>
      <w:r>
        <w:rPr>
          <w:rFonts w:ascii="Times New Roman" w:hAnsi="Times New Roman"/>
          <w:color w:val="231F20"/>
          <w:spacing w:val="-19"/>
          <w:sz w:val="13"/>
        </w:rPr>
        <w:t> </w:t>
      </w:r>
      <w:r>
        <w:rPr>
          <w:rFonts w:ascii="Times New Roman" w:hAnsi="Times New Roman"/>
          <w:color w:val="231F20"/>
          <w:sz w:val="13"/>
        </w:rPr>
        <w:t>los</w:t>
      </w:r>
      <w:r>
        <w:rPr>
          <w:rFonts w:ascii="Times New Roman" w:hAnsi="Times New Roman"/>
          <w:color w:val="231F20"/>
          <w:spacing w:val="-19"/>
          <w:sz w:val="13"/>
        </w:rPr>
        <w:t> </w:t>
      </w:r>
      <w:r>
        <w:rPr>
          <w:rFonts w:ascii="Times New Roman" w:hAnsi="Times New Roman"/>
          <w:color w:val="231F20"/>
          <w:sz w:val="13"/>
        </w:rPr>
        <w:t>fungicidas</w:t>
      </w:r>
      <w:r>
        <w:rPr>
          <w:rFonts w:ascii="Times New Roman" w:hAnsi="Times New Roman"/>
          <w:color w:val="231F20"/>
          <w:spacing w:val="-19"/>
          <w:sz w:val="13"/>
        </w:rPr>
        <w:t> </w:t>
      </w:r>
      <w:r>
        <w:rPr>
          <w:rFonts w:ascii="Times New Roman" w:hAnsi="Times New Roman"/>
          <w:color w:val="231F20"/>
          <w:sz w:val="13"/>
        </w:rPr>
        <w:t>utilizados</w:t>
      </w:r>
      <w:r>
        <w:rPr>
          <w:rFonts w:ascii="Times New Roman" w:hAnsi="Times New Roman"/>
          <w:color w:val="231F20"/>
          <w:spacing w:val="-19"/>
          <w:sz w:val="13"/>
        </w:rPr>
        <w:t> </w:t>
      </w:r>
      <w:r>
        <w:rPr>
          <w:rFonts w:ascii="Times New Roman" w:hAnsi="Times New Roman"/>
          <w:color w:val="231F20"/>
          <w:sz w:val="13"/>
        </w:rPr>
        <w:t>para</w:t>
      </w:r>
      <w:r>
        <w:rPr>
          <w:rFonts w:ascii="Times New Roman" w:hAnsi="Times New Roman"/>
          <w:color w:val="231F20"/>
          <w:spacing w:val="-19"/>
          <w:sz w:val="13"/>
        </w:rPr>
        <w:t> </w:t>
      </w:r>
      <w:r>
        <w:rPr>
          <w:rFonts w:ascii="Times New Roman" w:hAnsi="Times New Roman"/>
          <w:color w:val="231F20"/>
          <w:sz w:val="13"/>
        </w:rPr>
        <w:t>el</w:t>
      </w:r>
      <w:r>
        <w:rPr>
          <w:rFonts w:ascii="Times New Roman" w:hAnsi="Times New Roman"/>
          <w:color w:val="231F20"/>
          <w:spacing w:val="-19"/>
          <w:sz w:val="13"/>
        </w:rPr>
        <w:t> </w:t>
      </w:r>
      <w:r>
        <w:rPr>
          <w:rFonts w:ascii="Times New Roman" w:hAnsi="Times New Roman"/>
          <w:color w:val="231F20"/>
          <w:sz w:val="13"/>
        </w:rPr>
        <w:t>control</w:t>
      </w:r>
      <w:r>
        <w:rPr>
          <w:rFonts w:ascii="Times New Roman" w:hAnsi="Times New Roman"/>
          <w:color w:val="231F20"/>
          <w:spacing w:val="-19"/>
          <w:sz w:val="13"/>
        </w:rPr>
        <w:t> </w:t>
      </w:r>
      <w:r>
        <w:rPr>
          <w:rFonts w:ascii="Times New Roman" w:hAnsi="Times New Roman"/>
          <w:color w:val="231F20"/>
          <w:sz w:val="13"/>
        </w:rPr>
        <w:t>de</w:t>
      </w:r>
      <w:r>
        <w:rPr>
          <w:rFonts w:ascii="Times New Roman" w:hAnsi="Times New Roman"/>
          <w:color w:val="231F20"/>
          <w:spacing w:val="-18"/>
          <w:sz w:val="13"/>
        </w:rPr>
        <w:t> </w:t>
      </w:r>
      <w:r>
        <w:rPr>
          <w:rFonts w:ascii="Times New Roman" w:hAnsi="Times New Roman"/>
          <w:i/>
          <w:color w:val="231F20"/>
          <w:sz w:val="13"/>
        </w:rPr>
        <w:t>Phytophthora</w:t>
      </w:r>
      <w:r>
        <w:rPr>
          <w:rFonts w:ascii="Times New Roman" w:hAnsi="Times New Roman"/>
          <w:i/>
          <w:color w:val="231F20"/>
          <w:spacing w:val="-19"/>
          <w:sz w:val="13"/>
        </w:rPr>
        <w:t> </w:t>
      </w:r>
      <w:r>
        <w:rPr>
          <w:rFonts w:ascii="Times New Roman" w:hAnsi="Times New Roman"/>
          <w:i/>
          <w:color w:val="231F20"/>
          <w:sz w:val="13"/>
        </w:rPr>
        <w:t>infestans,</w:t>
      </w:r>
      <w:r>
        <w:rPr>
          <w:rFonts w:ascii="Times New Roman" w:hAnsi="Times New Roman"/>
          <w:i/>
          <w:color w:val="231F20"/>
          <w:spacing w:val="-18"/>
          <w:sz w:val="13"/>
        </w:rPr>
        <w:t> </w:t>
      </w:r>
      <w:r>
        <w:rPr>
          <w:rFonts w:ascii="Times New Roman" w:hAnsi="Times New Roman"/>
          <w:color w:val="231F20"/>
          <w:sz w:val="13"/>
        </w:rPr>
        <w:t>en</w:t>
      </w:r>
      <w:r>
        <w:rPr>
          <w:rFonts w:ascii="Times New Roman" w:hAnsi="Times New Roman"/>
          <w:color w:val="231F20"/>
          <w:spacing w:val="-19"/>
          <w:sz w:val="13"/>
        </w:rPr>
        <w:t> </w:t>
      </w:r>
      <w:r>
        <w:rPr>
          <w:rFonts w:ascii="Times New Roman" w:hAnsi="Times New Roman"/>
          <w:color w:val="231F20"/>
          <w:sz w:val="13"/>
        </w:rPr>
        <w:t>el</w:t>
      </w:r>
      <w:r>
        <w:rPr>
          <w:rFonts w:ascii="Times New Roman" w:hAnsi="Times New Roman"/>
          <w:color w:val="231F20"/>
          <w:spacing w:val="-19"/>
          <w:sz w:val="13"/>
        </w:rPr>
        <w:t> </w:t>
      </w:r>
      <w:r>
        <w:rPr>
          <w:rFonts w:ascii="Times New Roman" w:hAnsi="Times New Roman"/>
          <w:color w:val="231F20"/>
          <w:sz w:val="13"/>
        </w:rPr>
        <w:t>cultivo de</w:t>
      </w:r>
      <w:r>
        <w:rPr>
          <w:rFonts w:ascii="Times New Roman" w:hAnsi="Times New Roman"/>
          <w:color w:val="231F20"/>
          <w:spacing w:val="-10"/>
          <w:sz w:val="13"/>
        </w:rPr>
        <w:t> </w:t>
      </w:r>
      <w:r>
        <w:rPr>
          <w:rFonts w:ascii="Times New Roman" w:hAnsi="Times New Roman"/>
          <w:color w:val="231F20"/>
          <w:sz w:val="13"/>
        </w:rPr>
        <w:t>papa</w:t>
      </w:r>
      <w:r>
        <w:rPr>
          <w:rFonts w:ascii="Times New Roman" w:hAnsi="Times New Roman"/>
          <w:color w:val="231F20"/>
          <w:spacing w:val="-10"/>
          <w:sz w:val="13"/>
        </w:rPr>
        <w:t> </w:t>
      </w:r>
      <w:r>
        <w:rPr>
          <w:rFonts w:ascii="Times New Roman" w:hAnsi="Times New Roman"/>
          <w:color w:val="231F20"/>
          <w:sz w:val="13"/>
        </w:rPr>
        <w:t>en</w:t>
      </w:r>
      <w:r>
        <w:rPr>
          <w:rFonts w:ascii="Times New Roman" w:hAnsi="Times New Roman"/>
          <w:color w:val="231F20"/>
          <w:spacing w:val="-10"/>
          <w:sz w:val="13"/>
        </w:rPr>
        <w:t> </w:t>
      </w:r>
      <w:r>
        <w:rPr>
          <w:rFonts w:ascii="Times New Roman" w:hAnsi="Times New Roman"/>
          <w:color w:val="231F20"/>
          <w:sz w:val="13"/>
        </w:rPr>
        <w:t>el</w:t>
      </w:r>
      <w:r>
        <w:rPr>
          <w:rFonts w:ascii="Times New Roman" w:hAnsi="Times New Roman"/>
          <w:color w:val="231F20"/>
          <w:spacing w:val="-10"/>
          <w:sz w:val="13"/>
        </w:rPr>
        <w:t> </w:t>
      </w:r>
      <w:r>
        <w:rPr>
          <w:rFonts w:ascii="Times New Roman" w:hAnsi="Times New Roman"/>
          <w:color w:val="231F20"/>
          <w:sz w:val="13"/>
        </w:rPr>
        <w:t>municipio</w:t>
      </w:r>
      <w:r>
        <w:rPr>
          <w:rFonts w:ascii="Times New Roman" w:hAnsi="Times New Roman"/>
          <w:color w:val="231F20"/>
          <w:spacing w:val="-10"/>
          <w:sz w:val="13"/>
        </w:rPr>
        <w:t> </w:t>
      </w:r>
      <w:r>
        <w:rPr>
          <w:rFonts w:ascii="Times New Roman" w:hAnsi="Times New Roman"/>
          <w:color w:val="231F20"/>
          <w:sz w:val="13"/>
        </w:rPr>
        <w:t>de</w:t>
      </w:r>
      <w:r>
        <w:rPr>
          <w:rFonts w:ascii="Times New Roman" w:hAnsi="Times New Roman"/>
          <w:color w:val="231F20"/>
          <w:spacing w:val="-10"/>
          <w:sz w:val="13"/>
        </w:rPr>
        <w:t> </w:t>
      </w:r>
      <w:r>
        <w:rPr>
          <w:rFonts w:ascii="Times New Roman" w:hAnsi="Times New Roman"/>
          <w:color w:val="231F20"/>
          <w:sz w:val="13"/>
        </w:rPr>
        <w:t>Zinacatepec,</w:t>
      </w:r>
      <w:r>
        <w:rPr>
          <w:rFonts w:ascii="Times New Roman" w:hAnsi="Times New Roman"/>
          <w:color w:val="231F20"/>
          <w:spacing w:val="-10"/>
          <w:sz w:val="13"/>
        </w:rPr>
        <w:t> </w:t>
      </w:r>
      <w:r>
        <w:rPr>
          <w:rFonts w:ascii="Times New Roman" w:hAnsi="Times New Roman"/>
          <w:color w:val="231F20"/>
          <w:sz w:val="13"/>
        </w:rPr>
        <w:t>Estado</w:t>
      </w:r>
      <w:r>
        <w:rPr>
          <w:rFonts w:ascii="Times New Roman" w:hAnsi="Times New Roman"/>
          <w:color w:val="231F20"/>
          <w:spacing w:val="-10"/>
          <w:sz w:val="13"/>
        </w:rPr>
        <w:t> </w:t>
      </w:r>
      <w:r>
        <w:rPr>
          <w:rFonts w:ascii="Times New Roman" w:hAnsi="Times New Roman"/>
          <w:color w:val="231F20"/>
          <w:sz w:val="13"/>
        </w:rPr>
        <w:t>de</w:t>
      </w:r>
      <w:r>
        <w:rPr>
          <w:rFonts w:ascii="Times New Roman" w:hAnsi="Times New Roman"/>
          <w:color w:val="231F20"/>
          <w:spacing w:val="-10"/>
          <w:sz w:val="13"/>
        </w:rPr>
        <w:t> </w:t>
      </w:r>
      <w:r>
        <w:rPr>
          <w:rFonts w:ascii="Times New Roman" w:hAnsi="Times New Roman"/>
          <w:color w:val="231F20"/>
          <w:sz w:val="13"/>
        </w:rPr>
        <w:t>México.</w:t>
      </w:r>
      <w:r>
        <w:rPr>
          <w:rFonts w:ascii="Times New Roman" w:hAnsi="Times New Roman"/>
          <w:color w:val="231F20"/>
          <w:spacing w:val="-10"/>
          <w:sz w:val="13"/>
        </w:rPr>
        <w:t> </w:t>
      </w:r>
      <w:r>
        <w:rPr>
          <w:rFonts w:ascii="Times New Roman" w:hAnsi="Times New Roman"/>
          <w:color w:val="231F20"/>
          <w:sz w:val="13"/>
        </w:rPr>
        <w:t>En</w:t>
      </w:r>
      <w:r>
        <w:rPr>
          <w:rFonts w:ascii="Times New Roman" w:hAnsi="Times New Roman"/>
          <w:color w:val="231F20"/>
          <w:spacing w:val="-10"/>
          <w:sz w:val="13"/>
        </w:rPr>
        <w:t> </w:t>
      </w:r>
      <w:r>
        <w:rPr>
          <w:rFonts w:ascii="Times New Roman" w:hAnsi="Times New Roman"/>
          <w:color w:val="231F20"/>
          <w:sz w:val="13"/>
        </w:rPr>
        <w:t>los</w:t>
      </w:r>
      <w:r>
        <w:rPr>
          <w:rFonts w:ascii="Times New Roman" w:hAnsi="Times New Roman"/>
          <w:color w:val="231F20"/>
          <w:spacing w:val="-10"/>
          <w:sz w:val="13"/>
        </w:rPr>
        <w:t> </w:t>
      </w:r>
      <w:r>
        <w:rPr>
          <w:rFonts w:ascii="Times New Roman" w:hAnsi="Times New Roman"/>
          <w:color w:val="231F20"/>
          <w:sz w:val="13"/>
        </w:rPr>
        <w:t>predios</w:t>
      </w:r>
      <w:r>
        <w:rPr>
          <w:rFonts w:ascii="Times New Roman" w:hAnsi="Times New Roman"/>
          <w:color w:val="231F20"/>
          <w:spacing w:val="-10"/>
          <w:sz w:val="13"/>
        </w:rPr>
        <w:t> </w:t>
      </w:r>
      <w:r>
        <w:rPr>
          <w:rFonts w:ascii="Times New Roman" w:hAnsi="Times New Roman"/>
          <w:color w:val="231F20"/>
          <w:sz w:val="13"/>
        </w:rPr>
        <w:t>de</w:t>
      </w:r>
      <w:r>
        <w:rPr>
          <w:rFonts w:ascii="Times New Roman" w:hAnsi="Times New Roman"/>
          <w:color w:val="231F20"/>
          <w:spacing w:val="-10"/>
          <w:sz w:val="13"/>
        </w:rPr>
        <w:t> </w:t>
      </w:r>
      <w:r>
        <w:rPr>
          <w:rFonts w:ascii="Times New Roman" w:hAnsi="Times New Roman"/>
          <w:color w:val="231F20"/>
          <w:sz w:val="13"/>
        </w:rPr>
        <w:t>temporal los excedentes de clorotalonil fueron de 1.13 kg/ha de ingrediente activo, mientras que</w:t>
      </w:r>
      <w:r>
        <w:rPr>
          <w:rFonts w:ascii="Times New Roman" w:hAnsi="Times New Roman"/>
          <w:color w:val="231F20"/>
          <w:spacing w:val="-4"/>
          <w:sz w:val="13"/>
        </w:rPr>
        <w:t> </w:t>
      </w:r>
      <w:r>
        <w:rPr>
          <w:rFonts w:ascii="Times New Roman" w:hAnsi="Times New Roman"/>
          <w:color w:val="231F20"/>
          <w:sz w:val="13"/>
        </w:rPr>
        <w:t>para</w:t>
      </w:r>
      <w:r>
        <w:rPr>
          <w:rFonts w:ascii="Times New Roman" w:hAnsi="Times New Roman"/>
          <w:color w:val="231F20"/>
          <w:spacing w:val="-4"/>
          <w:sz w:val="13"/>
        </w:rPr>
        <w:t> </w:t>
      </w:r>
      <w:r>
        <w:rPr>
          <w:rFonts w:ascii="Times New Roman" w:hAnsi="Times New Roman"/>
          <w:color w:val="231F20"/>
          <w:sz w:val="13"/>
        </w:rPr>
        <w:t>metalaxil</w:t>
      </w:r>
      <w:r>
        <w:rPr>
          <w:rFonts w:ascii="Times New Roman" w:hAnsi="Times New Roman"/>
          <w:color w:val="231F20"/>
          <w:spacing w:val="-4"/>
          <w:sz w:val="13"/>
        </w:rPr>
        <w:t> </w:t>
      </w:r>
      <w:r>
        <w:rPr>
          <w:rFonts w:ascii="Times New Roman" w:hAnsi="Times New Roman"/>
          <w:color w:val="231F20"/>
          <w:sz w:val="13"/>
        </w:rPr>
        <w:t>y</w:t>
      </w:r>
      <w:r>
        <w:rPr>
          <w:rFonts w:ascii="Times New Roman" w:hAnsi="Times New Roman"/>
          <w:color w:val="231F20"/>
          <w:spacing w:val="-4"/>
          <w:sz w:val="13"/>
        </w:rPr>
        <w:t> </w:t>
      </w:r>
      <w:r>
        <w:rPr>
          <w:rFonts w:ascii="Times New Roman" w:hAnsi="Times New Roman"/>
          <w:color w:val="231F20"/>
          <w:sz w:val="13"/>
        </w:rPr>
        <w:t>fenamidone</w:t>
      </w:r>
      <w:r>
        <w:rPr>
          <w:rFonts w:ascii="Times New Roman" w:hAnsi="Times New Roman"/>
          <w:color w:val="231F20"/>
          <w:spacing w:val="-4"/>
          <w:sz w:val="13"/>
        </w:rPr>
        <w:t> </w:t>
      </w:r>
      <w:r>
        <w:rPr>
          <w:rFonts w:ascii="Times New Roman" w:hAnsi="Times New Roman"/>
          <w:color w:val="231F20"/>
          <w:sz w:val="13"/>
        </w:rPr>
        <w:t>fueron</w:t>
      </w:r>
      <w:r>
        <w:rPr>
          <w:rFonts w:ascii="Times New Roman" w:hAnsi="Times New Roman"/>
          <w:color w:val="231F20"/>
          <w:spacing w:val="-4"/>
          <w:sz w:val="13"/>
        </w:rPr>
        <w:t> </w:t>
      </w:r>
      <w:r>
        <w:rPr>
          <w:rFonts w:ascii="Times New Roman" w:hAnsi="Times New Roman"/>
          <w:color w:val="231F20"/>
          <w:sz w:val="13"/>
        </w:rPr>
        <w:t>de</w:t>
      </w:r>
      <w:r>
        <w:rPr>
          <w:rFonts w:ascii="Times New Roman" w:hAnsi="Times New Roman"/>
          <w:color w:val="231F20"/>
          <w:spacing w:val="-4"/>
          <w:sz w:val="13"/>
        </w:rPr>
        <w:t> </w:t>
      </w:r>
      <w:r>
        <w:rPr>
          <w:rFonts w:ascii="Times New Roman" w:hAnsi="Times New Roman"/>
          <w:color w:val="231F20"/>
          <w:sz w:val="13"/>
        </w:rPr>
        <w:t>0.65</w:t>
      </w:r>
      <w:r>
        <w:rPr>
          <w:rFonts w:ascii="Times New Roman" w:hAnsi="Times New Roman"/>
          <w:color w:val="231F20"/>
          <w:spacing w:val="-4"/>
          <w:sz w:val="13"/>
        </w:rPr>
        <w:t> </w:t>
      </w:r>
      <w:r>
        <w:rPr>
          <w:rFonts w:ascii="Times New Roman" w:hAnsi="Times New Roman"/>
          <w:color w:val="231F20"/>
          <w:sz w:val="13"/>
        </w:rPr>
        <w:t>y</w:t>
      </w:r>
      <w:r>
        <w:rPr>
          <w:rFonts w:ascii="Times New Roman" w:hAnsi="Times New Roman"/>
          <w:color w:val="231F20"/>
          <w:spacing w:val="-4"/>
          <w:sz w:val="13"/>
        </w:rPr>
        <w:t> </w:t>
      </w:r>
      <w:r>
        <w:rPr>
          <w:rFonts w:ascii="Times New Roman" w:hAnsi="Times New Roman"/>
          <w:color w:val="231F20"/>
          <w:sz w:val="13"/>
        </w:rPr>
        <w:t>0.52</w:t>
      </w:r>
      <w:r>
        <w:rPr>
          <w:rFonts w:ascii="Times New Roman" w:hAnsi="Times New Roman"/>
          <w:color w:val="231F20"/>
          <w:spacing w:val="-4"/>
          <w:sz w:val="13"/>
        </w:rPr>
        <w:t> </w:t>
      </w:r>
      <w:r>
        <w:rPr>
          <w:rFonts w:ascii="Times New Roman" w:hAnsi="Times New Roman"/>
          <w:color w:val="231F20"/>
          <w:sz w:val="13"/>
        </w:rPr>
        <w:t>kg/ha</w:t>
      </w:r>
      <w:r>
        <w:rPr>
          <w:rFonts w:ascii="Times New Roman" w:hAnsi="Times New Roman"/>
          <w:color w:val="231F20"/>
          <w:spacing w:val="-4"/>
          <w:sz w:val="13"/>
        </w:rPr>
        <w:t> </w:t>
      </w:r>
      <w:r>
        <w:rPr>
          <w:rFonts w:ascii="Times New Roman" w:hAnsi="Times New Roman"/>
          <w:color w:val="231F20"/>
          <w:sz w:val="13"/>
        </w:rPr>
        <w:t>respectivamente,</w:t>
      </w:r>
      <w:r>
        <w:rPr>
          <w:rFonts w:ascii="Times New Roman" w:hAnsi="Times New Roman"/>
          <w:color w:val="231F20"/>
          <w:spacing w:val="-4"/>
          <w:sz w:val="13"/>
        </w:rPr>
        <w:t> </w:t>
      </w:r>
      <w:r>
        <w:rPr>
          <w:rFonts w:ascii="Times New Roman" w:hAnsi="Times New Roman"/>
          <w:color w:val="231F20"/>
          <w:sz w:val="13"/>
        </w:rPr>
        <w:t>lo</w:t>
      </w:r>
      <w:r>
        <w:rPr>
          <w:rFonts w:ascii="Times New Roman" w:hAnsi="Times New Roman"/>
          <w:color w:val="231F20"/>
          <w:spacing w:val="-4"/>
          <w:sz w:val="13"/>
        </w:rPr>
        <w:t> </w:t>
      </w:r>
      <w:r>
        <w:rPr>
          <w:rFonts w:ascii="Times New Roman" w:hAnsi="Times New Roman"/>
          <w:color w:val="231F20"/>
          <w:sz w:val="13"/>
        </w:rPr>
        <w:t>que representa el doble de los excedentes aplicados en los predios de riego. Se</w:t>
      </w:r>
      <w:r>
        <w:rPr>
          <w:rFonts w:ascii="Times New Roman" w:hAnsi="Times New Roman"/>
          <w:color w:val="231F20"/>
          <w:spacing w:val="-18"/>
          <w:sz w:val="13"/>
        </w:rPr>
        <w:t> </w:t>
      </w:r>
      <w:r>
        <w:rPr>
          <w:rFonts w:ascii="Times New Roman" w:hAnsi="Times New Roman"/>
          <w:color w:val="231F20"/>
          <w:sz w:val="13"/>
        </w:rPr>
        <w:t>determinó que</w:t>
      </w:r>
      <w:r>
        <w:rPr>
          <w:rFonts w:ascii="Times New Roman" w:hAnsi="Times New Roman"/>
          <w:color w:val="231F20"/>
          <w:spacing w:val="-3"/>
          <w:sz w:val="13"/>
        </w:rPr>
        <w:t> </w:t>
      </w:r>
      <w:r>
        <w:rPr>
          <w:rFonts w:ascii="Times New Roman" w:hAnsi="Times New Roman"/>
          <w:color w:val="231F20"/>
          <w:sz w:val="13"/>
        </w:rPr>
        <w:t>remediar</w:t>
      </w:r>
      <w:r>
        <w:rPr>
          <w:rFonts w:ascii="Times New Roman" w:hAnsi="Times New Roman"/>
          <w:color w:val="231F20"/>
          <w:spacing w:val="-3"/>
          <w:sz w:val="13"/>
        </w:rPr>
        <w:t> </w:t>
      </w:r>
      <w:r>
        <w:rPr>
          <w:rFonts w:ascii="Times New Roman" w:hAnsi="Times New Roman"/>
          <w:color w:val="231F20"/>
          <w:sz w:val="13"/>
        </w:rPr>
        <w:t>una</w:t>
      </w:r>
      <w:r>
        <w:rPr>
          <w:rFonts w:ascii="Times New Roman" w:hAnsi="Times New Roman"/>
          <w:color w:val="231F20"/>
          <w:spacing w:val="-3"/>
          <w:sz w:val="13"/>
        </w:rPr>
        <w:t> </w:t>
      </w:r>
      <w:r>
        <w:rPr>
          <w:rFonts w:ascii="Times New Roman" w:hAnsi="Times New Roman"/>
          <w:color w:val="231F20"/>
          <w:sz w:val="13"/>
        </w:rPr>
        <w:t>hectárea</w:t>
      </w:r>
      <w:r>
        <w:rPr>
          <w:rFonts w:ascii="Times New Roman" w:hAnsi="Times New Roman"/>
          <w:color w:val="231F20"/>
          <w:spacing w:val="-3"/>
          <w:sz w:val="13"/>
        </w:rPr>
        <w:t> </w:t>
      </w:r>
      <w:r>
        <w:rPr>
          <w:rFonts w:ascii="Times New Roman" w:hAnsi="Times New Roman"/>
          <w:color w:val="231F20"/>
          <w:sz w:val="13"/>
        </w:rPr>
        <w:t>de</w:t>
      </w:r>
      <w:r>
        <w:rPr>
          <w:rFonts w:ascii="Times New Roman" w:hAnsi="Times New Roman"/>
          <w:color w:val="231F20"/>
          <w:spacing w:val="-3"/>
          <w:sz w:val="13"/>
        </w:rPr>
        <w:t> </w:t>
      </w:r>
      <w:r>
        <w:rPr>
          <w:rFonts w:ascii="Times New Roman" w:hAnsi="Times New Roman"/>
          <w:color w:val="231F20"/>
          <w:sz w:val="13"/>
        </w:rPr>
        <w:t>suelo</w:t>
      </w:r>
      <w:r>
        <w:rPr>
          <w:rFonts w:ascii="Times New Roman" w:hAnsi="Times New Roman"/>
          <w:color w:val="231F20"/>
          <w:spacing w:val="-2"/>
          <w:sz w:val="13"/>
        </w:rPr>
        <w:t> </w:t>
      </w:r>
      <w:r>
        <w:rPr>
          <w:rFonts w:ascii="Times New Roman" w:hAnsi="Times New Roman"/>
          <w:color w:val="231F20"/>
          <w:sz w:val="13"/>
        </w:rPr>
        <w:t>de</w:t>
      </w:r>
      <w:r>
        <w:rPr>
          <w:rFonts w:ascii="Times New Roman" w:hAnsi="Times New Roman"/>
          <w:color w:val="231F20"/>
          <w:spacing w:val="-3"/>
          <w:sz w:val="13"/>
        </w:rPr>
        <w:t> </w:t>
      </w:r>
      <w:r>
        <w:rPr>
          <w:rFonts w:ascii="Times New Roman" w:hAnsi="Times New Roman"/>
          <w:color w:val="231F20"/>
          <w:sz w:val="13"/>
        </w:rPr>
        <w:t>cultivo</w:t>
      </w:r>
      <w:r>
        <w:rPr>
          <w:rFonts w:ascii="Times New Roman" w:hAnsi="Times New Roman"/>
          <w:color w:val="231F20"/>
          <w:spacing w:val="-3"/>
          <w:sz w:val="13"/>
        </w:rPr>
        <w:t> </w:t>
      </w:r>
      <w:r>
        <w:rPr>
          <w:rFonts w:ascii="Times New Roman" w:hAnsi="Times New Roman"/>
          <w:color w:val="231F20"/>
          <w:sz w:val="13"/>
        </w:rPr>
        <w:t>de</w:t>
      </w:r>
      <w:r>
        <w:rPr>
          <w:rFonts w:ascii="Times New Roman" w:hAnsi="Times New Roman"/>
          <w:color w:val="231F20"/>
          <w:spacing w:val="-3"/>
          <w:sz w:val="13"/>
        </w:rPr>
        <w:t> </w:t>
      </w:r>
      <w:r>
        <w:rPr>
          <w:rFonts w:ascii="Times New Roman" w:hAnsi="Times New Roman"/>
          <w:color w:val="231F20"/>
          <w:sz w:val="13"/>
        </w:rPr>
        <w:t>papa</w:t>
      </w:r>
      <w:r>
        <w:rPr>
          <w:rFonts w:ascii="Times New Roman" w:hAnsi="Times New Roman"/>
          <w:color w:val="231F20"/>
          <w:spacing w:val="-3"/>
          <w:sz w:val="13"/>
        </w:rPr>
        <w:t> </w:t>
      </w:r>
      <w:r>
        <w:rPr>
          <w:rFonts w:ascii="Times New Roman" w:hAnsi="Times New Roman"/>
          <w:color w:val="231F20"/>
          <w:sz w:val="13"/>
        </w:rPr>
        <w:t>tiene</w:t>
      </w:r>
      <w:r>
        <w:rPr>
          <w:rFonts w:ascii="Times New Roman" w:hAnsi="Times New Roman"/>
          <w:color w:val="231F20"/>
          <w:spacing w:val="-3"/>
          <w:sz w:val="13"/>
        </w:rPr>
        <w:t> </w:t>
      </w:r>
      <w:r>
        <w:rPr>
          <w:rFonts w:ascii="Times New Roman" w:hAnsi="Times New Roman"/>
          <w:color w:val="231F20"/>
          <w:sz w:val="13"/>
        </w:rPr>
        <w:t>un</w:t>
      </w:r>
      <w:r>
        <w:rPr>
          <w:rFonts w:ascii="Times New Roman" w:hAnsi="Times New Roman"/>
          <w:color w:val="231F20"/>
          <w:spacing w:val="-3"/>
          <w:sz w:val="13"/>
        </w:rPr>
        <w:t> </w:t>
      </w:r>
      <w:r>
        <w:rPr>
          <w:rFonts w:ascii="Times New Roman" w:hAnsi="Times New Roman"/>
          <w:color w:val="231F20"/>
          <w:sz w:val="13"/>
        </w:rPr>
        <w:t>costo</w:t>
      </w:r>
      <w:r>
        <w:rPr>
          <w:rFonts w:ascii="Times New Roman" w:hAnsi="Times New Roman"/>
          <w:color w:val="231F20"/>
          <w:spacing w:val="-3"/>
          <w:sz w:val="13"/>
        </w:rPr>
        <w:t> </w:t>
      </w:r>
      <w:r>
        <w:rPr>
          <w:rFonts w:ascii="Times New Roman" w:hAnsi="Times New Roman"/>
          <w:color w:val="231F20"/>
          <w:sz w:val="13"/>
        </w:rPr>
        <w:t>mínimo</w:t>
      </w:r>
      <w:r>
        <w:rPr>
          <w:rFonts w:ascii="Times New Roman" w:hAnsi="Times New Roman"/>
          <w:color w:val="231F20"/>
          <w:spacing w:val="-3"/>
          <w:sz w:val="13"/>
        </w:rPr>
        <w:t> </w:t>
      </w:r>
      <w:r>
        <w:rPr>
          <w:rFonts w:ascii="Times New Roman" w:hAnsi="Times New Roman"/>
          <w:color w:val="231F20"/>
          <w:sz w:val="13"/>
        </w:rPr>
        <w:t>de</w:t>
      </w:r>
      <w:r>
        <w:rPr>
          <w:rFonts w:ascii="Times New Roman" w:hAnsi="Times New Roman"/>
          <w:color w:val="231F20"/>
          <w:spacing w:val="-3"/>
          <w:sz w:val="13"/>
        </w:rPr>
        <w:t> </w:t>
      </w:r>
      <w:r>
        <w:rPr>
          <w:rFonts w:ascii="Times New Roman" w:hAnsi="Times New Roman"/>
          <w:color w:val="231F20"/>
          <w:sz w:val="13"/>
        </w:rPr>
        <w:t>2.73 millones</w:t>
      </w:r>
      <w:r>
        <w:rPr>
          <w:rFonts w:ascii="Times New Roman" w:hAnsi="Times New Roman"/>
          <w:color w:val="231F20"/>
          <w:spacing w:val="-8"/>
          <w:sz w:val="13"/>
        </w:rPr>
        <w:t> </w:t>
      </w:r>
      <w:r>
        <w:rPr>
          <w:rFonts w:ascii="Times New Roman" w:hAnsi="Times New Roman"/>
          <w:color w:val="231F20"/>
          <w:sz w:val="13"/>
        </w:rPr>
        <w:t>de</w:t>
      </w:r>
      <w:r>
        <w:rPr>
          <w:rFonts w:ascii="Times New Roman" w:hAnsi="Times New Roman"/>
          <w:color w:val="231F20"/>
          <w:spacing w:val="-8"/>
          <w:sz w:val="13"/>
        </w:rPr>
        <w:t> </w:t>
      </w:r>
      <w:r>
        <w:rPr>
          <w:rFonts w:ascii="Times New Roman" w:hAnsi="Times New Roman"/>
          <w:color w:val="231F20"/>
          <w:sz w:val="13"/>
        </w:rPr>
        <w:t>pesos</w:t>
      </w:r>
      <w:r>
        <w:rPr>
          <w:rFonts w:ascii="Times New Roman" w:hAnsi="Times New Roman"/>
          <w:color w:val="231F20"/>
          <w:spacing w:val="-8"/>
          <w:sz w:val="13"/>
        </w:rPr>
        <w:t> </w:t>
      </w:r>
      <w:r>
        <w:rPr>
          <w:rFonts w:ascii="Times New Roman" w:hAnsi="Times New Roman"/>
          <w:color w:val="231F20"/>
          <w:sz w:val="13"/>
        </w:rPr>
        <w:t>mexicanos</w:t>
      </w:r>
      <w:r>
        <w:rPr>
          <w:rFonts w:ascii="Times New Roman" w:hAnsi="Times New Roman"/>
          <w:color w:val="231F20"/>
          <w:spacing w:val="-8"/>
          <w:sz w:val="13"/>
        </w:rPr>
        <w:t> </w:t>
      </w:r>
      <w:r>
        <w:rPr>
          <w:rFonts w:ascii="Times New Roman" w:hAnsi="Times New Roman"/>
          <w:color w:val="231F20"/>
          <w:sz w:val="13"/>
        </w:rPr>
        <w:t>(pesos</w:t>
      </w:r>
      <w:r>
        <w:rPr>
          <w:rFonts w:ascii="Times New Roman" w:hAnsi="Times New Roman"/>
          <w:color w:val="231F20"/>
          <w:spacing w:val="-8"/>
          <w:sz w:val="13"/>
        </w:rPr>
        <w:t> </w:t>
      </w:r>
      <w:r>
        <w:rPr>
          <w:rFonts w:ascii="Times New Roman" w:hAnsi="Times New Roman"/>
          <w:color w:val="231F20"/>
          <w:sz w:val="13"/>
        </w:rPr>
        <w:t>MXN).</w:t>
      </w:r>
      <w:r>
        <w:rPr>
          <w:rFonts w:ascii="Times New Roman" w:hAnsi="Times New Roman"/>
          <w:color w:val="231F20"/>
          <w:spacing w:val="-8"/>
          <w:sz w:val="13"/>
        </w:rPr>
        <w:t> </w:t>
      </w:r>
      <w:r>
        <w:rPr>
          <w:rFonts w:ascii="Times New Roman" w:hAnsi="Times New Roman"/>
          <w:color w:val="231F20"/>
          <w:sz w:val="13"/>
        </w:rPr>
        <w:t>Para</w:t>
      </w:r>
      <w:r>
        <w:rPr>
          <w:rFonts w:ascii="Times New Roman" w:hAnsi="Times New Roman"/>
          <w:color w:val="231F20"/>
          <w:spacing w:val="-8"/>
          <w:sz w:val="13"/>
        </w:rPr>
        <w:t> </w:t>
      </w:r>
      <w:r>
        <w:rPr>
          <w:rFonts w:ascii="Times New Roman" w:hAnsi="Times New Roman"/>
          <w:color w:val="231F20"/>
          <w:sz w:val="13"/>
        </w:rPr>
        <w:t>el</w:t>
      </w:r>
      <w:r>
        <w:rPr>
          <w:rFonts w:ascii="Times New Roman" w:hAnsi="Times New Roman"/>
          <w:color w:val="231F20"/>
          <w:spacing w:val="-8"/>
          <w:sz w:val="13"/>
        </w:rPr>
        <w:t> </w:t>
      </w:r>
      <w:r>
        <w:rPr>
          <w:rFonts w:ascii="Times New Roman" w:hAnsi="Times New Roman"/>
          <w:color w:val="231F20"/>
          <w:sz w:val="13"/>
        </w:rPr>
        <w:t>caso</w:t>
      </w:r>
      <w:r>
        <w:rPr>
          <w:rFonts w:ascii="Times New Roman" w:hAnsi="Times New Roman"/>
          <w:color w:val="231F20"/>
          <w:spacing w:val="-8"/>
          <w:sz w:val="13"/>
        </w:rPr>
        <w:t> </w:t>
      </w:r>
      <w:r>
        <w:rPr>
          <w:rFonts w:ascii="Times New Roman" w:hAnsi="Times New Roman"/>
          <w:color w:val="231F20"/>
          <w:sz w:val="13"/>
        </w:rPr>
        <w:t>de</w:t>
      </w:r>
      <w:r>
        <w:rPr>
          <w:rFonts w:ascii="Times New Roman" w:hAnsi="Times New Roman"/>
          <w:color w:val="231F20"/>
          <w:spacing w:val="-8"/>
          <w:sz w:val="13"/>
        </w:rPr>
        <w:t> </w:t>
      </w:r>
      <w:r>
        <w:rPr>
          <w:rFonts w:ascii="Times New Roman" w:hAnsi="Times New Roman"/>
          <w:color w:val="231F20"/>
          <w:sz w:val="13"/>
        </w:rPr>
        <w:t>las</w:t>
      </w:r>
      <w:r>
        <w:rPr>
          <w:rFonts w:ascii="Times New Roman" w:hAnsi="Times New Roman"/>
          <w:color w:val="231F20"/>
          <w:spacing w:val="-8"/>
          <w:sz w:val="13"/>
        </w:rPr>
        <w:t> </w:t>
      </w:r>
      <w:r>
        <w:rPr>
          <w:rFonts w:ascii="Times New Roman" w:hAnsi="Times New Roman"/>
          <w:color w:val="231F20"/>
          <w:sz w:val="13"/>
        </w:rPr>
        <w:t>parcelas</w:t>
      </w:r>
      <w:r>
        <w:rPr>
          <w:rFonts w:ascii="Times New Roman" w:hAnsi="Times New Roman"/>
          <w:color w:val="231F20"/>
          <w:spacing w:val="-8"/>
          <w:sz w:val="13"/>
        </w:rPr>
        <w:t> </w:t>
      </w:r>
      <w:r>
        <w:rPr>
          <w:rFonts w:ascii="Times New Roman" w:hAnsi="Times New Roman"/>
          <w:color w:val="231F20"/>
          <w:sz w:val="13"/>
        </w:rPr>
        <w:t>de</w:t>
      </w:r>
      <w:r>
        <w:rPr>
          <w:rFonts w:ascii="Times New Roman" w:hAnsi="Times New Roman"/>
          <w:color w:val="231F20"/>
          <w:spacing w:val="-8"/>
          <w:sz w:val="13"/>
        </w:rPr>
        <w:t> </w:t>
      </w:r>
      <w:r>
        <w:rPr>
          <w:rFonts w:ascii="Times New Roman" w:hAnsi="Times New Roman"/>
          <w:color w:val="231F20"/>
          <w:sz w:val="13"/>
        </w:rPr>
        <w:t>doble</w:t>
      </w:r>
      <w:r>
        <w:rPr>
          <w:rFonts w:ascii="Times New Roman" w:hAnsi="Times New Roman"/>
          <w:color w:val="231F20"/>
          <w:spacing w:val="-8"/>
          <w:sz w:val="13"/>
        </w:rPr>
        <w:t> </w:t>
      </w:r>
      <w:r>
        <w:rPr>
          <w:rFonts w:ascii="Times New Roman" w:hAnsi="Times New Roman"/>
          <w:color w:val="231F20"/>
          <w:sz w:val="13"/>
        </w:rPr>
        <w:t>ciclo en las que se emplean dosis de fungicidas arriba de lo recomendado el ingreso libre máximo</w:t>
      </w:r>
      <w:r>
        <w:rPr>
          <w:rFonts w:ascii="Times New Roman" w:hAnsi="Times New Roman"/>
          <w:color w:val="231F20"/>
          <w:spacing w:val="-7"/>
          <w:sz w:val="13"/>
        </w:rPr>
        <w:t> </w:t>
      </w:r>
      <w:r>
        <w:rPr>
          <w:rFonts w:ascii="Times New Roman" w:hAnsi="Times New Roman"/>
          <w:color w:val="231F20"/>
          <w:sz w:val="13"/>
        </w:rPr>
        <w:t>durante</w:t>
      </w:r>
      <w:r>
        <w:rPr>
          <w:rFonts w:ascii="Times New Roman" w:hAnsi="Times New Roman"/>
          <w:color w:val="231F20"/>
          <w:spacing w:val="-7"/>
          <w:sz w:val="13"/>
        </w:rPr>
        <w:t> </w:t>
      </w:r>
      <w:r>
        <w:rPr>
          <w:rFonts w:ascii="Times New Roman" w:hAnsi="Times New Roman"/>
          <w:color w:val="231F20"/>
          <w:sz w:val="13"/>
        </w:rPr>
        <w:t>el</w:t>
      </w:r>
      <w:r>
        <w:rPr>
          <w:rFonts w:ascii="Times New Roman" w:hAnsi="Times New Roman"/>
          <w:color w:val="231F20"/>
          <w:spacing w:val="-7"/>
          <w:sz w:val="13"/>
        </w:rPr>
        <w:t> </w:t>
      </w:r>
      <w:r>
        <w:rPr>
          <w:rFonts w:ascii="Times New Roman" w:hAnsi="Times New Roman"/>
          <w:color w:val="231F20"/>
          <w:sz w:val="13"/>
        </w:rPr>
        <w:t>periodo</w:t>
      </w:r>
      <w:r>
        <w:rPr>
          <w:rFonts w:ascii="Times New Roman" w:hAnsi="Times New Roman"/>
          <w:color w:val="231F20"/>
          <w:spacing w:val="-7"/>
          <w:sz w:val="13"/>
        </w:rPr>
        <w:t> </w:t>
      </w:r>
      <w:r>
        <w:rPr>
          <w:rFonts w:ascii="Times New Roman" w:hAnsi="Times New Roman"/>
          <w:color w:val="231F20"/>
          <w:sz w:val="13"/>
        </w:rPr>
        <w:t>de</w:t>
      </w:r>
      <w:r>
        <w:rPr>
          <w:rFonts w:ascii="Times New Roman" w:hAnsi="Times New Roman"/>
          <w:color w:val="231F20"/>
          <w:spacing w:val="-7"/>
          <w:sz w:val="13"/>
        </w:rPr>
        <w:t> </w:t>
      </w:r>
      <w:r>
        <w:rPr>
          <w:rFonts w:ascii="Times New Roman" w:hAnsi="Times New Roman"/>
          <w:color w:val="231F20"/>
          <w:sz w:val="13"/>
        </w:rPr>
        <w:t>vida</w:t>
      </w:r>
      <w:r>
        <w:rPr>
          <w:rFonts w:ascii="Times New Roman" w:hAnsi="Times New Roman"/>
          <w:color w:val="231F20"/>
          <w:spacing w:val="-7"/>
          <w:sz w:val="13"/>
        </w:rPr>
        <w:t> </w:t>
      </w:r>
      <w:r>
        <w:rPr>
          <w:rFonts w:ascii="Times New Roman" w:hAnsi="Times New Roman"/>
          <w:color w:val="231F20"/>
          <w:sz w:val="13"/>
        </w:rPr>
        <w:t>(15</w:t>
      </w:r>
      <w:r>
        <w:rPr>
          <w:rFonts w:ascii="Times New Roman" w:hAnsi="Times New Roman"/>
          <w:color w:val="231F20"/>
          <w:spacing w:val="-7"/>
          <w:sz w:val="13"/>
        </w:rPr>
        <w:t> </w:t>
      </w:r>
      <w:r>
        <w:rPr>
          <w:rFonts w:ascii="Times New Roman" w:hAnsi="Times New Roman"/>
          <w:color w:val="231F20"/>
          <w:sz w:val="13"/>
        </w:rPr>
        <w:t>años)</w:t>
      </w:r>
      <w:r>
        <w:rPr>
          <w:rFonts w:ascii="Times New Roman" w:hAnsi="Times New Roman"/>
          <w:color w:val="231F20"/>
          <w:spacing w:val="-7"/>
          <w:sz w:val="13"/>
        </w:rPr>
        <w:t> </w:t>
      </w:r>
      <w:r>
        <w:rPr>
          <w:rFonts w:ascii="Times New Roman" w:hAnsi="Times New Roman"/>
          <w:color w:val="231F20"/>
          <w:sz w:val="13"/>
        </w:rPr>
        <w:t>fue</w:t>
      </w:r>
      <w:r>
        <w:rPr>
          <w:rFonts w:ascii="Times New Roman" w:hAnsi="Times New Roman"/>
          <w:color w:val="231F20"/>
          <w:spacing w:val="-7"/>
          <w:sz w:val="13"/>
        </w:rPr>
        <w:t> </w:t>
      </w:r>
      <w:r>
        <w:rPr>
          <w:rFonts w:ascii="Times New Roman" w:hAnsi="Times New Roman"/>
          <w:color w:val="231F20"/>
          <w:sz w:val="13"/>
        </w:rPr>
        <w:t>de</w:t>
      </w:r>
      <w:r>
        <w:rPr>
          <w:rFonts w:ascii="Times New Roman" w:hAnsi="Times New Roman"/>
          <w:color w:val="231F20"/>
          <w:spacing w:val="-7"/>
          <w:sz w:val="13"/>
        </w:rPr>
        <w:t> </w:t>
      </w:r>
      <w:r>
        <w:rPr>
          <w:rFonts w:ascii="Times New Roman" w:hAnsi="Times New Roman"/>
          <w:color w:val="231F20"/>
          <w:sz w:val="13"/>
        </w:rPr>
        <w:t>2.66</w:t>
      </w:r>
      <w:r>
        <w:rPr>
          <w:rFonts w:ascii="Times New Roman" w:hAnsi="Times New Roman"/>
          <w:color w:val="231F20"/>
          <w:spacing w:val="-7"/>
          <w:sz w:val="13"/>
        </w:rPr>
        <w:t> </w:t>
      </w:r>
      <w:r>
        <w:rPr>
          <w:rFonts w:ascii="Times New Roman" w:hAnsi="Times New Roman"/>
          <w:color w:val="231F20"/>
          <w:sz w:val="13"/>
        </w:rPr>
        <w:t>millones</w:t>
      </w:r>
      <w:r>
        <w:rPr>
          <w:rFonts w:ascii="Times New Roman" w:hAnsi="Times New Roman"/>
          <w:color w:val="231F20"/>
          <w:spacing w:val="-7"/>
          <w:sz w:val="13"/>
        </w:rPr>
        <w:t> </w:t>
      </w:r>
      <w:r>
        <w:rPr>
          <w:rFonts w:ascii="Times New Roman" w:hAnsi="Times New Roman"/>
          <w:color w:val="231F20"/>
          <w:sz w:val="13"/>
        </w:rPr>
        <w:t>de</w:t>
      </w:r>
      <w:r>
        <w:rPr>
          <w:rFonts w:ascii="Times New Roman" w:hAnsi="Times New Roman"/>
          <w:color w:val="231F20"/>
          <w:spacing w:val="-7"/>
          <w:sz w:val="13"/>
        </w:rPr>
        <w:t> </w:t>
      </w:r>
      <w:r>
        <w:rPr>
          <w:rFonts w:ascii="Times New Roman" w:hAnsi="Times New Roman"/>
          <w:color w:val="231F20"/>
          <w:sz w:val="13"/>
        </w:rPr>
        <w:t>pesos</w:t>
      </w:r>
      <w:r>
        <w:rPr>
          <w:rFonts w:ascii="Times New Roman" w:hAnsi="Times New Roman"/>
          <w:color w:val="231F20"/>
          <w:spacing w:val="-7"/>
          <w:sz w:val="13"/>
        </w:rPr>
        <w:t> </w:t>
      </w:r>
      <w:r>
        <w:rPr>
          <w:rFonts w:ascii="Times New Roman" w:hAnsi="Times New Roman"/>
          <w:color w:val="231F20"/>
          <w:sz w:val="13"/>
        </w:rPr>
        <w:t>MXN.</w:t>
      </w:r>
      <w:r>
        <w:rPr>
          <w:rFonts w:ascii="Times New Roman" w:hAnsi="Times New Roman"/>
          <w:color w:val="231F20"/>
          <w:spacing w:val="-7"/>
          <w:sz w:val="13"/>
        </w:rPr>
        <w:t> </w:t>
      </w:r>
      <w:r>
        <w:rPr>
          <w:rFonts w:ascii="Times New Roman" w:hAnsi="Times New Roman"/>
          <w:color w:val="231F20"/>
          <w:sz w:val="13"/>
        </w:rPr>
        <w:t>Por otro lado los sistemas de riego de doble ciclo que aplican fungicidas en niveles por debajo</w:t>
      </w:r>
      <w:r>
        <w:rPr>
          <w:rFonts w:ascii="Times New Roman" w:hAnsi="Times New Roman"/>
          <w:color w:val="231F20"/>
          <w:spacing w:val="-5"/>
          <w:sz w:val="13"/>
        </w:rPr>
        <w:t> </w:t>
      </w:r>
      <w:r>
        <w:rPr>
          <w:rFonts w:ascii="Times New Roman" w:hAnsi="Times New Roman"/>
          <w:color w:val="231F20"/>
          <w:sz w:val="13"/>
        </w:rPr>
        <w:t>de</w:t>
      </w:r>
      <w:r>
        <w:rPr>
          <w:rFonts w:ascii="Times New Roman" w:hAnsi="Times New Roman"/>
          <w:color w:val="231F20"/>
          <w:spacing w:val="-5"/>
          <w:sz w:val="13"/>
        </w:rPr>
        <w:t> </w:t>
      </w:r>
      <w:r>
        <w:rPr>
          <w:rFonts w:ascii="Times New Roman" w:hAnsi="Times New Roman"/>
          <w:color w:val="231F20"/>
          <w:sz w:val="13"/>
        </w:rPr>
        <w:t>lo</w:t>
      </w:r>
      <w:r>
        <w:rPr>
          <w:rFonts w:ascii="Times New Roman" w:hAnsi="Times New Roman"/>
          <w:color w:val="231F20"/>
          <w:spacing w:val="-5"/>
          <w:sz w:val="13"/>
        </w:rPr>
        <w:t> </w:t>
      </w:r>
      <w:r>
        <w:rPr>
          <w:rFonts w:ascii="Times New Roman" w:hAnsi="Times New Roman"/>
          <w:color w:val="231F20"/>
          <w:sz w:val="13"/>
        </w:rPr>
        <w:t>recomendado</w:t>
      </w:r>
      <w:r>
        <w:rPr>
          <w:rFonts w:ascii="Times New Roman" w:hAnsi="Times New Roman"/>
          <w:color w:val="231F20"/>
          <w:spacing w:val="-5"/>
          <w:sz w:val="13"/>
        </w:rPr>
        <w:t> </w:t>
      </w:r>
      <w:r>
        <w:rPr>
          <w:rFonts w:ascii="Times New Roman" w:hAnsi="Times New Roman"/>
          <w:color w:val="231F20"/>
          <w:sz w:val="13"/>
        </w:rPr>
        <w:t>tienen</w:t>
      </w:r>
      <w:r>
        <w:rPr>
          <w:rFonts w:ascii="Times New Roman" w:hAnsi="Times New Roman"/>
          <w:color w:val="231F20"/>
          <w:spacing w:val="-6"/>
          <w:sz w:val="13"/>
        </w:rPr>
        <w:t> </w:t>
      </w:r>
      <w:r>
        <w:rPr>
          <w:rFonts w:ascii="Times New Roman" w:hAnsi="Times New Roman"/>
          <w:color w:val="231F20"/>
          <w:sz w:val="13"/>
        </w:rPr>
        <w:t>vida</w:t>
      </w:r>
      <w:r>
        <w:rPr>
          <w:rFonts w:ascii="Times New Roman" w:hAnsi="Times New Roman"/>
          <w:color w:val="231F20"/>
          <w:spacing w:val="-5"/>
          <w:sz w:val="13"/>
        </w:rPr>
        <w:t> </w:t>
      </w:r>
      <w:r>
        <w:rPr>
          <w:rFonts w:ascii="Times New Roman" w:hAnsi="Times New Roman"/>
          <w:color w:val="231F20"/>
          <w:sz w:val="13"/>
        </w:rPr>
        <w:t>media</w:t>
      </w:r>
      <w:r>
        <w:rPr>
          <w:rFonts w:ascii="Times New Roman" w:hAnsi="Times New Roman"/>
          <w:color w:val="231F20"/>
          <w:spacing w:val="-6"/>
          <w:sz w:val="13"/>
        </w:rPr>
        <w:t> </w:t>
      </w:r>
      <w:r>
        <w:rPr>
          <w:rFonts w:ascii="Times New Roman" w:hAnsi="Times New Roman"/>
          <w:color w:val="231F20"/>
          <w:sz w:val="13"/>
        </w:rPr>
        <w:t>de</w:t>
      </w:r>
      <w:r>
        <w:rPr>
          <w:rFonts w:ascii="Times New Roman" w:hAnsi="Times New Roman"/>
          <w:color w:val="231F20"/>
          <w:spacing w:val="-5"/>
          <w:sz w:val="13"/>
        </w:rPr>
        <w:t> </w:t>
      </w:r>
      <w:r>
        <w:rPr>
          <w:rFonts w:ascii="Times New Roman" w:hAnsi="Times New Roman"/>
          <w:color w:val="231F20"/>
          <w:sz w:val="13"/>
        </w:rPr>
        <w:t>25</w:t>
      </w:r>
      <w:r>
        <w:rPr>
          <w:rFonts w:ascii="Times New Roman" w:hAnsi="Times New Roman"/>
          <w:color w:val="231F20"/>
          <w:spacing w:val="-5"/>
          <w:sz w:val="13"/>
        </w:rPr>
        <w:t> </w:t>
      </w:r>
      <w:r>
        <w:rPr>
          <w:rFonts w:ascii="Times New Roman" w:hAnsi="Times New Roman"/>
          <w:color w:val="231F20"/>
          <w:sz w:val="13"/>
        </w:rPr>
        <w:t>años,</w:t>
      </w:r>
      <w:r>
        <w:rPr>
          <w:rFonts w:ascii="Times New Roman" w:hAnsi="Times New Roman"/>
          <w:color w:val="231F20"/>
          <w:spacing w:val="-6"/>
          <w:sz w:val="13"/>
        </w:rPr>
        <w:t> </w:t>
      </w:r>
      <w:r>
        <w:rPr>
          <w:rFonts w:ascii="Times New Roman" w:hAnsi="Times New Roman"/>
          <w:color w:val="231F20"/>
          <w:sz w:val="13"/>
        </w:rPr>
        <w:t>durante</w:t>
      </w:r>
      <w:r>
        <w:rPr>
          <w:rFonts w:ascii="Times New Roman" w:hAnsi="Times New Roman"/>
          <w:color w:val="231F20"/>
          <w:spacing w:val="-5"/>
          <w:sz w:val="13"/>
        </w:rPr>
        <w:t> </w:t>
      </w:r>
      <w:r>
        <w:rPr>
          <w:rFonts w:ascii="Times New Roman" w:hAnsi="Times New Roman"/>
          <w:color w:val="231F20"/>
          <w:sz w:val="13"/>
        </w:rPr>
        <w:t>la</w:t>
      </w:r>
      <w:r>
        <w:rPr>
          <w:rFonts w:ascii="Times New Roman" w:hAnsi="Times New Roman"/>
          <w:color w:val="231F20"/>
          <w:spacing w:val="-5"/>
          <w:sz w:val="13"/>
        </w:rPr>
        <w:t> </w:t>
      </w:r>
      <w:r>
        <w:rPr>
          <w:rFonts w:ascii="Times New Roman" w:hAnsi="Times New Roman"/>
          <w:color w:val="231F20"/>
          <w:sz w:val="13"/>
        </w:rPr>
        <w:t>cual</w:t>
      </w:r>
      <w:r>
        <w:rPr>
          <w:rFonts w:ascii="Times New Roman" w:hAnsi="Times New Roman"/>
          <w:color w:val="231F20"/>
          <w:spacing w:val="-6"/>
          <w:sz w:val="13"/>
        </w:rPr>
        <w:t> </w:t>
      </w:r>
      <w:r>
        <w:rPr>
          <w:rFonts w:ascii="Times New Roman" w:hAnsi="Times New Roman"/>
          <w:color w:val="231F20"/>
          <w:sz w:val="13"/>
        </w:rPr>
        <w:t>se</w:t>
      </w:r>
      <w:r>
        <w:rPr>
          <w:rFonts w:ascii="Times New Roman" w:hAnsi="Times New Roman"/>
          <w:color w:val="231F20"/>
          <w:spacing w:val="-5"/>
          <w:sz w:val="13"/>
        </w:rPr>
        <w:t> </w:t>
      </w:r>
      <w:r>
        <w:rPr>
          <w:rFonts w:ascii="Times New Roman" w:hAnsi="Times New Roman"/>
          <w:color w:val="231F20"/>
          <w:sz w:val="13"/>
        </w:rPr>
        <w:t>obtiene</w:t>
      </w:r>
      <w:r>
        <w:rPr>
          <w:rFonts w:ascii="Times New Roman" w:hAnsi="Times New Roman"/>
          <w:color w:val="231F20"/>
          <w:spacing w:val="-5"/>
          <w:sz w:val="13"/>
        </w:rPr>
        <w:t> </w:t>
      </w:r>
      <w:r>
        <w:rPr>
          <w:rFonts w:ascii="Times New Roman" w:hAnsi="Times New Roman"/>
          <w:color w:val="231F20"/>
          <w:sz w:val="13"/>
        </w:rPr>
        <w:t>un ingreso</w:t>
      </w:r>
      <w:r>
        <w:rPr>
          <w:rFonts w:ascii="Times New Roman" w:hAnsi="Times New Roman"/>
          <w:color w:val="231F20"/>
          <w:spacing w:val="-7"/>
          <w:sz w:val="13"/>
        </w:rPr>
        <w:t> </w:t>
      </w:r>
      <w:r>
        <w:rPr>
          <w:rFonts w:ascii="Times New Roman" w:hAnsi="Times New Roman"/>
          <w:color w:val="231F20"/>
          <w:sz w:val="13"/>
        </w:rPr>
        <w:t>real</w:t>
      </w:r>
      <w:r>
        <w:rPr>
          <w:rFonts w:ascii="Times New Roman" w:hAnsi="Times New Roman"/>
          <w:color w:val="231F20"/>
          <w:spacing w:val="-6"/>
          <w:sz w:val="13"/>
        </w:rPr>
        <w:t> </w:t>
      </w:r>
      <w:r>
        <w:rPr>
          <w:rFonts w:ascii="Times New Roman" w:hAnsi="Times New Roman"/>
          <w:color w:val="231F20"/>
          <w:sz w:val="13"/>
        </w:rPr>
        <w:t>de</w:t>
      </w:r>
      <w:r>
        <w:rPr>
          <w:rFonts w:ascii="Times New Roman" w:hAnsi="Times New Roman"/>
          <w:color w:val="231F20"/>
          <w:spacing w:val="-6"/>
          <w:sz w:val="13"/>
        </w:rPr>
        <w:t> </w:t>
      </w:r>
      <w:r>
        <w:rPr>
          <w:rFonts w:ascii="Times New Roman" w:hAnsi="Times New Roman"/>
          <w:color w:val="231F20"/>
          <w:sz w:val="13"/>
        </w:rPr>
        <w:t>3.27</w:t>
      </w:r>
      <w:r>
        <w:rPr>
          <w:rFonts w:ascii="Times New Roman" w:hAnsi="Times New Roman"/>
          <w:color w:val="231F20"/>
          <w:spacing w:val="-7"/>
          <w:sz w:val="13"/>
        </w:rPr>
        <w:t> </w:t>
      </w:r>
      <w:r>
        <w:rPr>
          <w:rFonts w:ascii="Times New Roman" w:hAnsi="Times New Roman"/>
          <w:color w:val="231F20"/>
          <w:sz w:val="13"/>
        </w:rPr>
        <w:t>millones</w:t>
      </w:r>
      <w:r>
        <w:rPr>
          <w:rFonts w:ascii="Times New Roman" w:hAnsi="Times New Roman"/>
          <w:color w:val="231F20"/>
          <w:spacing w:val="-7"/>
          <w:sz w:val="13"/>
        </w:rPr>
        <w:t> </w:t>
      </w:r>
      <w:r>
        <w:rPr>
          <w:rFonts w:ascii="Times New Roman" w:hAnsi="Times New Roman"/>
          <w:color w:val="231F20"/>
          <w:sz w:val="13"/>
        </w:rPr>
        <w:t>de</w:t>
      </w:r>
      <w:r>
        <w:rPr>
          <w:rFonts w:ascii="Times New Roman" w:hAnsi="Times New Roman"/>
          <w:color w:val="231F20"/>
          <w:spacing w:val="-6"/>
          <w:sz w:val="13"/>
        </w:rPr>
        <w:t> </w:t>
      </w:r>
      <w:r>
        <w:rPr>
          <w:rFonts w:ascii="Times New Roman" w:hAnsi="Times New Roman"/>
          <w:color w:val="231F20"/>
          <w:sz w:val="13"/>
        </w:rPr>
        <w:t>pesos</w:t>
      </w:r>
      <w:r>
        <w:rPr>
          <w:rFonts w:ascii="Times New Roman" w:hAnsi="Times New Roman"/>
          <w:color w:val="231F20"/>
          <w:spacing w:val="-7"/>
          <w:sz w:val="13"/>
        </w:rPr>
        <w:t> </w:t>
      </w:r>
      <w:r>
        <w:rPr>
          <w:rFonts w:ascii="Times New Roman" w:hAnsi="Times New Roman"/>
          <w:color w:val="231F20"/>
          <w:sz w:val="13"/>
        </w:rPr>
        <w:t>MXN/ha,</w:t>
      </w:r>
      <w:r>
        <w:rPr>
          <w:rFonts w:ascii="Times New Roman" w:hAnsi="Times New Roman"/>
          <w:color w:val="231F20"/>
          <w:spacing w:val="-6"/>
          <w:sz w:val="13"/>
        </w:rPr>
        <w:t> </w:t>
      </w:r>
      <w:r>
        <w:rPr>
          <w:rFonts w:ascii="Times New Roman" w:hAnsi="Times New Roman"/>
          <w:color w:val="231F20"/>
          <w:sz w:val="13"/>
        </w:rPr>
        <w:t>lo</w:t>
      </w:r>
      <w:r>
        <w:rPr>
          <w:rFonts w:ascii="Times New Roman" w:hAnsi="Times New Roman"/>
          <w:color w:val="231F20"/>
          <w:spacing w:val="-7"/>
          <w:sz w:val="13"/>
        </w:rPr>
        <w:t> </w:t>
      </w:r>
      <w:r>
        <w:rPr>
          <w:rFonts w:ascii="Times New Roman" w:hAnsi="Times New Roman"/>
          <w:color w:val="231F20"/>
          <w:sz w:val="13"/>
        </w:rPr>
        <w:t>que</w:t>
      </w:r>
      <w:r>
        <w:rPr>
          <w:rFonts w:ascii="Times New Roman" w:hAnsi="Times New Roman"/>
          <w:color w:val="231F20"/>
          <w:spacing w:val="-6"/>
          <w:sz w:val="13"/>
        </w:rPr>
        <w:t> </w:t>
      </w:r>
      <w:r>
        <w:rPr>
          <w:rFonts w:ascii="Times New Roman" w:hAnsi="Times New Roman"/>
          <w:color w:val="231F20"/>
          <w:sz w:val="13"/>
        </w:rPr>
        <w:t>representa</w:t>
      </w:r>
      <w:r>
        <w:rPr>
          <w:rFonts w:ascii="Times New Roman" w:hAnsi="Times New Roman"/>
          <w:color w:val="231F20"/>
          <w:spacing w:val="-6"/>
          <w:sz w:val="13"/>
        </w:rPr>
        <w:t> </w:t>
      </w:r>
      <w:r>
        <w:rPr>
          <w:rFonts w:ascii="Times New Roman" w:hAnsi="Times New Roman"/>
          <w:color w:val="231F20"/>
          <w:sz w:val="13"/>
        </w:rPr>
        <w:t>18.65</w:t>
      </w:r>
      <w:r>
        <w:rPr>
          <w:rFonts w:ascii="Times New Roman" w:hAnsi="Times New Roman"/>
          <w:color w:val="231F20"/>
          <w:spacing w:val="-7"/>
          <w:sz w:val="13"/>
        </w:rPr>
        <w:t> </w:t>
      </w:r>
      <w:r>
        <w:rPr>
          <w:rFonts w:ascii="Times New Roman" w:hAnsi="Times New Roman"/>
          <w:color w:val="231F20"/>
          <w:sz w:val="13"/>
        </w:rPr>
        <w:t>%</w:t>
      </w:r>
      <w:r>
        <w:rPr>
          <w:rFonts w:ascii="Times New Roman" w:hAnsi="Times New Roman"/>
          <w:color w:val="231F20"/>
          <w:spacing w:val="-7"/>
          <w:sz w:val="13"/>
        </w:rPr>
        <w:t> </w:t>
      </w:r>
      <w:r>
        <w:rPr>
          <w:rFonts w:ascii="Times New Roman" w:hAnsi="Times New Roman"/>
          <w:color w:val="231F20"/>
          <w:sz w:val="13"/>
        </w:rPr>
        <w:t>más</w:t>
      </w:r>
      <w:r>
        <w:rPr>
          <w:rFonts w:ascii="Times New Roman" w:hAnsi="Times New Roman"/>
          <w:color w:val="231F20"/>
          <w:spacing w:val="-7"/>
          <w:sz w:val="13"/>
        </w:rPr>
        <w:t> </w:t>
      </w:r>
      <w:r>
        <w:rPr>
          <w:rFonts w:ascii="Times New Roman" w:hAnsi="Times New Roman"/>
          <w:color w:val="231F20"/>
          <w:sz w:val="13"/>
        </w:rPr>
        <w:t>de</w:t>
      </w:r>
      <w:r>
        <w:rPr>
          <w:rFonts w:ascii="Times New Roman" w:hAnsi="Times New Roman"/>
          <w:color w:val="231F20"/>
          <w:spacing w:val="-6"/>
          <w:sz w:val="13"/>
        </w:rPr>
        <w:t> </w:t>
      </w:r>
      <w:r>
        <w:rPr>
          <w:rFonts w:ascii="Times New Roman" w:hAnsi="Times New Roman"/>
          <w:color w:val="231F20"/>
          <w:sz w:val="13"/>
        </w:rPr>
        <w:t>los ingresos</w:t>
      </w:r>
      <w:r>
        <w:rPr>
          <w:rFonts w:ascii="Times New Roman" w:hAnsi="Times New Roman"/>
          <w:color w:val="231F20"/>
          <w:spacing w:val="-7"/>
          <w:sz w:val="13"/>
        </w:rPr>
        <w:t> </w:t>
      </w:r>
      <w:r>
        <w:rPr>
          <w:rFonts w:ascii="Times New Roman" w:hAnsi="Times New Roman"/>
          <w:color w:val="231F20"/>
          <w:sz w:val="13"/>
        </w:rPr>
        <w:t>que</w:t>
      </w:r>
      <w:r>
        <w:rPr>
          <w:rFonts w:ascii="Times New Roman" w:hAnsi="Times New Roman"/>
          <w:color w:val="231F20"/>
          <w:spacing w:val="-7"/>
          <w:sz w:val="13"/>
        </w:rPr>
        <w:t> </w:t>
      </w:r>
      <w:r>
        <w:rPr>
          <w:rFonts w:ascii="Times New Roman" w:hAnsi="Times New Roman"/>
          <w:color w:val="231F20"/>
          <w:sz w:val="13"/>
        </w:rPr>
        <w:t>obtendrían</w:t>
      </w:r>
      <w:r>
        <w:rPr>
          <w:rFonts w:ascii="Times New Roman" w:hAnsi="Times New Roman"/>
          <w:color w:val="231F20"/>
          <w:spacing w:val="-7"/>
          <w:sz w:val="13"/>
        </w:rPr>
        <w:t> </w:t>
      </w:r>
      <w:r>
        <w:rPr>
          <w:rFonts w:ascii="Times New Roman" w:hAnsi="Times New Roman"/>
          <w:color w:val="231F20"/>
          <w:sz w:val="13"/>
        </w:rPr>
        <w:t>durante</w:t>
      </w:r>
      <w:r>
        <w:rPr>
          <w:rFonts w:ascii="Times New Roman" w:hAnsi="Times New Roman"/>
          <w:color w:val="231F20"/>
          <w:spacing w:val="-7"/>
          <w:sz w:val="13"/>
        </w:rPr>
        <w:t> </w:t>
      </w:r>
      <w:r>
        <w:rPr>
          <w:rFonts w:ascii="Times New Roman" w:hAnsi="Times New Roman"/>
          <w:color w:val="231F20"/>
          <w:sz w:val="13"/>
        </w:rPr>
        <w:t>el</w:t>
      </w:r>
      <w:r>
        <w:rPr>
          <w:rFonts w:ascii="Times New Roman" w:hAnsi="Times New Roman"/>
          <w:color w:val="231F20"/>
          <w:spacing w:val="-7"/>
          <w:sz w:val="13"/>
        </w:rPr>
        <w:t> </w:t>
      </w:r>
      <w:r>
        <w:rPr>
          <w:rFonts w:ascii="Times New Roman" w:hAnsi="Times New Roman"/>
          <w:color w:val="231F20"/>
          <w:sz w:val="13"/>
        </w:rPr>
        <w:t>periodo</w:t>
      </w:r>
      <w:r>
        <w:rPr>
          <w:rFonts w:ascii="Times New Roman" w:hAnsi="Times New Roman"/>
          <w:color w:val="231F20"/>
          <w:spacing w:val="-7"/>
          <w:sz w:val="13"/>
        </w:rPr>
        <w:t> </w:t>
      </w:r>
      <w:r>
        <w:rPr>
          <w:rFonts w:ascii="Times New Roman" w:hAnsi="Times New Roman"/>
          <w:color w:val="231F20"/>
          <w:sz w:val="13"/>
        </w:rPr>
        <w:t>de</w:t>
      </w:r>
      <w:r>
        <w:rPr>
          <w:rFonts w:ascii="Times New Roman" w:hAnsi="Times New Roman"/>
          <w:color w:val="231F20"/>
          <w:spacing w:val="-7"/>
          <w:sz w:val="13"/>
        </w:rPr>
        <w:t> </w:t>
      </w:r>
      <w:r>
        <w:rPr>
          <w:rFonts w:ascii="Times New Roman" w:hAnsi="Times New Roman"/>
          <w:color w:val="231F20"/>
          <w:sz w:val="13"/>
        </w:rPr>
        <w:t>vida</w:t>
      </w:r>
      <w:r>
        <w:rPr>
          <w:rFonts w:ascii="Times New Roman" w:hAnsi="Times New Roman"/>
          <w:color w:val="231F20"/>
          <w:spacing w:val="-7"/>
          <w:sz w:val="13"/>
        </w:rPr>
        <w:t> </w:t>
      </w:r>
      <w:r>
        <w:rPr>
          <w:rFonts w:ascii="Times New Roman" w:hAnsi="Times New Roman"/>
          <w:color w:val="231F20"/>
          <w:sz w:val="13"/>
        </w:rPr>
        <w:t>las</w:t>
      </w:r>
      <w:r>
        <w:rPr>
          <w:rFonts w:ascii="Times New Roman" w:hAnsi="Times New Roman"/>
          <w:color w:val="231F20"/>
          <w:spacing w:val="-7"/>
          <w:sz w:val="13"/>
        </w:rPr>
        <w:t> </w:t>
      </w:r>
      <w:r>
        <w:rPr>
          <w:rFonts w:ascii="Times New Roman" w:hAnsi="Times New Roman"/>
          <w:color w:val="231F20"/>
          <w:sz w:val="13"/>
        </w:rPr>
        <w:t>parcelas</w:t>
      </w:r>
      <w:r>
        <w:rPr>
          <w:rFonts w:ascii="Times New Roman" w:hAnsi="Times New Roman"/>
          <w:color w:val="231F20"/>
          <w:spacing w:val="-7"/>
          <w:sz w:val="13"/>
        </w:rPr>
        <w:t> </w:t>
      </w:r>
      <w:r>
        <w:rPr>
          <w:rFonts w:ascii="Times New Roman" w:hAnsi="Times New Roman"/>
          <w:color w:val="231F20"/>
          <w:sz w:val="13"/>
        </w:rPr>
        <w:t>que</w:t>
      </w:r>
      <w:r>
        <w:rPr>
          <w:rFonts w:ascii="Times New Roman" w:hAnsi="Times New Roman"/>
          <w:color w:val="231F20"/>
          <w:spacing w:val="-7"/>
          <w:sz w:val="13"/>
        </w:rPr>
        <w:t> </w:t>
      </w:r>
      <w:r>
        <w:rPr>
          <w:rFonts w:ascii="Times New Roman" w:hAnsi="Times New Roman"/>
          <w:color w:val="231F20"/>
          <w:sz w:val="13"/>
        </w:rPr>
        <w:t>aplican</w:t>
      </w:r>
      <w:r>
        <w:rPr>
          <w:rFonts w:ascii="Times New Roman" w:hAnsi="Times New Roman"/>
          <w:color w:val="231F20"/>
          <w:spacing w:val="-7"/>
          <w:sz w:val="13"/>
        </w:rPr>
        <w:t> </w:t>
      </w:r>
      <w:r>
        <w:rPr>
          <w:rFonts w:ascii="Times New Roman" w:hAnsi="Times New Roman"/>
          <w:color w:val="231F20"/>
          <w:sz w:val="13"/>
        </w:rPr>
        <w:t>fungicidas en dosis arriba de lo</w:t>
      </w:r>
      <w:r>
        <w:rPr>
          <w:rFonts w:ascii="Times New Roman" w:hAnsi="Times New Roman"/>
          <w:color w:val="231F20"/>
          <w:spacing w:val="-13"/>
          <w:sz w:val="13"/>
        </w:rPr>
        <w:t> </w:t>
      </w:r>
      <w:r>
        <w:rPr>
          <w:rFonts w:ascii="Times New Roman" w:hAnsi="Times New Roman"/>
          <w:color w:val="231F20"/>
          <w:sz w:val="13"/>
        </w:rPr>
        <w:t>recomendado.</w:t>
      </w:r>
    </w:p>
    <w:p>
      <w:pPr>
        <w:pStyle w:val="BodyText"/>
        <w:rPr>
          <w:rFonts w:ascii="Times New Roman"/>
          <w:sz w:val="12"/>
        </w:rPr>
      </w:pPr>
    </w:p>
    <w:p>
      <w:pPr>
        <w:pStyle w:val="BodyText"/>
        <w:rPr>
          <w:rFonts w:ascii="Times New Roman"/>
          <w:sz w:val="12"/>
        </w:rPr>
      </w:pPr>
    </w:p>
    <w:p>
      <w:pPr>
        <w:spacing w:before="0"/>
        <w:ind w:left="1542" w:right="0" w:firstLine="0"/>
        <w:jc w:val="both"/>
        <w:rPr>
          <w:rFonts w:ascii="Times New Roman"/>
          <w:sz w:val="14"/>
        </w:rPr>
      </w:pPr>
      <w:r>
        <w:rPr>
          <w:rFonts w:ascii="Times New Roman"/>
          <w:color w:val="231F20"/>
          <w:sz w:val="14"/>
        </w:rPr>
        <w:t>Key words: pattern of use, chlorothalonil, metalaxyl,  fenamidone</w:t>
      </w:r>
    </w:p>
    <w:p>
      <w:pPr>
        <w:pStyle w:val="BodyText"/>
        <w:rPr>
          <w:rFonts w:ascii="Times New Roman"/>
          <w:sz w:val="14"/>
        </w:rPr>
      </w:pPr>
    </w:p>
    <w:p>
      <w:pPr>
        <w:pStyle w:val="BodyText"/>
        <w:spacing w:before="7"/>
        <w:rPr>
          <w:rFonts w:ascii="Times New Roman"/>
          <w:sz w:val="13"/>
        </w:rPr>
      </w:pPr>
    </w:p>
    <w:p>
      <w:pPr>
        <w:spacing w:before="0"/>
        <w:ind w:left="63" w:right="78" w:firstLine="0"/>
        <w:jc w:val="center"/>
        <w:rPr>
          <w:rFonts w:ascii="Times New Roman"/>
          <w:b/>
          <w:sz w:val="13"/>
        </w:rPr>
      </w:pPr>
      <w:r>
        <w:rPr>
          <w:rFonts w:ascii="Times New Roman"/>
          <w:b/>
          <w:color w:val="231F20"/>
          <w:sz w:val="13"/>
        </w:rPr>
        <w:t>ABSTRACT</w:t>
      </w:r>
    </w:p>
    <w:p>
      <w:pPr>
        <w:pStyle w:val="BodyText"/>
        <w:spacing w:before="1"/>
        <w:rPr>
          <w:rFonts w:ascii="Times New Roman"/>
          <w:b/>
          <w:sz w:val="12"/>
        </w:rPr>
      </w:pPr>
    </w:p>
    <w:p>
      <w:pPr>
        <w:spacing w:line="140" w:lineRule="exact" w:before="0"/>
        <w:ind w:left="2460" w:right="2473" w:firstLine="0"/>
        <w:jc w:val="both"/>
        <w:rPr>
          <w:rFonts w:ascii="Times New Roman"/>
          <w:sz w:val="13"/>
        </w:rPr>
      </w:pPr>
      <w:r>
        <w:rPr>
          <w:rFonts w:ascii="Times New Roman"/>
          <w:color w:val="231F20"/>
          <w:sz w:val="13"/>
        </w:rPr>
        <w:t>In this </w:t>
      </w:r>
      <w:r>
        <w:rPr>
          <w:rFonts w:ascii="Times New Roman"/>
          <w:color w:val="231F20"/>
          <w:spacing w:val="-3"/>
          <w:sz w:val="13"/>
        </w:rPr>
        <w:t>study, </w:t>
      </w:r>
      <w:r>
        <w:rPr>
          <w:rFonts w:ascii="Times New Roman"/>
          <w:color w:val="231F20"/>
          <w:sz w:val="13"/>
        </w:rPr>
        <w:t>the pattern of use and cleaning-up costs of fungicides in soils used to control </w:t>
      </w:r>
      <w:r>
        <w:rPr>
          <w:rFonts w:ascii="Times New Roman"/>
          <w:i/>
          <w:color w:val="231F20"/>
          <w:sz w:val="13"/>
        </w:rPr>
        <w:t>Phytophthora infestans </w:t>
      </w:r>
      <w:r>
        <w:rPr>
          <w:rFonts w:ascii="Times New Roman"/>
          <w:color w:val="231F20"/>
          <w:sz w:val="13"/>
        </w:rPr>
        <w:t>in potato crops were determined in the municipality of</w:t>
      </w:r>
      <w:r>
        <w:rPr>
          <w:rFonts w:ascii="Times New Roman"/>
          <w:color w:val="231F20"/>
          <w:spacing w:val="-5"/>
          <w:sz w:val="13"/>
        </w:rPr>
        <w:t> </w:t>
      </w:r>
      <w:r>
        <w:rPr>
          <w:rFonts w:ascii="Times New Roman"/>
          <w:color w:val="231F20"/>
          <w:sz w:val="13"/>
        </w:rPr>
        <w:t>Zinacantepec,</w:t>
      </w:r>
      <w:r>
        <w:rPr>
          <w:rFonts w:ascii="Times New Roman"/>
          <w:color w:val="231F20"/>
          <w:spacing w:val="-5"/>
          <w:sz w:val="13"/>
        </w:rPr>
        <w:t> </w:t>
      </w:r>
      <w:r>
        <w:rPr>
          <w:rFonts w:ascii="Times New Roman"/>
          <w:color w:val="231F20"/>
          <w:sz w:val="13"/>
        </w:rPr>
        <w:t>State</w:t>
      </w:r>
      <w:r>
        <w:rPr>
          <w:rFonts w:ascii="Times New Roman"/>
          <w:color w:val="231F20"/>
          <w:spacing w:val="-5"/>
          <w:sz w:val="13"/>
        </w:rPr>
        <w:t> </w:t>
      </w:r>
      <w:r>
        <w:rPr>
          <w:rFonts w:ascii="Times New Roman"/>
          <w:color w:val="231F20"/>
          <w:sz w:val="13"/>
        </w:rPr>
        <w:t>of</w:t>
      </w:r>
      <w:r>
        <w:rPr>
          <w:rFonts w:ascii="Times New Roman"/>
          <w:color w:val="231F20"/>
          <w:spacing w:val="-5"/>
          <w:sz w:val="13"/>
        </w:rPr>
        <w:t> </w:t>
      </w:r>
      <w:r>
        <w:rPr>
          <w:rFonts w:ascii="Times New Roman"/>
          <w:color w:val="231F20"/>
          <w:sz w:val="13"/>
        </w:rPr>
        <w:t>Mexico.</w:t>
      </w:r>
      <w:r>
        <w:rPr>
          <w:rFonts w:ascii="Times New Roman"/>
          <w:color w:val="231F20"/>
          <w:spacing w:val="-4"/>
          <w:sz w:val="13"/>
        </w:rPr>
        <w:t> </w:t>
      </w:r>
      <w:r>
        <w:rPr>
          <w:rFonts w:ascii="Times New Roman"/>
          <w:color w:val="231F20"/>
          <w:sz w:val="13"/>
        </w:rPr>
        <w:t>In</w:t>
      </w:r>
      <w:r>
        <w:rPr>
          <w:rFonts w:ascii="Times New Roman"/>
          <w:color w:val="231F20"/>
          <w:spacing w:val="-5"/>
          <w:sz w:val="13"/>
        </w:rPr>
        <w:t> </w:t>
      </w:r>
      <w:r>
        <w:rPr>
          <w:rFonts w:ascii="Times New Roman"/>
          <w:color w:val="231F20"/>
          <w:sz w:val="13"/>
        </w:rPr>
        <w:t>the</w:t>
      </w:r>
      <w:r>
        <w:rPr>
          <w:rFonts w:ascii="Times New Roman"/>
          <w:color w:val="231F20"/>
          <w:spacing w:val="-5"/>
          <w:sz w:val="13"/>
        </w:rPr>
        <w:t> </w:t>
      </w:r>
      <w:r>
        <w:rPr>
          <w:rFonts w:ascii="Times New Roman"/>
          <w:color w:val="231F20"/>
          <w:sz w:val="13"/>
        </w:rPr>
        <w:t>plots</w:t>
      </w:r>
      <w:r>
        <w:rPr>
          <w:rFonts w:ascii="Times New Roman"/>
          <w:color w:val="231F20"/>
          <w:spacing w:val="-5"/>
          <w:sz w:val="13"/>
        </w:rPr>
        <w:t> </w:t>
      </w:r>
      <w:r>
        <w:rPr>
          <w:rFonts w:ascii="Times New Roman"/>
          <w:color w:val="231F20"/>
          <w:sz w:val="13"/>
        </w:rPr>
        <w:t>of</w:t>
      </w:r>
      <w:r>
        <w:rPr>
          <w:rFonts w:ascii="Times New Roman"/>
          <w:color w:val="231F20"/>
          <w:spacing w:val="-5"/>
          <w:sz w:val="13"/>
        </w:rPr>
        <w:t> </w:t>
      </w:r>
      <w:r>
        <w:rPr>
          <w:rFonts w:ascii="Times New Roman"/>
          <w:color w:val="231F20"/>
          <w:sz w:val="13"/>
        </w:rPr>
        <w:t>seasonal</w:t>
      </w:r>
      <w:r>
        <w:rPr>
          <w:rFonts w:ascii="Times New Roman"/>
          <w:color w:val="231F20"/>
          <w:spacing w:val="-4"/>
          <w:sz w:val="13"/>
        </w:rPr>
        <w:t> </w:t>
      </w:r>
      <w:r>
        <w:rPr>
          <w:rFonts w:ascii="Times New Roman"/>
          <w:color w:val="231F20"/>
          <w:sz w:val="13"/>
        </w:rPr>
        <w:t>agriculture,</w:t>
      </w:r>
      <w:r>
        <w:rPr>
          <w:rFonts w:ascii="Times New Roman"/>
          <w:color w:val="231F20"/>
          <w:spacing w:val="-5"/>
          <w:sz w:val="13"/>
        </w:rPr>
        <w:t> </w:t>
      </w:r>
      <w:r>
        <w:rPr>
          <w:rFonts w:ascii="Times New Roman"/>
          <w:color w:val="231F20"/>
          <w:sz w:val="13"/>
        </w:rPr>
        <w:t>the</w:t>
      </w:r>
      <w:r>
        <w:rPr>
          <w:rFonts w:ascii="Times New Roman"/>
          <w:color w:val="231F20"/>
          <w:spacing w:val="-5"/>
          <w:sz w:val="13"/>
        </w:rPr>
        <w:t> </w:t>
      </w:r>
      <w:r>
        <w:rPr>
          <w:rFonts w:ascii="Times New Roman"/>
          <w:color w:val="231F20"/>
          <w:sz w:val="13"/>
        </w:rPr>
        <w:t>excesses</w:t>
      </w:r>
      <w:r>
        <w:rPr>
          <w:rFonts w:ascii="Times New Roman"/>
          <w:color w:val="231F20"/>
          <w:spacing w:val="-5"/>
          <w:sz w:val="13"/>
        </w:rPr>
        <w:t> </w:t>
      </w:r>
      <w:r>
        <w:rPr>
          <w:rFonts w:ascii="Times New Roman"/>
          <w:color w:val="231F20"/>
          <w:sz w:val="13"/>
        </w:rPr>
        <w:t>of chlorothalonil</w:t>
      </w:r>
      <w:r>
        <w:rPr>
          <w:rFonts w:ascii="Times New Roman"/>
          <w:color w:val="231F20"/>
          <w:spacing w:val="-17"/>
          <w:sz w:val="13"/>
        </w:rPr>
        <w:t> </w:t>
      </w:r>
      <w:r>
        <w:rPr>
          <w:rFonts w:ascii="Times New Roman"/>
          <w:color w:val="231F20"/>
          <w:sz w:val="13"/>
        </w:rPr>
        <w:t>were</w:t>
      </w:r>
      <w:r>
        <w:rPr>
          <w:rFonts w:ascii="Times New Roman"/>
          <w:color w:val="231F20"/>
          <w:spacing w:val="-17"/>
          <w:sz w:val="13"/>
        </w:rPr>
        <w:t> </w:t>
      </w:r>
      <w:r>
        <w:rPr>
          <w:rFonts w:ascii="Times New Roman"/>
          <w:color w:val="231F20"/>
          <w:sz w:val="13"/>
        </w:rPr>
        <w:t>1.13</w:t>
      </w:r>
      <w:r>
        <w:rPr>
          <w:rFonts w:ascii="Times New Roman"/>
          <w:color w:val="231F20"/>
          <w:spacing w:val="-17"/>
          <w:sz w:val="13"/>
        </w:rPr>
        <w:t> </w:t>
      </w:r>
      <w:r>
        <w:rPr>
          <w:rFonts w:ascii="Times New Roman"/>
          <w:color w:val="231F20"/>
          <w:sz w:val="13"/>
        </w:rPr>
        <w:t>kg/ha</w:t>
      </w:r>
      <w:r>
        <w:rPr>
          <w:rFonts w:ascii="Times New Roman"/>
          <w:color w:val="231F20"/>
          <w:spacing w:val="-17"/>
          <w:sz w:val="13"/>
        </w:rPr>
        <w:t> </w:t>
      </w:r>
      <w:r>
        <w:rPr>
          <w:rFonts w:ascii="Times New Roman"/>
          <w:color w:val="231F20"/>
          <w:sz w:val="13"/>
        </w:rPr>
        <w:t>of</w:t>
      </w:r>
      <w:r>
        <w:rPr>
          <w:rFonts w:ascii="Times New Roman"/>
          <w:color w:val="231F20"/>
          <w:spacing w:val="-17"/>
          <w:sz w:val="13"/>
        </w:rPr>
        <w:t> </w:t>
      </w:r>
      <w:r>
        <w:rPr>
          <w:rFonts w:ascii="Times New Roman"/>
          <w:color w:val="231F20"/>
          <w:sz w:val="13"/>
        </w:rPr>
        <w:t>active</w:t>
      </w:r>
      <w:r>
        <w:rPr>
          <w:rFonts w:ascii="Times New Roman"/>
          <w:color w:val="231F20"/>
          <w:spacing w:val="-17"/>
          <w:sz w:val="13"/>
        </w:rPr>
        <w:t> </w:t>
      </w:r>
      <w:r>
        <w:rPr>
          <w:rFonts w:ascii="Times New Roman"/>
          <w:color w:val="231F20"/>
          <w:sz w:val="13"/>
        </w:rPr>
        <w:t>ingredient</w:t>
      </w:r>
      <w:r>
        <w:rPr>
          <w:rFonts w:ascii="Times New Roman"/>
          <w:color w:val="231F20"/>
          <w:spacing w:val="-17"/>
          <w:sz w:val="13"/>
        </w:rPr>
        <w:t> </w:t>
      </w:r>
      <w:r>
        <w:rPr>
          <w:rFonts w:ascii="Times New Roman"/>
          <w:color w:val="231F20"/>
          <w:sz w:val="13"/>
        </w:rPr>
        <w:t>while</w:t>
      </w:r>
      <w:r>
        <w:rPr>
          <w:rFonts w:ascii="Times New Roman"/>
          <w:color w:val="231F20"/>
          <w:spacing w:val="-17"/>
          <w:sz w:val="13"/>
        </w:rPr>
        <w:t> </w:t>
      </w:r>
      <w:r>
        <w:rPr>
          <w:rFonts w:ascii="Times New Roman"/>
          <w:color w:val="231F20"/>
          <w:sz w:val="13"/>
        </w:rPr>
        <w:t>for</w:t>
      </w:r>
      <w:r>
        <w:rPr>
          <w:rFonts w:ascii="Times New Roman"/>
          <w:color w:val="231F20"/>
          <w:spacing w:val="-17"/>
          <w:sz w:val="13"/>
        </w:rPr>
        <w:t> </w:t>
      </w:r>
      <w:r>
        <w:rPr>
          <w:rFonts w:ascii="Times New Roman"/>
          <w:color w:val="231F20"/>
          <w:sz w:val="13"/>
        </w:rPr>
        <w:t>metalaxyl</w:t>
      </w:r>
      <w:r>
        <w:rPr>
          <w:rFonts w:ascii="Times New Roman"/>
          <w:color w:val="231F20"/>
          <w:spacing w:val="-17"/>
          <w:sz w:val="13"/>
        </w:rPr>
        <w:t> </w:t>
      </w:r>
      <w:r>
        <w:rPr>
          <w:rFonts w:ascii="Times New Roman"/>
          <w:color w:val="231F20"/>
          <w:sz w:val="13"/>
        </w:rPr>
        <w:t>and</w:t>
      </w:r>
      <w:r>
        <w:rPr>
          <w:rFonts w:ascii="Times New Roman"/>
          <w:color w:val="231F20"/>
          <w:spacing w:val="-17"/>
          <w:sz w:val="13"/>
        </w:rPr>
        <w:t> </w:t>
      </w:r>
      <w:r>
        <w:rPr>
          <w:rFonts w:ascii="Times New Roman"/>
          <w:color w:val="231F20"/>
          <w:sz w:val="13"/>
        </w:rPr>
        <w:t>fenamidone were 0.65 and 0.52 kg/ha respectively; this represents the double of excesses applied in</w:t>
      </w:r>
      <w:r>
        <w:rPr>
          <w:rFonts w:ascii="Times New Roman"/>
          <w:color w:val="231F20"/>
          <w:spacing w:val="-8"/>
          <w:sz w:val="13"/>
        </w:rPr>
        <w:t> </w:t>
      </w:r>
      <w:r>
        <w:rPr>
          <w:rFonts w:ascii="Times New Roman"/>
          <w:color w:val="231F20"/>
          <w:sz w:val="13"/>
        </w:rPr>
        <w:t>plots</w:t>
      </w:r>
      <w:r>
        <w:rPr>
          <w:rFonts w:ascii="Times New Roman"/>
          <w:color w:val="231F20"/>
          <w:spacing w:val="-8"/>
          <w:sz w:val="13"/>
        </w:rPr>
        <w:t> </w:t>
      </w:r>
      <w:r>
        <w:rPr>
          <w:rFonts w:ascii="Times New Roman"/>
          <w:color w:val="231F20"/>
          <w:sz w:val="13"/>
        </w:rPr>
        <w:t>of</w:t>
      </w:r>
      <w:r>
        <w:rPr>
          <w:rFonts w:ascii="Times New Roman"/>
          <w:color w:val="231F20"/>
          <w:spacing w:val="-8"/>
          <w:sz w:val="13"/>
        </w:rPr>
        <w:t> </w:t>
      </w:r>
      <w:r>
        <w:rPr>
          <w:rFonts w:ascii="Times New Roman"/>
          <w:color w:val="231F20"/>
          <w:sz w:val="13"/>
        </w:rPr>
        <w:t>irrigation</w:t>
      </w:r>
      <w:r>
        <w:rPr>
          <w:rFonts w:ascii="Times New Roman"/>
          <w:color w:val="231F20"/>
          <w:spacing w:val="-8"/>
          <w:sz w:val="13"/>
        </w:rPr>
        <w:t> </w:t>
      </w:r>
      <w:r>
        <w:rPr>
          <w:rFonts w:ascii="Times New Roman"/>
          <w:color w:val="231F20"/>
          <w:sz w:val="13"/>
        </w:rPr>
        <w:t>agriculture.</w:t>
      </w:r>
      <w:r>
        <w:rPr>
          <w:rFonts w:ascii="Times New Roman"/>
          <w:color w:val="231F20"/>
          <w:spacing w:val="-9"/>
          <w:sz w:val="13"/>
        </w:rPr>
        <w:t> </w:t>
      </w:r>
      <w:r>
        <w:rPr>
          <w:rFonts w:ascii="Times New Roman"/>
          <w:color w:val="231F20"/>
          <w:sz w:val="13"/>
        </w:rPr>
        <w:t>It</w:t>
      </w:r>
      <w:r>
        <w:rPr>
          <w:rFonts w:ascii="Times New Roman"/>
          <w:color w:val="231F20"/>
          <w:spacing w:val="-8"/>
          <w:sz w:val="13"/>
        </w:rPr>
        <w:t> </w:t>
      </w:r>
      <w:r>
        <w:rPr>
          <w:rFonts w:ascii="Times New Roman"/>
          <w:color w:val="231F20"/>
          <w:sz w:val="13"/>
        </w:rPr>
        <w:t>was</w:t>
      </w:r>
      <w:r>
        <w:rPr>
          <w:rFonts w:ascii="Times New Roman"/>
          <w:color w:val="231F20"/>
          <w:spacing w:val="-8"/>
          <w:sz w:val="13"/>
        </w:rPr>
        <w:t> </w:t>
      </w:r>
      <w:r>
        <w:rPr>
          <w:rFonts w:ascii="Times New Roman"/>
          <w:color w:val="231F20"/>
          <w:sz w:val="13"/>
        </w:rPr>
        <w:t>determined</w:t>
      </w:r>
      <w:r>
        <w:rPr>
          <w:rFonts w:ascii="Times New Roman"/>
          <w:color w:val="231F20"/>
          <w:spacing w:val="-8"/>
          <w:sz w:val="13"/>
        </w:rPr>
        <w:t> </w:t>
      </w:r>
      <w:r>
        <w:rPr>
          <w:rFonts w:ascii="Times New Roman"/>
          <w:color w:val="231F20"/>
          <w:sz w:val="13"/>
        </w:rPr>
        <w:t>that</w:t>
      </w:r>
      <w:r>
        <w:rPr>
          <w:rFonts w:ascii="Times New Roman"/>
          <w:color w:val="231F20"/>
          <w:spacing w:val="-8"/>
          <w:sz w:val="13"/>
        </w:rPr>
        <w:t> </w:t>
      </w:r>
      <w:r>
        <w:rPr>
          <w:rFonts w:ascii="Times New Roman"/>
          <w:color w:val="231F20"/>
          <w:sz w:val="13"/>
        </w:rPr>
        <w:t>the</w:t>
      </w:r>
      <w:r>
        <w:rPr>
          <w:rFonts w:ascii="Times New Roman"/>
          <w:color w:val="231F20"/>
          <w:spacing w:val="-8"/>
          <w:sz w:val="13"/>
        </w:rPr>
        <w:t> </w:t>
      </w:r>
      <w:r>
        <w:rPr>
          <w:rFonts w:ascii="Times New Roman"/>
          <w:color w:val="231F20"/>
          <w:sz w:val="13"/>
        </w:rPr>
        <w:t>minimum</w:t>
      </w:r>
      <w:r>
        <w:rPr>
          <w:rFonts w:ascii="Times New Roman"/>
          <w:color w:val="231F20"/>
          <w:spacing w:val="-8"/>
          <w:sz w:val="13"/>
        </w:rPr>
        <w:t> </w:t>
      </w:r>
      <w:r>
        <w:rPr>
          <w:rFonts w:ascii="Times New Roman"/>
          <w:color w:val="231F20"/>
          <w:sz w:val="13"/>
        </w:rPr>
        <w:t>cost</w:t>
      </w:r>
      <w:r>
        <w:rPr>
          <w:rFonts w:ascii="Times New Roman"/>
          <w:color w:val="231F20"/>
          <w:spacing w:val="-8"/>
          <w:sz w:val="13"/>
        </w:rPr>
        <w:t> </w:t>
      </w:r>
      <w:r>
        <w:rPr>
          <w:rFonts w:ascii="Times New Roman"/>
          <w:color w:val="231F20"/>
          <w:sz w:val="13"/>
        </w:rPr>
        <w:t>of</w:t>
      </w:r>
      <w:r>
        <w:rPr>
          <w:rFonts w:ascii="Times New Roman"/>
          <w:color w:val="231F20"/>
          <w:spacing w:val="-8"/>
          <w:sz w:val="13"/>
        </w:rPr>
        <w:t> </w:t>
      </w:r>
      <w:r>
        <w:rPr>
          <w:rFonts w:ascii="Times New Roman"/>
          <w:color w:val="231F20"/>
          <w:sz w:val="13"/>
        </w:rPr>
        <w:t>cleaning-</w:t>
      </w:r>
    </w:p>
    <w:p>
      <w:pPr>
        <w:spacing w:after="0" w:line="140" w:lineRule="exact"/>
        <w:jc w:val="both"/>
        <w:rPr>
          <w:rFonts w:ascii="Times New Roman"/>
          <w:sz w:val="13"/>
        </w:rPr>
        <w:sectPr>
          <w:pgSz w:w="12240" w:h="15840"/>
          <w:pgMar w:header="719" w:footer="740" w:top="1260" w:bottom="920" w:left="1460" w:right="14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8"/>
        </w:rPr>
      </w:pPr>
    </w:p>
    <w:p>
      <w:pPr>
        <w:tabs>
          <w:tab w:pos="4058" w:val="left" w:leader="none"/>
        </w:tabs>
        <w:spacing w:before="82"/>
        <w:ind w:left="1188" w:right="0" w:firstLine="0"/>
        <w:jc w:val="left"/>
        <w:rPr>
          <w:rFonts w:ascii="Times New Roman" w:hAnsi="Times New Roman"/>
          <w:i/>
          <w:sz w:val="13"/>
        </w:rPr>
      </w:pPr>
      <w:r>
        <w:rPr>
          <w:rFonts w:ascii="Times New Roman" w:hAnsi="Times New Roman"/>
          <w:color w:val="231F20"/>
          <w:position w:val="1"/>
          <w:sz w:val="14"/>
        </w:rPr>
        <w:t>296</w:t>
        <w:tab/>
      </w:r>
      <w:r>
        <w:rPr>
          <w:rFonts w:ascii="Times New Roman" w:hAnsi="Times New Roman"/>
          <w:color w:val="231F20"/>
          <w:sz w:val="13"/>
        </w:rPr>
        <w:t>C.A. López Orona </w:t>
      </w:r>
      <w:r>
        <w:rPr>
          <w:rFonts w:ascii="Times New Roman" w:hAnsi="Times New Roman"/>
          <w:i/>
          <w:color w:val="231F20"/>
          <w:sz w:val="13"/>
        </w:rPr>
        <w:t>et</w:t>
      </w:r>
      <w:r>
        <w:rPr>
          <w:rFonts w:ascii="Times New Roman" w:hAnsi="Times New Roman"/>
          <w:i/>
          <w:color w:val="231F20"/>
          <w:spacing w:val="3"/>
          <w:sz w:val="13"/>
        </w:rPr>
        <w:t> </w:t>
      </w:r>
      <w:r>
        <w:rPr>
          <w:rFonts w:ascii="Times New Roman" w:hAnsi="Times New Roman"/>
          <w:i/>
          <w:color w:val="231F20"/>
          <w:sz w:val="13"/>
        </w:rPr>
        <w:t>al.</w:t>
      </w:r>
    </w:p>
    <w:p>
      <w:pPr>
        <w:pStyle w:val="BodyText"/>
        <w:spacing w:before="5"/>
        <w:rPr>
          <w:rFonts w:ascii="Times New Roman"/>
          <w:i/>
          <w:sz w:val="21"/>
        </w:rPr>
      </w:pPr>
    </w:p>
    <w:p>
      <w:pPr>
        <w:spacing w:line="156" w:lineRule="exact" w:before="92"/>
        <w:ind w:left="2218" w:right="2178" w:firstLine="0"/>
        <w:jc w:val="both"/>
        <w:rPr>
          <w:rFonts w:ascii="Times New Roman"/>
          <w:sz w:val="14"/>
        </w:rPr>
      </w:pPr>
      <w:r>
        <w:rPr>
          <w:rFonts w:ascii="Times New Roman"/>
          <w:color w:val="231F20"/>
          <w:w w:val="105"/>
          <w:sz w:val="14"/>
        </w:rPr>
        <w:t>up</w:t>
      </w:r>
      <w:r>
        <w:rPr>
          <w:rFonts w:ascii="Times New Roman"/>
          <w:color w:val="231F20"/>
          <w:spacing w:val="-5"/>
          <w:w w:val="105"/>
          <w:sz w:val="14"/>
        </w:rPr>
        <w:t> </w:t>
      </w:r>
      <w:r>
        <w:rPr>
          <w:rFonts w:ascii="Times New Roman"/>
          <w:color w:val="231F20"/>
          <w:w w:val="105"/>
          <w:sz w:val="14"/>
        </w:rPr>
        <w:t>one</w:t>
      </w:r>
      <w:r>
        <w:rPr>
          <w:rFonts w:ascii="Times New Roman"/>
          <w:color w:val="231F20"/>
          <w:spacing w:val="-5"/>
          <w:w w:val="105"/>
          <w:sz w:val="14"/>
        </w:rPr>
        <w:t> </w:t>
      </w:r>
      <w:r>
        <w:rPr>
          <w:rFonts w:ascii="Times New Roman"/>
          <w:color w:val="231F20"/>
          <w:w w:val="105"/>
          <w:sz w:val="14"/>
        </w:rPr>
        <w:t>hectare</w:t>
      </w:r>
      <w:r>
        <w:rPr>
          <w:rFonts w:ascii="Times New Roman"/>
          <w:color w:val="231F20"/>
          <w:spacing w:val="-5"/>
          <w:w w:val="105"/>
          <w:sz w:val="14"/>
        </w:rPr>
        <w:t> </w:t>
      </w:r>
      <w:r>
        <w:rPr>
          <w:rFonts w:ascii="Times New Roman"/>
          <w:color w:val="231F20"/>
          <w:w w:val="105"/>
          <w:sz w:val="14"/>
        </w:rPr>
        <w:t>of</w:t>
      </w:r>
      <w:r>
        <w:rPr>
          <w:rFonts w:ascii="Times New Roman"/>
          <w:color w:val="231F20"/>
          <w:spacing w:val="-5"/>
          <w:w w:val="105"/>
          <w:sz w:val="14"/>
        </w:rPr>
        <w:t> </w:t>
      </w:r>
      <w:r>
        <w:rPr>
          <w:rFonts w:ascii="Times New Roman"/>
          <w:color w:val="231F20"/>
          <w:w w:val="105"/>
          <w:sz w:val="14"/>
        </w:rPr>
        <w:t>potato</w:t>
      </w:r>
      <w:r>
        <w:rPr>
          <w:rFonts w:ascii="Times New Roman"/>
          <w:color w:val="231F20"/>
          <w:spacing w:val="-5"/>
          <w:w w:val="105"/>
          <w:sz w:val="14"/>
        </w:rPr>
        <w:t> </w:t>
      </w:r>
      <w:r>
        <w:rPr>
          <w:rFonts w:ascii="Times New Roman"/>
          <w:color w:val="231F20"/>
          <w:w w:val="105"/>
          <w:sz w:val="14"/>
        </w:rPr>
        <w:t>crops</w:t>
      </w:r>
      <w:r>
        <w:rPr>
          <w:rFonts w:ascii="Times New Roman"/>
          <w:color w:val="231F20"/>
          <w:spacing w:val="-5"/>
          <w:w w:val="105"/>
          <w:sz w:val="14"/>
        </w:rPr>
        <w:t> </w:t>
      </w:r>
      <w:r>
        <w:rPr>
          <w:rFonts w:ascii="Times New Roman"/>
          <w:color w:val="231F20"/>
          <w:w w:val="105"/>
          <w:sz w:val="14"/>
        </w:rPr>
        <w:t>is</w:t>
      </w:r>
      <w:r>
        <w:rPr>
          <w:rFonts w:ascii="Times New Roman"/>
          <w:color w:val="231F20"/>
          <w:spacing w:val="-5"/>
          <w:w w:val="105"/>
          <w:sz w:val="14"/>
        </w:rPr>
        <w:t> </w:t>
      </w:r>
      <w:r>
        <w:rPr>
          <w:rFonts w:ascii="Times New Roman"/>
          <w:color w:val="231F20"/>
          <w:w w:val="105"/>
          <w:sz w:val="14"/>
        </w:rPr>
        <w:t>2.73</w:t>
      </w:r>
      <w:r>
        <w:rPr>
          <w:rFonts w:ascii="Times New Roman"/>
          <w:color w:val="231F20"/>
          <w:spacing w:val="-5"/>
          <w:w w:val="105"/>
          <w:sz w:val="14"/>
        </w:rPr>
        <w:t> </w:t>
      </w:r>
      <w:r>
        <w:rPr>
          <w:rFonts w:ascii="Times New Roman"/>
          <w:color w:val="231F20"/>
          <w:w w:val="105"/>
          <w:sz w:val="14"/>
        </w:rPr>
        <w:t>million</w:t>
      </w:r>
      <w:r>
        <w:rPr>
          <w:rFonts w:ascii="Times New Roman"/>
          <w:color w:val="231F20"/>
          <w:spacing w:val="-5"/>
          <w:w w:val="105"/>
          <w:sz w:val="14"/>
        </w:rPr>
        <w:t> </w:t>
      </w:r>
      <w:r>
        <w:rPr>
          <w:rFonts w:ascii="Times New Roman"/>
          <w:color w:val="231F20"/>
          <w:w w:val="105"/>
          <w:sz w:val="14"/>
        </w:rPr>
        <w:t>of</w:t>
      </w:r>
      <w:r>
        <w:rPr>
          <w:rFonts w:ascii="Times New Roman"/>
          <w:color w:val="231F20"/>
          <w:spacing w:val="-5"/>
          <w:w w:val="105"/>
          <w:sz w:val="14"/>
        </w:rPr>
        <w:t> </w:t>
      </w:r>
      <w:r>
        <w:rPr>
          <w:rFonts w:ascii="Times New Roman"/>
          <w:color w:val="231F20"/>
          <w:w w:val="105"/>
          <w:sz w:val="14"/>
        </w:rPr>
        <w:t>Mexican</w:t>
      </w:r>
      <w:r>
        <w:rPr>
          <w:rFonts w:ascii="Times New Roman"/>
          <w:color w:val="231F20"/>
          <w:spacing w:val="-5"/>
          <w:w w:val="105"/>
          <w:sz w:val="14"/>
        </w:rPr>
        <w:t> </w:t>
      </w:r>
      <w:r>
        <w:rPr>
          <w:rFonts w:ascii="Times New Roman"/>
          <w:color w:val="231F20"/>
          <w:w w:val="105"/>
          <w:sz w:val="14"/>
        </w:rPr>
        <w:t>pesos</w:t>
      </w:r>
      <w:r>
        <w:rPr>
          <w:rFonts w:ascii="Times New Roman"/>
          <w:color w:val="231F20"/>
          <w:spacing w:val="-5"/>
          <w:w w:val="105"/>
          <w:sz w:val="14"/>
        </w:rPr>
        <w:t> </w:t>
      </w:r>
      <w:r>
        <w:rPr>
          <w:rFonts w:ascii="Times New Roman"/>
          <w:color w:val="231F20"/>
          <w:w w:val="105"/>
          <w:sz w:val="14"/>
        </w:rPr>
        <w:t>(MXN</w:t>
      </w:r>
      <w:r>
        <w:rPr>
          <w:rFonts w:ascii="Times New Roman"/>
          <w:color w:val="231F20"/>
          <w:spacing w:val="-5"/>
          <w:w w:val="105"/>
          <w:sz w:val="14"/>
        </w:rPr>
        <w:t> </w:t>
      </w:r>
      <w:r>
        <w:rPr>
          <w:rFonts w:ascii="Times New Roman"/>
          <w:color w:val="231F20"/>
          <w:w w:val="105"/>
          <w:sz w:val="14"/>
        </w:rPr>
        <w:t>pesos).</w:t>
      </w:r>
      <w:r>
        <w:rPr>
          <w:rFonts w:ascii="Times New Roman"/>
          <w:color w:val="231F20"/>
          <w:spacing w:val="-5"/>
          <w:w w:val="105"/>
          <w:sz w:val="14"/>
        </w:rPr>
        <w:t> </w:t>
      </w:r>
      <w:r>
        <w:rPr>
          <w:rFonts w:ascii="Times New Roman"/>
          <w:color w:val="231F20"/>
          <w:w w:val="105"/>
          <w:sz w:val="14"/>
        </w:rPr>
        <w:t>In</w:t>
      </w:r>
      <w:r>
        <w:rPr>
          <w:rFonts w:ascii="Times New Roman"/>
          <w:color w:val="231F20"/>
          <w:spacing w:val="-5"/>
          <w:w w:val="105"/>
          <w:sz w:val="14"/>
        </w:rPr>
        <w:t> </w:t>
      </w:r>
      <w:r>
        <w:rPr>
          <w:rFonts w:ascii="Times New Roman"/>
          <w:color w:val="231F20"/>
          <w:w w:val="105"/>
          <w:sz w:val="14"/>
        </w:rPr>
        <w:t>the case of plots with a double cycle, where dose of fungicides are employed above the recommended, the maximum spare income during the period of life (15 years) </w:t>
      </w:r>
      <w:r>
        <w:rPr>
          <w:rFonts w:ascii="Times New Roman"/>
          <w:color w:val="231F20"/>
          <w:spacing w:val="17"/>
          <w:w w:val="105"/>
          <w:sz w:val="14"/>
        </w:rPr>
        <w:t> </w:t>
      </w:r>
      <w:r>
        <w:rPr>
          <w:rFonts w:ascii="Times New Roman"/>
          <w:color w:val="231F20"/>
          <w:w w:val="105"/>
          <w:sz w:val="14"/>
        </w:rPr>
        <w:t>was</w:t>
      </w:r>
    </w:p>
    <w:p>
      <w:pPr>
        <w:spacing w:line="156" w:lineRule="exact" w:before="1"/>
        <w:ind w:left="2218" w:right="2178" w:firstLine="0"/>
        <w:jc w:val="both"/>
        <w:rPr>
          <w:rFonts w:ascii="Times New Roman"/>
          <w:sz w:val="14"/>
        </w:rPr>
      </w:pPr>
      <w:r>
        <w:rPr>
          <w:rFonts w:ascii="Times New Roman"/>
          <w:color w:val="231F20"/>
          <w:w w:val="105"/>
          <w:sz w:val="14"/>
        </w:rPr>
        <w:t>2.66</w:t>
      </w:r>
      <w:r>
        <w:rPr>
          <w:rFonts w:ascii="Times New Roman"/>
          <w:color w:val="231F20"/>
          <w:spacing w:val="-10"/>
          <w:w w:val="105"/>
          <w:sz w:val="14"/>
        </w:rPr>
        <w:t> </w:t>
      </w:r>
      <w:r>
        <w:rPr>
          <w:rFonts w:ascii="Times New Roman"/>
          <w:color w:val="231F20"/>
          <w:w w:val="105"/>
          <w:sz w:val="14"/>
        </w:rPr>
        <w:t>million</w:t>
      </w:r>
      <w:r>
        <w:rPr>
          <w:rFonts w:ascii="Times New Roman"/>
          <w:color w:val="231F20"/>
          <w:spacing w:val="-10"/>
          <w:w w:val="105"/>
          <w:sz w:val="14"/>
        </w:rPr>
        <w:t> </w:t>
      </w:r>
      <w:r>
        <w:rPr>
          <w:rFonts w:ascii="Times New Roman"/>
          <w:color w:val="231F20"/>
          <w:w w:val="105"/>
          <w:sz w:val="14"/>
        </w:rPr>
        <w:t>of</w:t>
      </w:r>
      <w:r>
        <w:rPr>
          <w:rFonts w:ascii="Times New Roman"/>
          <w:color w:val="231F20"/>
          <w:spacing w:val="-10"/>
          <w:w w:val="105"/>
          <w:sz w:val="14"/>
        </w:rPr>
        <w:t> </w:t>
      </w:r>
      <w:r>
        <w:rPr>
          <w:rFonts w:ascii="Times New Roman"/>
          <w:color w:val="231F20"/>
          <w:w w:val="105"/>
          <w:sz w:val="14"/>
        </w:rPr>
        <w:t>MXN</w:t>
      </w:r>
      <w:r>
        <w:rPr>
          <w:rFonts w:ascii="Times New Roman"/>
          <w:color w:val="231F20"/>
          <w:spacing w:val="-10"/>
          <w:w w:val="105"/>
          <w:sz w:val="14"/>
        </w:rPr>
        <w:t> </w:t>
      </w:r>
      <w:r>
        <w:rPr>
          <w:rFonts w:ascii="Times New Roman"/>
          <w:color w:val="231F20"/>
          <w:w w:val="105"/>
          <w:sz w:val="14"/>
        </w:rPr>
        <w:t>pesos.</w:t>
      </w:r>
      <w:r>
        <w:rPr>
          <w:rFonts w:ascii="Times New Roman"/>
          <w:color w:val="231F20"/>
          <w:spacing w:val="-10"/>
          <w:w w:val="105"/>
          <w:sz w:val="14"/>
        </w:rPr>
        <w:t> </w:t>
      </w:r>
      <w:r>
        <w:rPr>
          <w:rFonts w:ascii="Times New Roman"/>
          <w:color w:val="231F20"/>
          <w:w w:val="105"/>
          <w:sz w:val="14"/>
        </w:rPr>
        <w:t>On</w:t>
      </w:r>
      <w:r>
        <w:rPr>
          <w:rFonts w:ascii="Times New Roman"/>
          <w:color w:val="231F20"/>
          <w:spacing w:val="-10"/>
          <w:w w:val="105"/>
          <w:sz w:val="14"/>
        </w:rPr>
        <w:t> </w:t>
      </w:r>
      <w:r>
        <w:rPr>
          <w:rFonts w:ascii="Times New Roman"/>
          <w:color w:val="231F20"/>
          <w:w w:val="105"/>
          <w:sz w:val="14"/>
        </w:rPr>
        <w:t>other</w:t>
      </w:r>
      <w:r>
        <w:rPr>
          <w:rFonts w:ascii="Times New Roman"/>
          <w:color w:val="231F20"/>
          <w:spacing w:val="-10"/>
          <w:w w:val="105"/>
          <w:sz w:val="14"/>
        </w:rPr>
        <w:t> </w:t>
      </w:r>
      <w:r>
        <w:rPr>
          <w:rFonts w:ascii="Times New Roman"/>
          <w:color w:val="231F20"/>
          <w:w w:val="105"/>
          <w:sz w:val="14"/>
        </w:rPr>
        <w:t>hand,</w:t>
      </w:r>
      <w:r>
        <w:rPr>
          <w:rFonts w:ascii="Times New Roman"/>
          <w:color w:val="231F20"/>
          <w:spacing w:val="-10"/>
          <w:w w:val="105"/>
          <w:sz w:val="14"/>
        </w:rPr>
        <w:t> </w:t>
      </w:r>
      <w:r>
        <w:rPr>
          <w:rFonts w:ascii="Times New Roman"/>
          <w:color w:val="231F20"/>
          <w:w w:val="105"/>
          <w:sz w:val="14"/>
        </w:rPr>
        <w:t>the</w:t>
      </w:r>
      <w:r>
        <w:rPr>
          <w:rFonts w:ascii="Times New Roman"/>
          <w:color w:val="231F20"/>
          <w:spacing w:val="-10"/>
          <w:w w:val="105"/>
          <w:sz w:val="14"/>
        </w:rPr>
        <w:t> </w:t>
      </w:r>
      <w:r>
        <w:rPr>
          <w:rFonts w:ascii="Times New Roman"/>
          <w:color w:val="231F20"/>
          <w:w w:val="105"/>
          <w:sz w:val="14"/>
        </w:rPr>
        <w:t>irrigation</w:t>
      </w:r>
      <w:r>
        <w:rPr>
          <w:rFonts w:ascii="Times New Roman"/>
          <w:color w:val="231F20"/>
          <w:spacing w:val="-11"/>
          <w:w w:val="105"/>
          <w:sz w:val="14"/>
        </w:rPr>
        <w:t> </w:t>
      </w:r>
      <w:r>
        <w:rPr>
          <w:rFonts w:ascii="Times New Roman"/>
          <w:color w:val="231F20"/>
          <w:w w:val="105"/>
          <w:sz w:val="14"/>
        </w:rPr>
        <w:t>systems,</w:t>
      </w:r>
      <w:r>
        <w:rPr>
          <w:rFonts w:ascii="Times New Roman"/>
          <w:color w:val="231F20"/>
          <w:spacing w:val="-10"/>
          <w:w w:val="105"/>
          <w:sz w:val="14"/>
        </w:rPr>
        <w:t> </w:t>
      </w:r>
      <w:r>
        <w:rPr>
          <w:rFonts w:ascii="Times New Roman"/>
          <w:color w:val="231F20"/>
          <w:w w:val="105"/>
          <w:sz w:val="14"/>
        </w:rPr>
        <w:t>with</w:t>
      </w:r>
      <w:r>
        <w:rPr>
          <w:rFonts w:ascii="Times New Roman"/>
          <w:color w:val="231F20"/>
          <w:spacing w:val="-10"/>
          <w:w w:val="105"/>
          <w:sz w:val="14"/>
        </w:rPr>
        <w:t> </w:t>
      </w:r>
      <w:r>
        <w:rPr>
          <w:rFonts w:ascii="Times New Roman"/>
          <w:color w:val="231F20"/>
          <w:w w:val="105"/>
          <w:sz w:val="14"/>
        </w:rPr>
        <w:t>double</w:t>
      </w:r>
      <w:r>
        <w:rPr>
          <w:rFonts w:ascii="Times New Roman"/>
          <w:color w:val="231F20"/>
          <w:spacing w:val="-10"/>
          <w:w w:val="105"/>
          <w:sz w:val="14"/>
        </w:rPr>
        <w:t> </w:t>
      </w:r>
      <w:r>
        <w:rPr>
          <w:rFonts w:ascii="Times New Roman"/>
          <w:color w:val="231F20"/>
          <w:w w:val="105"/>
          <w:sz w:val="14"/>
        </w:rPr>
        <w:t>cycles that</w:t>
      </w:r>
      <w:r>
        <w:rPr>
          <w:rFonts w:ascii="Times New Roman"/>
          <w:color w:val="231F20"/>
          <w:spacing w:val="-13"/>
          <w:w w:val="105"/>
          <w:sz w:val="14"/>
        </w:rPr>
        <w:t> </w:t>
      </w:r>
      <w:r>
        <w:rPr>
          <w:rFonts w:ascii="Times New Roman"/>
          <w:color w:val="231F20"/>
          <w:w w:val="105"/>
          <w:sz w:val="14"/>
        </w:rPr>
        <w:t>apply</w:t>
      </w:r>
      <w:r>
        <w:rPr>
          <w:rFonts w:ascii="Times New Roman"/>
          <w:color w:val="231F20"/>
          <w:spacing w:val="-13"/>
          <w:w w:val="105"/>
          <w:sz w:val="14"/>
        </w:rPr>
        <w:t> </w:t>
      </w:r>
      <w:r>
        <w:rPr>
          <w:rFonts w:ascii="Times New Roman"/>
          <w:color w:val="231F20"/>
          <w:w w:val="105"/>
          <w:sz w:val="14"/>
        </w:rPr>
        <w:t>fungicides</w:t>
      </w:r>
      <w:r>
        <w:rPr>
          <w:rFonts w:ascii="Times New Roman"/>
          <w:color w:val="231F20"/>
          <w:spacing w:val="-13"/>
          <w:w w:val="105"/>
          <w:sz w:val="14"/>
        </w:rPr>
        <w:t> </w:t>
      </w:r>
      <w:r>
        <w:rPr>
          <w:rFonts w:ascii="Times New Roman"/>
          <w:color w:val="231F20"/>
          <w:w w:val="105"/>
          <w:sz w:val="14"/>
        </w:rPr>
        <w:t>at</w:t>
      </w:r>
      <w:r>
        <w:rPr>
          <w:rFonts w:ascii="Times New Roman"/>
          <w:color w:val="231F20"/>
          <w:spacing w:val="-13"/>
          <w:w w:val="105"/>
          <w:sz w:val="14"/>
        </w:rPr>
        <w:t> </w:t>
      </w:r>
      <w:r>
        <w:rPr>
          <w:rFonts w:ascii="Times New Roman"/>
          <w:color w:val="231F20"/>
          <w:w w:val="105"/>
          <w:sz w:val="14"/>
        </w:rPr>
        <w:t>levels</w:t>
      </w:r>
      <w:r>
        <w:rPr>
          <w:rFonts w:ascii="Times New Roman"/>
          <w:color w:val="231F20"/>
          <w:spacing w:val="-13"/>
          <w:w w:val="105"/>
          <w:sz w:val="14"/>
        </w:rPr>
        <w:t> </w:t>
      </w:r>
      <w:r>
        <w:rPr>
          <w:rFonts w:ascii="Times New Roman"/>
          <w:color w:val="231F20"/>
          <w:w w:val="105"/>
          <w:sz w:val="14"/>
        </w:rPr>
        <w:t>below</w:t>
      </w:r>
      <w:r>
        <w:rPr>
          <w:rFonts w:ascii="Times New Roman"/>
          <w:color w:val="231F20"/>
          <w:spacing w:val="-13"/>
          <w:w w:val="105"/>
          <w:sz w:val="14"/>
        </w:rPr>
        <w:t> </w:t>
      </w:r>
      <w:r>
        <w:rPr>
          <w:rFonts w:ascii="Times New Roman"/>
          <w:color w:val="231F20"/>
          <w:w w:val="105"/>
          <w:sz w:val="14"/>
        </w:rPr>
        <w:t>the</w:t>
      </w:r>
      <w:r>
        <w:rPr>
          <w:rFonts w:ascii="Times New Roman"/>
          <w:color w:val="231F20"/>
          <w:spacing w:val="-13"/>
          <w:w w:val="105"/>
          <w:sz w:val="14"/>
        </w:rPr>
        <w:t> </w:t>
      </w:r>
      <w:r>
        <w:rPr>
          <w:rFonts w:ascii="Times New Roman"/>
          <w:color w:val="231F20"/>
          <w:w w:val="105"/>
          <w:sz w:val="14"/>
        </w:rPr>
        <w:t>recommended</w:t>
      </w:r>
      <w:r>
        <w:rPr>
          <w:rFonts w:ascii="Times New Roman"/>
          <w:color w:val="231F20"/>
          <w:spacing w:val="-13"/>
          <w:w w:val="105"/>
          <w:sz w:val="14"/>
        </w:rPr>
        <w:t> </w:t>
      </w:r>
      <w:r>
        <w:rPr>
          <w:rFonts w:ascii="Times New Roman"/>
          <w:color w:val="231F20"/>
          <w:w w:val="105"/>
          <w:sz w:val="14"/>
        </w:rPr>
        <w:t>dose,</w:t>
      </w:r>
      <w:r>
        <w:rPr>
          <w:rFonts w:ascii="Times New Roman"/>
          <w:color w:val="231F20"/>
          <w:spacing w:val="-13"/>
          <w:w w:val="105"/>
          <w:sz w:val="14"/>
        </w:rPr>
        <w:t> </w:t>
      </w:r>
      <w:r>
        <w:rPr>
          <w:rFonts w:ascii="Times New Roman"/>
          <w:color w:val="231F20"/>
          <w:w w:val="105"/>
          <w:sz w:val="14"/>
        </w:rPr>
        <w:t>have</w:t>
      </w:r>
      <w:r>
        <w:rPr>
          <w:rFonts w:ascii="Times New Roman"/>
          <w:color w:val="231F20"/>
          <w:spacing w:val="-13"/>
          <w:w w:val="105"/>
          <w:sz w:val="14"/>
        </w:rPr>
        <w:t> </w:t>
      </w:r>
      <w:r>
        <w:rPr>
          <w:rFonts w:ascii="Times New Roman"/>
          <w:color w:val="231F20"/>
          <w:w w:val="105"/>
          <w:sz w:val="14"/>
        </w:rPr>
        <w:t>an</w:t>
      </w:r>
      <w:r>
        <w:rPr>
          <w:rFonts w:ascii="Times New Roman"/>
          <w:color w:val="231F20"/>
          <w:spacing w:val="-13"/>
          <w:w w:val="105"/>
          <w:sz w:val="14"/>
        </w:rPr>
        <w:t> </w:t>
      </w:r>
      <w:r>
        <w:rPr>
          <w:rFonts w:ascii="Times New Roman"/>
          <w:color w:val="231F20"/>
          <w:w w:val="105"/>
          <w:sz w:val="14"/>
        </w:rPr>
        <w:t>average</w:t>
      </w:r>
      <w:r>
        <w:rPr>
          <w:rFonts w:ascii="Times New Roman"/>
          <w:color w:val="231F20"/>
          <w:spacing w:val="-13"/>
          <w:w w:val="105"/>
          <w:sz w:val="14"/>
        </w:rPr>
        <w:t> </w:t>
      </w:r>
      <w:r>
        <w:rPr>
          <w:rFonts w:ascii="Times New Roman"/>
          <w:color w:val="231F20"/>
          <w:w w:val="105"/>
          <w:sz w:val="14"/>
        </w:rPr>
        <w:t>life</w:t>
      </w:r>
      <w:r>
        <w:rPr>
          <w:rFonts w:ascii="Times New Roman"/>
          <w:color w:val="231F20"/>
          <w:spacing w:val="-13"/>
          <w:w w:val="105"/>
          <w:sz w:val="14"/>
        </w:rPr>
        <w:t> </w:t>
      </w:r>
      <w:r>
        <w:rPr>
          <w:rFonts w:ascii="Times New Roman"/>
          <w:color w:val="231F20"/>
          <w:w w:val="105"/>
          <w:sz w:val="14"/>
        </w:rPr>
        <w:t>span of</w:t>
      </w:r>
      <w:r>
        <w:rPr>
          <w:rFonts w:ascii="Times New Roman"/>
          <w:color w:val="231F20"/>
          <w:spacing w:val="-8"/>
          <w:w w:val="105"/>
          <w:sz w:val="14"/>
        </w:rPr>
        <w:t> </w:t>
      </w:r>
      <w:r>
        <w:rPr>
          <w:rFonts w:ascii="Times New Roman"/>
          <w:color w:val="231F20"/>
          <w:w w:val="105"/>
          <w:sz w:val="14"/>
        </w:rPr>
        <w:t>25</w:t>
      </w:r>
      <w:r>
        <w:rPr>
          <w:rFonts w:ascii="Times New Roman"/>
          <w:color w:val="231F20"/>
          <w:spacing w:val="-8"/>
          <w:w w:val="105"/>
          <w:sz w:val="14"/>
        </w:rPr>
        <w:t> </w:t>
      </w:r>
      <w:r>
        <w:rPr>
          <w:rFonts w:ascii="Times New Roman"/>
          <w:color w:val="231F20"/>
          <w:w w:val="105"/>
          <w:sz w:val="14"/>
        </w:rPr>
        <w:t>years,</w:t>
      </w:r>
      <w:r>
        <w:rPr>
          <w:rFonts w:ascii="Times New Roman"/>
          <w:color w:val="231F20"/>
          <w:spacing w:val="-8"/>
          <w:w w:val="105"/>
          <w:sz w:val="14"/>
        </w:rPr>
        <w:t> </w:t>
      </w:r>
      <w:r>
        <w:rPr>
          <w:rFonts w:ascii="Times New Roman"/>
          <w:color w:val="231F20"/>
          <w:w w:val="105"/>
          <w:sz w:val="14"/>
        </w:rPr>
        <w:t>during</w:t>
      </w:r>
      <w:r>
        <w:rPr>
          <w:rFonts w:ascii="Times New Roman"/>
          <w:color w:val="231F20"/>
          <w:spacing w:val="-8"/>
          <w:w w:val="105"/>
          <w:sz w:val="14"/>
        </w:rPr>
        <w:t> </w:t>
      </w:r>
      <w:r>
        <w:rPr>
          <w:rFonts w:ascii="Times New Roman"/>
          <w:color w:val="231F20"/>
          <w:w w:val="105"/>
          <w:sz w:val="14"/>
        </w:rPr>
        <w:t>which</w:t>
      </w:r>
      <w:r>
        <w:rPr>
          <w:rFonts w:ascii="Times New Roman"/>
          <w:color w:val="231F20"/>
          <w:spacing w:val="-8"/>
          <w:w w:val="105"/>
          <w:sz w:val="14"/>
        </w:rPr>
        <w:t> </w:t>
      </w:r>
      <w:r>
        <w:rPr>
          <w:rFonts w:ascii="Times New Roman"/>
          <w:color w:val="231F20"/>
          <w:w w:val="105"/>
          <w:sz w:val="14"/>
        </w:rPr>
        <w:t>a</w:t>
      </w:r>
      <w:r>
        <w:rPr>
          <w:rFonts w:ascii="Times New Roman"/>
          <w:color w:val="231F20"/>
          <w:spacing w:val="-8"/>
          <w:w w:val="105"/>
          <w:sz w:val="14"/>
        </w:rPr>
        <w:t> </w:t>
      </w:r>
      <w:r>
        <w:rPr>
          <w:rFonts w:ascii="Times New Roman"/>
          <w:color w:val="231F20"/>
          <w:w w:val="105"/>
          <w:sz w:val="14"/>
        </w:rPr>
        <w:t>real</w:t>
      </w:r>
      <w:r>
        <w:rPr>
          <w:rFonts w:ascii="Times New Roman"/>
          <w:color w:val="231F20"/>
          <w:spacing w:val="-8"/>
          <w:w w:val="105"/>
          <w:sz w:val="14"/>
        </w:rPr>
        <w:t> </w:t>
      </w:r>
      <w:r>
        <w:rPr>
          <w:rFonts w:ascii="Times New Roman"/>
          <w:color w:val="231F20"/>
          <w:w w:val="105"/>
          <w:sz w:val="14"/>
        </w:rPr>
        <w:t>income</w:t>
      </w:r>
      <w:r>
        <w:rPr>
          <w:rFonts w:ascii="Times New Roman"/>
          <w:color w:val="231F20"/>
          <w:spacing w:val="-9"/>
          <w:w w:val="105"/>
          <w:sz w:val="14"/>
        </w:rPr>
        <w:t> </w:t>
      </w:r>
      <w:r>
        <w:rPr>
          <w:rFonts w:ascii="Times New Roman"/>
          <w:color w:val="231F20"/>
          <w:w w:val="105"/>
          <w:sz w:val="14"/>
        </w:rPr>
        <w:t>of</w:t>
      </w:r>
      <w:r>
        <w:rPr>
          <w:rFonts w:ascii="Times New Roman"/>
          <w:color w:val="231F20"/>
          <w:spacing w:val="-8"/>
          <w:w w:val="105"/>
          <w:sz w:val="14"/>
        </w:rPr>
        <w:t> </w:t>
      </w:r>
      <w:r>
        <w:rPr>
          <w:rFonts w:ascii="Times New Roman"/>
          <w:color w:val="231F20"/>
          <w:w w:val="105"/>
          <w:sz w:val="14"/>
        </w:rPr>
        <w:t>3.27</w:t>
      </w:r>
      <w:r>
        <w:rPr>
          <w:rFonts w:ascii="Times New Roman"/>
          <w:color w:val="231F20"/>
          <w:spacing w:val="-8"/>
          <w:w w:val="105"/>
          <w:sz w:val="14"/>
        </w:rPr>
        <w:t> </w:t>
      </w:r>
      <w:r>
        <w:rPr>
          <w:rFonts w:ascii="Times New Roman"/>
          <w:color w:val="231F20"/>
          <w:w w:val="105"/>
          <w:sz w:val="14"/>
        </w:rPr>
        <w:t>million</w:t>
      </w:r>
      <w:r>
        <w:rPr>
          <w:rFonts w:ascii="Times New Roman"/>
          <w:color w:val="231F20"/>
          <w:spacing w:val="-9"/>
          <w:w w:val="105"/>
          <w:sz w:val="14"/>
        </w:rPr>
        <w:t> </w:t>
      </w:r>
      <w:r>
        <w:rPr>
          <w:rFonts w:ascii="Times New Roman"/>
          <w:color w:val="231F20"/>
          <w:w w:val="105"/>
          <w:sz w:val="14"/>
        </w:rPr>
        <w:t>of</w:t>
      </w:r>
      <w:r>
        <w:rPr>
          <w:rFonts w:ascii="Times New Roman"/>
          <w:color w:val="231F20"/>
          <w:spacing w:val="-8"/>
          <w:w w:val="105"/>
          <w:sz w:val="14"/>
        </w:rPr>
        <w:t> </w:t>
      </w:r>
      <w:r>
        <w:rPr>
          <w:rFonts w:ascii="Times New Roman"/>
          <w:color w:val="231F20"/>
          <w:w w:val="105"/>
          <w:sz w:val="14"/>
        </w:rPr>
        <w:t>MXN</w:t>
      </w:r>
      <w:r>
        <w:rPr>
          <w:rFonts w:ascii="Times New Roman"/>
          <w:color w:val="231F20"/>
          <w:spacing w:val="-8"/>
          <w:w w:val="105"/>
          <w:sz w:val="14"/>
        </w:rPr>
        <w:t> </w:t>
      </w:r>
      <w:r>
        <w:rPr>
          <w:rFonts w:ascii="Times New Roman"/>
          <w:color w:val="231F20"/>
          <w:w w:val="105"/>
          <w:sz w:val="14"/>
        </w:rPr>
        <w:t>pesos/ha</w:t>
      </w:r>
      <w:r>
        <w:rPr>
          <w:rFonts w:ascii="Times New Roman"/>
          <w:color w:val="231F20"/>
          <w:spacing w:val="-8"/>
          <w:w w:val="105"/>
          <w:sz w:val="14"/>
        </w:rPr>
        <w:t> </w:t>
      </w:r>
      <w:r>
        <w:rPr>
          <w:rFonts w:ascii="Times New Roman"/>
          <w:color w:val="231F20"/>
          <w:w w:val="105"/>
          <w:sz w:val="14"/>
        </w:rPr>
        <w:t>is</w:t>
      </w:r>
      <w:r>
        <w:rPr>
          <w:rFonts w:ascii="Times New Roman"/>
          <w:color w:val="231F20"/>
          <w:spacing w:val="-8"/>
          <w:w w:val="105"/>
          <w:sz w:val="14"/>
        </w:rPr>
        <w:t> </w:t>
      </w:r>
      <w:r>
        <w:rPr>
          <w:rFonts w:ascii="Times New Roman"/>
          <w:color w:val="231F20"/>
          <w:w w:val="105"/>
          <w:sz w:val="14"/>
        </w:rPr>
        <w:t>obtained. This</w:t>
      </w:r>
      <w:r>
        <w:rPr>
          <w:rFonts w:ascii="Times New Roman"/>
          <w:color w:val="231F20"/>
          <w:spacing w:val="-5"/>
          <w:w w:val="105"/>
          <w:sz w:val="14"/>
        </w:rPr>
        <w:t> </w:t>
      </w:r>
      <w:r>
        <w:rPr>
          <w:rFonts w:ascii="Times New Roman"/>
          <w:color w:val="231F20"/>
          <w:w w:val="105"/>
          <w:sz w:val="14"/>
        </w:rPr>
        <w:t>represents</w:t>
      </w:r>
      <w:r>
        <w:rPr>
          <w:rFonts w:ascii="Times New Roman"/>
          <w:color w:val="231F20"/>
          <w:spacing w:val="-5"/>
          <w:w w:val="105"/>
          <w:sz w:val="14"/>
        </w:rPr>
        <w:t> </w:t>
      </w:r>
      <w:r>
        <w:rPr>
          <w:rFonts w:ascii="Times New Roman"/>
          <w:color w:val="231F20"/>
          <w:w w:val="105"/>
          <w:sz w:val="14"/>
        </w:rPr>
        <w:t>an</w:t>
      </w:r>
      <w:r>
        <w:rPr>
          <w:rFonts w:ascii="Times New Roman"/>
          <w:color w:val="231F20"/>
          <w:spacing w:val="-5"/>
          <w:w w:val="105"/>
          <w:sz w:val="14"/>
        </w:rPr>
        <w:t> </w:t>
      </w:r>
      <w:r>
        <w:rPr>
          <w:rFonts w:ascii="Times New Roman"/>
          <w:color w:val="231F20"/>
          <w:w w:val="105"/>
          <w:sz w:val="14"/>
        </w:rPr>
        <w:t>income</w:t>
      </w:r>
      <w:r>
        <w:rPr>
          <w:rFonts w:ascii="Times New Roman"/>
          <w:color w:val="231F20"/>
          <w:spacing w:val="-5"/>
          <w:w w:val="105"/>
          <w:sz w:val="14"/>
        </w:rPr>
        <w:t> </w:t>
      </w:r>
      <w:r>
        <w:rPr>
          <w:rFonts w:ascii="Times New Roman"/>
          <w:color w:val="231F20"/>
          <w:w w:val="105"/>
          <w:sz w:val="14"/>
        </w:rPr>
        <w:t>18.65</w:t>
      </w:r>
      <w:r>
        <w:rPr>
          <w:rFonts w:ascii="Times New Roman"/>
          <w:color w:val="231F20"/>
          <w:spacing w:val="-5"/>
          <w:w w:val="105"/>
          <w:sz w:val="14"/>
        </w:rPr>
        <w:t> </w:t>
      </w:r>
      <w:r>
        <w:rPr>
          <w:rFonts w:ascii="Times New Roman"/>
          <w:color w:val="231F20"/>
          <w:w w:val="105"/>
          <w:sz w:val="14"/>
        </w:rPr>
        <w:t>%</w:t>
      </w:r>
      <w:r>
        <w:rPr>
          <w:rFonts w:ascii="Times New Roman"/>
          <w:color w:val="231F20"/>
          <w:spacing w:val="-5"/>
          <w:w w:val="105"/>
          <w:sz w:val="14"/>
        </w:rPr>
        <w:t> </w:t>
      </w:r>
      <w:r>
        <w:rPr>
          <w:rFonts w:ascii="Times New Roman"/>
          <w:color w:val="231F20"/>
          <w:w w:val="105"/>
          <w:sz w:val="14"/>
        </w:rPr>
        <w:t>higher</w:t>
      </w:r>
      <w:r>
        <w:rPr>
          <w:rFonts w:ascii="Times New Roman"/>
          <w:color w:val="231F20"/>
          <w:spacing w:val="-5"/>
          <w:w w:val="105"/>
          <w:sz w:val="14"/>
        </w:rPr>
        <w:t> </w:t>
      </w:r>
      <w:r>
        <w:rPr>
          <w:rFonts w:ascii="Times New Roman"/>
          <w:color w:val="231F20"/>
          <w:w w:val="105"/>
          <w:sz w:val="14"/>
        </w:rPr>
        <w:t>than</w:t>
      </w:r>
      <w:r>
        <w:rPr>
          <w:rFonts w:ascii="Times New Roman"/>
          <w:color w:val="231F20"/>
          <w:spacing w:val="-5"/>
          <w:w w:val="105"/>
          <w:sz w:val="14"/>
        </w:rPr>
        <w:t> </w:t>
      </w:r>
      <w:r>
        <w:rPr>
          <w:rFonts w:ascii="Times New Roman"/>
          <w:color w:val="231F20"/>
          <w:w w:val="105"/>
          <w:sz w:val="14"/>
        </w:rPr>
        <w:t>the</w:t>
      </w:r>
      <w:r>
        <w:rPr>
          <w:rFonts w:ascii="Times New Roman"/>
          <w:color w:val="231F20"/>
          <w:spacing w:val="-5"/>
          <w:w w:val="105"/>
          <w:sz w:val="14"/>
        </w:rPr>
        <w:t> </w:t>
      </w:r>
      <w:r>
        <w:rPr>
          <w:rFonts w:ascii="Times New Roman"/>
          <w:color w:val="231F20"/>
          <w:w w:val="105"/>
          <w:sz w:val="14"/>
        </w:rPr>
        <w:t>one</w:t>
      </w:r>
      <w:r>
        <w:rPr>
          <w:rFonts w:ascii="Times New Roman"/>
          <w:color w:val="231F20"/>
          <w:spacing w:val="-5"/>
          <w:w w:val="105"/>
          <w:sz w:val="14"/>
        </w:rPr>
        <w:t> </w:t>
      </w:r>
      <w:r>
        <w:rPr>
          <w:rFonts w:ascii="Times New Roman"/>
          <w:color w:val="231F20"/>
          <w:w w:val="105"/>
          <w:sz w:val="14"/>
        </w:rPr>
        <w:t>that</w:t>
      </w:r>
      <w:r>
        <w:rPr>
          <w:rFonts w:ascii="Times New Roman"/>
          <w:color w:val="231F20"/>
          <w:spacing w:val="-5"/>
          <w:w w:val="105"/>
          <w:sz w:val="14"/>
        </w:rPr>
        <w:t> </w:t>
      </w:r>
      <w:r>
        <w:rPr>
          <w:rFonts w:ascii="Times New Roman"/>
          <w:color w:val="231F20"/>
          <w:w w:val="105"/>
          <w:sz w:val="14"/>
        </w:rPr>
        <w:t>could</w:t>
      </w:r>
      <w:r>
        <w:rPr>
          <w:rFonts w:ascii="Times New Roman"/>
          <w:color w:val="231F20"/>
          <w:spacing w:val="-5"/>
          <w:w w:val="105"/>
          <w:sz w:val="14"/>
        </w:rPr>
        <w:t> </w:t>
      </w:r>
      <w:r>
        <w:rPr>
          <w:rFonts w:ascii="Times New Roman"/>
          <w:color w:val="231F20"/>
          <w:w w:val="105"/>
          <w:sz w:val="14"/>
        </w:rPr>
        <w:t>be</w:t>
      </w:r>
      <w:r>
        <w:rPr>
          <w:rFonts w:ascii="Times New Roman"/>
          <w:color w:val="231F20"/>
          <w:spacing w:val="-5"/>
          <w:w w:val="105"/>
          <w:sz w:val="14"/>
        </w:rPr>
        <w:t> </w:t>
      </w:r>
      <w:r>
        <w:rPr>
          <w:rFonts w:ascii="Times New Roman"/>
          <w:color w:val="231F20"/>
          <w:w w:val="105"/>
          <w:sz w:val="14"/>
        </w:rPr>
        <w:t>obtained</w:t>
      </w:r>
      <w:r>
        <w:rPr>
          <w:rFonts w:ascii="Times New Roman"/>
          <w:color w:val="231F20"/>
          <w:spacing w:val="-5"/>
          <w:w w:val="105"/>
          <w:sz w:val="14"/>
        </w:rPr>
        <w:t> </w:t>
      </w:r>
      <w:r>
        <w:rPr>
          <w:rFonts w:ascii="Times New Roman"/>
          <w:color w:val="231F20"/>
          <w:w w:val="105"/>
          <w:sz w:val="14"/>
        </w:rPr>
        <w:t>during the</w:t>
      </w:r>
      <w:r>
        <w:rPr>
          <w:rFonts w:ascii="Times New Roman"/>
          <w:color w:val="231F20"/>
          <w:spacing w:val="-5"/>
          <w:w w:val="105"/>
          <w:sz w:val="14"/>
        </w:rPr>
        <w:t> </w:t>
      </w:r>
      <w:r>
        <w:rPr>
          <w:rFonts w:ascii="Times New Roman"/>
          <w:color w:val="231F20"/>
          <w:w w:val="105"/>
          <w:sz w:val="14"/>
        </w:rPr>
        <w:t>life</w:t>
      </w:r>
      <w:r>
        <w:rPr>
          <w:rFonts w:ascii="Times New Roman"/>
          <w:color w:val="231F20"/>
          <w:spacing w:val="-5"/>
          <w:w w:val="105"/>
          <w:sz w:val="14"/>
        </w:rPr>
        <w:t> </w:t>
      </w:r>
      <w:r>
        <w:rPr>
          <w:rFonts w:ascii="Times New Roman"/>
          <w:color w:val="231F20"/>
          <w:w w:val="105"/>
          <w:sz w:val="14"/>
        </w:rPr>
        <w:t>span</w:t>
      </w:r>
      <w:r>
        <w:rPr>
          <w:rFonts w:ascii="Times New Roman"/>
          <w:color w:val="231F20"/>
          <w:spacing w:val="-5"/>
          <w:w w:val="105"/>
          <w:sz w:val="14"/>
        </w:rPr>
        <w:t> </w:t>
      </w:r>
      <w:r>
        <w:rPr>
          <w:rFonts w:ascii="Times New Roman"/>
          <w:color w:val="231F20"/>
          <w:w w:val="105"/>
          <w:sz w:val="14"/>
        </w:rPr>
        <w:t>of</w:t>
      </w:r>
      <w:r>
        <w:rPr>
          <w:rFonts w:ascii="Times New Roman"/>
          <w:color w:val="231F20"/>
          <w:spacing w:val="-5"/>
          <w:w w:val="105"/>
          <w:sz w:val="14"/>
        </w:rPr>
        <w:t> </w:t>
      </w:r>
      <w:r>
        <w:rPr>
          <w:rFonts w:ascii="Times New Roman"/>
          <w:color w:val="231F20"/>
          <w:w w:val="105"/>
          <w:sz w:val="14"/>
        </w:rPr>
        <w:t>plots</w:t>
      </w:r>
      <w:r>
        <w:rPr>
          <w:rFonts w:ascii="Times New Roman"/>
          <w:color w:val="231F20"/>
          <w:spacing w:val="-5"/>
          <w:w w:val="105"/>
          <w:sz w:val="14"/>
        </w:rPr>
        <w:t> </w:t>
      </w:r>
      <w:r>
        <w:rPr>
          <w:rFonts w:ascii="Times New Roman"/>
          <w:color w:val="231F20"/>
          <w:w w:val="105"/>
          <w:sz w:val="14"/>
        </w:rPr>
        <w:t>that</w:t>
      </w:r>
      <w:r>
        <w:rPr>
          <w:rFonts w:ascii="Times New Roman"/>
          <w:color w:val="231F20"/>
          <w:spacing w:val="-5"/>
          <w:w w:val="105"/>
          <w:sz w:val="14"/>
        </w:rPr>
        <w:t> </w:t>
      </w:r>
      <w:r>
        <w:rPr>
          <w:rFonts w:ascii="Times New Roman"/>
          <w:color w:val="231F20"/>
          <w:w w:val="105"/>
          <w:sz w:val="14"/>
        </w:rPr>
        <w:t>apply</w:t>
      </w:r>
      <w:r>
        <w:rPr>
          <w:rFonts w:ascii="Times New Roman"/>
          <w:color w:val="231F20"/>
          <w:spacing w:val="-5"/>
          <w:w w:val="105"/>
          <w:sz w:val="14"/>
        </w:rPr>
        <w:t> </w:t>
      </w:r>
      <w:r>
        <w:rPr>
          <w:rFonts w:ascii="Times New Roman"/>
          <w:color w:val="231F20"/>
          <w:w w:val="105"/>
          <w:sz w:val="14"/>
        </w:rPr>
        <w:t>fungicides</w:t>
      </w:r>
      <w:r>
        <w:rPr>
          <w:rFonts w:ascii="Times New Roman"/>
          <w:color w:val="231F20"/>
          <w:spacing w:val="-5"/>
          <w:w w:val="105"/>
          <w:sz w:val="14"/>
        </w:rPr>
        <w:t> </w:t>
      </w:r>
      <w:r>
        <w:rPr>
          <w:rFonts w:ascii="Times New Roman"/>
          <w:color w:val="231F20"/>
          <w:w w:val="105"/>
          <w:sz w:val="14"/>
        </w:rPr>
        <w:t>above</w:t>
      </w:r>
      <w:r>
        <w:rPr>
          <w:rFonts w:ascii="Times New Roman"/>
          <w:color w:val="231F20"/>
          <w:spacing w:val="-5"/>
          <w:w w:val="105"/>
          <w:sz w:val="14"/>
        </w:rPr>
        <w:t> </w:t>
      </w:r>
      <w:r>
        <w:rPr>
          <w:rFonts w:ascii="Times New Roman"/>
          <w:color w:val="231F20"/>
          <w:w w:val="105"/>
          <w:sz w:val="14"/>
        </w:rPr>
        <w:t>the</w:t>
      </w:r>
      <w:r>
        <w:rPr>
          <w:rFonts w:ascii="Times New Roman"/>
          <w:color w:val="231F20"/>
          <w:spacing w:val="-5"/>
          <w:w w:val="105"/>
          <w:sz w:val="14"/>
        </w:rPr>
        <w:t> </w:t>
      </w:r>
      <w:r>
        <w:rPr>
          <w:rFonts w:ascii="Times New Roman"/>
          <w:color w:val="231F20"/>
          <w:w w:val="105"/>
          <w:sz w:val="14"/>
        </w:rPr>
        <w:t>recommended</w:t>
      </w:r>
      <w:r>
        <w:rPr>
          <w:rFonts w:ascii="Times New Roman"/>
          <w:color w:val="231F20"/>
          <w:spacing w:val="-5"/>
          <w:w w:val="105"/>
          <w:sz w:val="14"/>
        </w:rPr>
        <w:t> </w:t>
      </w:r>
      <w:r>
        <w:rPr>
          <w:rFonts w:ascii="Times New Roman"/>
          <w:color w:val="231F20"/>
          <w:w w:val="105"/>
          <w:sz w:val="14"/>
        </w:rPr>
        <w:t>dose.</w:t>
      </w:r>
    </w:p>
    <w:p>
      <w:pPr>
        <w:pStyle w:val="BodyText"/>
        <w:spacing w:before="5"/>
        <w:rPr>
          <w:rFonts w:ascii="Times New Roman"/>
          <w:sz w:val="11"/>
        </w:rPr>
      </w:pPr>
      <w:r>
        <w:rPr/>
        <w:pict>
          <v:line style="position:absolute;mso-position-horizontal-relative:page;mso-position-vertical-relative:paragraph;z-index:1168;mso-wrap-distance-left:0;mso-wrap-distance-right:0" from="183.930893pt,8.633341pt" to="430.969297pt,8.633341pt" stroked="true" strokeweight=".181699pt" strokecolor="#231f20">
            <w10:wrap type="topAndBottom"/>
          </v:line>
        </w:pict>
      </w:r>
    </w:p>
    <w:p>
      <w:pPr>
        <w:pStyle w:val="BodyText"/>
        <w:rPr>
          <w:rFonts w:ascii="Times New Roman"/>
          <w:sz w:val="20"/>
        </w:rPr>
      </w:pPr>
    </w:p>
    <w:p>
      <w:pPr>
        <w:spacing w:after="0"/>
        <w:rPr>
          <w:rFonts w:ascii="Times New Roman"/>
          <w:sz w:val="20"/>
        </w:rPr>
        <w:sectPr>
          <w:pgSz w:w="12240" w:h="15840"/>
          <w:pgMar w:header="719" w:footer="740" w:top="1260" w:bottom="920" w:left="1460" w:right="1440"/>
        </w:sectPr>
      </w:pPr>
    </w:p>
    <w:p>
      <w:pPr>
        <w:pStyle w:val="BodyText"/>
        <w:spacing w:before="2"/>
        <w:rPr>
          <w:rFonts w:ascii="Times New Roman"/>
          <w:sz w:val="18"/>
        </w:rPr>
      </w:pPr>
    </w:p>
    <w:p>
      <w:pPr>
        <w:spacing w:before="0"/>
        <w:ind w:left="2191" w:right="0" w:firstLine="0"/>
        <w:jc w:val="left"/>
        <w:rPr>
          <w:rFonts w:ascii="Times New Roman" w:hAnsi="Times New Roman"/>
          <w:b/>
          <w:sz w:val="16"/>
        </w:rPr>
      </w:pPr>
      <w:r>
        <w:rPr>
          <w:rFonts w:ascii="Times New Roman" w:hAnsi="Times New Roman"/>
          <w:b/>
          <w:color w:val="231F20"/>
          <w:sz w:val="16"/>
        </w:rPr>
        <w:t>INTRODUCCIÓN</w:t>
      </w:r>
    </w:p>
    <w:p>
      <w:pPr>
        <w:pStyle w:val="BodyText"/>
        <w:spacing w:before="2"/>
        <w:rPr>
          <w:rFonts w:ascii="Times New Roman"/>
          <w:b/>
          <w:sz w:val="15"/>
        </w:rPr>
      </w:pPr>
    </w:p>
    <w:p>
      <w:pPr>
        <w:spacing w:line="174" w:lineRule="exact" w:before="0"/>
        <w:ind w:left="1188" w:right="0" w:firstLine="206"/>
        <w:jc w:val="both"/>
        <w:rPr>
          <w:rFonts w:ascii="Times New Roman" w:hAnsi="Times New Roman"/>
          <w:sz w:val="16"/>
        </w:rPr>
      </w:pPr>
      <w:r>
        <w:rPr>
          <w:rFonts w:ascii="Times New Roman" w:hAnsi="Times New Roman"/>
          <w:color w:val="231F20"/>
          <w:sz w:val="16"/>
        </w:rPr>
        <w:t>El uso de fungicidas ha mejorado el</w:t>
      </w:r>
      <w:r>
        <w:rPr>
          <w:rFonts w:ascii="Times New Roman" w:hAnsi="Times New Roman"/>
          <w:color w:val="231F20"/>
          <w:spacing w:val="-21"/>
          <w:sz w:val="16"/>
        </w:rPr>
        <w:t> </w:t>
      </w:r>
      <w:r>
        <w:rPr>
          <w:rFonts w:ascii="Times New Roman" w:hAnsi="Times New Roman"/>
          <w:color w:val="231F20"/>
          <w:sz w:val="16"/>
        </w:rPr>
        <w:t>rendimiento de</w:t>
      </w:r>
      <w:r>
        <w:rPr>
          <w:rFonts w:ascii="Times New Roman" w:hAnsi="Times New Roman"/>
          <w:color w:val="231F20"/>
          <w:spacing w:val="-7"/>
          <w:sz w:val="16"/>
        </w:rPr>
        <w:t> </w:t>
      </w:r>
      <w:r>
        <w:rPr>
          <w:rFonts w:ascii="Times New Roman" w:hAnsi="Times New Roman"/>
          <w:color w:val="231F20"/>
          <w:sz w:val="16"/>
        </w:rPr>
        <w:t>las</w:t>
      </w:r>
      <w:r>
        <w:rPr>
          <w:rFonts w:ascii="Times New Roman" w:hAnsi="Times New Roman"/>
          <w:color w:val="231F20"/>
          <w:spacing w:val="-7"/>
          <w:sz w:val="16"/>
        </w:rPr>
        <w:t> </w:t>
      </w:r>
      <w:r>
        <w:rPr>
          <w:rFonts w:ascii="Times New Roman" w:hAnsi="Times New Roman"/>
          <w:color w:val="231F20"/>
          <w:sz w:val="16"/>
        </w:rPr>
        <w:t>cosechas</w:t>
      </w:r>
      <w:r>
        <w:rPr>
          <w:rFonts w:ascii="Times New Roman" w:hAnsi="Times New Roman"/>
          <w:color w:val="231F20"/>
          <w:spacing w:val="-8"/>
          <w:sz w:val="16"/>
        </w:rPr>
        <w:t> </w:t>
      </w:r>
      <w:r>
        <w:rPr>
          <w:rFonts w:ascii="Times New Roman" w:hAnsi="Times New Roman"/>
          <w:color w:val="231F20"/>
          <w:sz w:val="16"/>
        </w:rPr>
        <w:t>al</w:t>
      </w:r>
      <w:r>
        <w:rPr>
          <w:rFonts w:ascii="Times New Roman" w:hAnsi="Times New Roman"/>
          <w:color w:val="231F20"/>
          <w:spacing w:val="-7"/>
          <w:sz w:val="16"/>
        </w:rPr>
        <w:t> </w:t>
      </w:r>
      <w:r>
        <w:rPr>
          <w:rFonts w:ascii="Times New Roman" w:hAnsi="Times New Roman"/>
          <w:color w:val="231F20"/>
          <w:sz w:val="16"/>
        </w:rPr>
        <w:t>disminuir</w:t>
      </w:r>
      <w:r>
        <w:rPr>
          <w:rFonts w:ascii="Times New Roman" w:hAnsi="Times New Roman"/>
          <w:color w:val="231F20"/>
          <w:spacing w:val="-7"/>
          <w:sz w:val="16"/>
        </w:rPr>
        <w:t> </w:t>
      </w:r>
      <w:r>
        <w:rPr>
          <w:rFonts w:ascii="Times New Roman" w:hAnsi="Times New Roman"/>
          <w:color w:val="231F20"/>
          <w:sz w:val="16"/>
        </w:rPr>
        <w:t>las</w:t>
      </w:r>
      <w:r>
        <w:rPr>
          <w:rFonts w:ascii="Times New Roman" w:hAnsi="Times New Roman"/>
          <w:color w:val="231F20"/>
          <w:spacing w:val="-7"/>
          <w:sz w:val="16"/>
        </w:rPr>
        <w:t> </w:t>
      </w:r>
      <w:r>
        <w:rPr>
          <w:rFonts w:ascii="Times New Roman" w:hAnsi="Times New Roman"/>
          <w:color w:val="231F20"/>
          <w:sz w:val="16"/>
        </w:rPr>
        <w:t>enfermedades</w:t>
      </w:r>
      <w:r>
        <w:rPr>
          <w:rFonts w:ascii="Times New Roman" w:hAnsi="Times New Roman"/>
          <w:color w:val="231F20"/>
          <w:spacing w:val="-8"/>
          <w:sz w:val="16"/>
        </w:rPr>
        <w:t> </w:t>
      </w:r>
      <w:r>
        <w:rPr>
          <w:rFonts w:ascii="Times New Roman" w:hAnsi="Times New Roman"/>
          <w:color w:val="231F20"/>
          <w:sz w:val="16"/>
        </w:rPr>
        <w:t>en</w:t>
      </w:r>
      <w:r>
        <w:rPr>
          <w:rFonts w:ascii="Times New Roman" w:hAnsi="Times New Roman"/>
          <w:color w:val="231F20"/>
          <w:spacing w:val="-7"/>
          <w:sz w:val="16"/>
        </w:rPr>
        <w:t> </w:t>
      </w:r>
      <w:r>
        <w:rPr>
          <w:rFonts w:ascii="Times New Roman" w:hAnsi="Times New Roman"/>
          <w:color w:val="231F20"/>
          <w:sz w:val="16"/>
        </w:rPr>
        <w:t>los cultivos,</w:t>
      </w:r>
      <w:r>
        <w:rPr>
          <w:rFonts w:ascii="Times New Roman" w:hAnsi="Times New Roman"/>
          <w:color w:val="231F20"/>
          <w:spacing w:val="-16"/>
          <w:sz w:val="16"/>
        </w:rPr>
        <w:t> </w:t>
      </w:r>
      <w:r>
        <w:rPr>
          <w:rFonts w:ascii="Times New Roman" w:hAnsi="Times New Roman"/>
          <w:color w:val="231F20"/>
          <w:sz w:val="16"/>
        </w:rPr>
        <w:t>sin</w:t>
      </w:r>
      <w:r>
        <w:rPr>
          <w:rFonts w:ascii="Times New Roman" w:hAnsi="Times New Roman"/>
          <w:color w:val="231F20"/>
          <w:spacing w:val="-16"/>
          <w:sz w:val="16"/>
        </w:rPr>
        <w:t> </w:t>
      </w:r>
      <w:r>
        <w:rPr>
          <w:rFonts w:ascii="Times New Roman" w:hAnsi="Times New Roman"/>
          <w:color w:val="231F20"/>
          <w:sz w:val="16"/>
        </w:rPr>
        <w:t>embargo</w:t>
      </w:r>
      <w:r>
        <w:rPr>
          <w:rFonts w:ascii="Times New Roman" w:hAnsi="Times New Roman"/>
          <w:color w:val="231F20"/>
          <w:spacing w:val="-16"/>
          <w:sz w:val="16"/>
        </w:rPr>
        <w:t> </w:t>
      </w:r>
      <w:r>
        <w:rPr>
          <w:rFonts w:ascii="Times New Roman" w:hAnsi="Times New Roman"/>
          <w:color w:val="231F20"/>
          <w:sz w:val="16"/>
        </w:rPr>
        <w:t>su</w:t>
      </w:r>
      <w:r>
        <w:rPr>
          <w:rFonts w:ascii="Times New Roman" w:hAnsi="Times New Roman"/>
          <w:color w:val="231F20"/>
          <w:spacing w:val="-16"/>
          <w:sz w:val="16"/>
        </w:rPr>
        <w:t> </w:t>
      </w:r>
      <w:r>
        <w:rPr>
          <w:rFonts w:ascii="Times New Roman" w:hAnsi="Times New Roman"/>
          <w:color w:val="231F20"/>
          <w:sz w:val="16"/>
        </w:rPr>
        <w:t>uso</w:t>
      </w:r>
      <w:r>
        <w:rPr>
          <w:rFonts w:ascii="Times New Roman" w:hAnsi="Times New Roman"/>
          <w:color w:val="231F20"/>
          <w:spacing w:val="-16"/>
          <w:sz w:val="16"/>
        </w:rPr>
        <w:t> </w:t>
      </w:r>
      <w:r>
        <w:rPr>
          <w:rFonts w:ascii="Times New Roman" w:hAnsi="Times New Roman"/>
          <w:color w:val="231F20"/>
          <w:sz w:val="16"/>
        </w:rPr>
        <w:t>puede</w:t>
      </w:r>
      <w:r>
        <w:rPr>
          <w:rFonts w:ascii="Times New Roman" w:hAnsi="Times New Roman"/>
          <w:color w:val="231F20"/>
          <w:spacing w:val="-16"/>
          <w:sz w:val="16"/>
        </w:rPr>
        <w:t> </w:t>
      </w:r>
      <w:r>
        <w:rPr>
          <w:rFonts w:ascii="Times New Roman" w:hAnsi="Times New Roman"/>
          <w:color w:val="231F20"/>
          <w:sz w:val="16"/>
        </w:rPr>
        <w:t>ocasionar</w:t>
      </w:r>
      <w:r>
        <w:rPr>
          <w:rFonts w:ascii="Times New Roman" w:hAnsi="Times New Roman"/>
          <w:color w:val="231F20"/>
          <w:spacing w:val="-16"/>
          <w:sz w:val="16"/>
        </w:rPr>
        <w:t> </w:t>
      </w:r>
      <w:r>
        <w:rPr>
          <w:rFonts w:ascii="Times New Roman" w:hAnsi="Times New Roman"/>
          <w:color w:val="231F20"/>
          <w:sz w:val="16"/>
        </w:rPr>
        <w:t>efectos adversos</w:t>
      </w:r>
      <w:r>
        <w:rPr>
          <w:rFonts w:ascii="Times New Roman" w:hAnsi="Times New Roman"/>
          <w:color w:val="231F20"/>
          <w:spacing w:val="-15"/>
          <w:sz w:val="16"/>
        </w:rPr>
        <w:t> </w:t>
      </w:r>
      <w:r>
        <w:rPr>
          <w:rFonts w:ascii="Times New Roman" w:hAnsi="Times New Roman"/>
          <w:color w:val="231F20"/>
          <w:sz w:val="16"/>
        </w:rPr>
        <w:t>en</w:t>
      </w:r>
      <w:r>
        <w:rPr>
          <w:rFonts w:ascii="Times New Roman" w:hAnsi="Times New Roman"/>
          <w:color w:val="231F20"/>
          <w:spacing w:val="-15"/>
          <w:sz w:val="16"/>
        </w:rPr>
        <w:t> </w:t>
      </w:r>
      <w:r>
        <w:rPr>
          <w:rFonts w:ascii="Times New Roman" w:hAnsi="Times New Roman"/>
          <w:color w:val="231F20"/>
          <w:sz w:val="16"/>
        </w:rPr>
        <w:t>la</w:t>
      </w:r>
      <w:r>
        <w:rPr>
          <w:rFonts w:ascii="Times New Roman" w:hAnsi="Times New Roman"/>
          <w:color w:val="231F20"/>
          <w:spacing w:val="-15"/>
          <w:sz w:val="16"/>
        </w:rPr>
        <w:t> </w:t>
      </w:r>
      <w:r>
        <w:rPr>
          <w:rFonts w:ascii="Times New Roman" w:hAnsi="Times New Roman"/>
          <w:color w:val="231F20"/>
          <w:sz w:val="16"/>
        </w:rPr>
        <w:t>salud</w:t>
      </w:r>
      <w:r>
        <w:rPr>
          <w:rFonts w:ascii="Times New Roman" w:hAnsi="Times New Roman"/>
          <w:color w:val="231F20"/>
          <w:spacing w:val="-15"/>
          <w:sz w:val="16"/>
        </w:rPr>
        <w:t> </w:t>
      </w:r>
      <w:r>
        <w:rPr>
          <w:rFonts w:ascii="Times New Roman" w:hAnsi="Times New Roman"/>
          <w:color w:val="231F20"/>
          <w:sz w:val="16"/>
        </w:rPr>
        <w:t>pública</w:t>
      </w:r>
      <w:r>
        <w:rPr>
          <w:rFonts w:ascii="Times New Roman" w:hAnsi="Times New Roman"/>
          <w:color w:val="231F20"/>
          <w:spacing w:val="-15"/>
          <w:sz w:val="16"/>
        </w:rPr>
        <w:t> </w:t>
      </w:r>
      <w:r>
        <w:rPr>
          <w:rFonts w:ascii="Times New Roman" w:hAnsi="Times New Roman"/>
          <w:color w:val="231F20"/>
          <w:sz w:val="16"/>
        </w:rPr>
        <w:t>y</w:t>
      </w:r>
      <w:r>
        <w:rPr>
          <w:rFonts w:ascii="Times New Roman" w:hAnsi="Times New Roman"/>
          <w:color w:val="231F20"/>
          <w:spacing w:val="-15"/>
          <w:sz w:val="16"/>
        </w:rPr>
        <w:t> </w:t>
      </w:r>
      <w:r>
        <w:rPr>
          <w:rFonts w:ascii="Times New Roman" w:hAnsi="Times New Roman"/>
          <w:color w:val="231F20"/>
          <w:sz w:val="16"/>
        </w:rPr>
        <w:t>al</w:t>
      </w:r>
      <w:r>
        <w:rPr>
          <w:rFonts w:ascii="Times New Roman" w:hAnsi="Times New Roman"/>
          <w:color w:val="231F20"/>
          <w:spacing w:val="-15"/>
          <w:sz w:val="16"/>
        </w:rPr>
        <w:t> </w:t>
      </w:r>
      <w:r>
        <w:rPr>
          <w:rFonts w:ascii="Times New Roman" w:hAnsi="Times New Roman"/>
          <w:color w:val="231F20"/>
          <w:sz w:val="16"/>
        </w:rPr>
        <w:t>ambiente,</w:t>
      </w:r>
      <w:r>
        <w:rPr>
          <w:rFonts w:ascii="Times New Roman" w:hAnsi="Times New Roman"/>
          <w:color w:val="231F20"/>
          <w:spacing w:val="-15"/>
          <w:sz w:val="16"/>
        </w:rPr>
        <w:t> </w:t>
      </w:r>
      <w:r>
        <w:rPr>
          <w:rFonts w:ascii="Times New Roman" w:hAnsi="Times New Roman"/>
          <w:color w:val="231F20"/>
          <w:sz w:val="16"/>
        </w:rPr>
        <w:t>ya</w:t>
      </w:r>
      <w:r>
        <w:rPr>
          <w:rFonts w:ascii="Times New Roman" w:hAnsi="Times New Roman"/>
          <w:color w:val="231F20"/>
          <w:spacing w:val="-15"/>
          <w:sz w:val="16"/>
        </w:rPr>
        <w:t> </w:t>
      </w:r>
      <w:r>
        <w:rPr>
          <w:rFonts w:ascii="Times New Roman" w:hAnsi="Times New Roman"/>
          <w:color w:val="231F20"/>
          <w:sz w:val="16"/>
        </w:rPr>
        <w:t>sea</w:t>
      </w:r>
      <w:r>
        <w:rPr>
          <w:rFonts w:ascii="Times New Roman" w:hAnsi="Times New Roman"/>
          <w:color w:val="231F20"/>
          <w:spacing w:val="-15"/>
          <w:sz w:val="16"/>
        </w:rPr>
        <w:t> </w:t>
      </w:r>
      <w:r>
        <w:rPr>
          <w:rFonts w:ascii="Times New Roman" w:hAnsi="Times New Roman"/>
          <w:color w:val="231F20"/>
          <w:sz w:val="16"/>
        </w:rPr>
        <w:t>por exposición directa o indirecta (WHO</w:t>
      </w:r>
      <w:r>
        <w:rPr>
          <w:rFonts w:ascii="Times New Roman" w:hAnsi="Times New Roman"/>
          <w:color w:val="231F20"/>
          <w:spacing w:val="-4"/>
          <w:sz w:val="16"/>
        </w:rPr>
        <w:t> </w:t>
      </w:r>
      <w:r>
        <w:rPr>
          <w:rFonts w:ascii="Times New Roman" w:hAnsi="Times New Roman"/>
          <w:color w:val="231F20"/>
          <w:sz w:val="16"/>
        </w:rPr>
        <w:t>2004).</w:t>
      </w:r>
    </w:p>
    <w:p>
      <w:pPr>
        <w:spacing w:line="174" w:lineRule="exact" w:before="0"/>
        <w:ind w:left="1188" w:right="0" w:firstLine="206"/>
        <w:jc w:val="both"/>
        <w:rPr>
          <w:rFonts w:ascii="Times New Roman" w:hAnsi="Times New Roman"/>
          <w:sz w:val="16"/>
        </w:rPr>
      </w:pPr>
      <w:r>
        <w:rPr>
          <w:rFonts w:ascii="Times New Roman" w:hAnsi="Times New Roman"/>
          <w:color w:val="231F20"/>
          <w:sz w:val="16"/>
        </w:rPr>
        <w:t>En</w:t>
      </w:r>
      <w:r>
        <w:rPr>
          <w:rFonts w:ascii="Times New Roman" w:hAnsi="Times New Roman"/>
          <w:color w:val="231F20"/>
          <w:spacing w:val="-9"/>
          <w:sz w:val="16"/>
        </w:rPr>
        <w:t> </w:t>
      </w:r>
      <w:r>
        <w:rPr>
          <w:rFonts w:ascii="Times New Roman" w:hAnsi="Times New Roman"/>
          <w:color w:val="231F20"/>
          <w:sz w:val="16"/>
        </w:rPr>
        <w:t>México,</w:t>
      </w:r>
      <w:r>
        <w:rPr>
          <w:rFonts w:ascii="Times New Roman" w:hAnsi="Times New Roman"/>
          <w:color w:val="231F20"/>
          <w:spacing w:val="-9"/>
          <w:sz w:val="16"/>
        </w:rPr>
        <w:t> </w:t>
      </w:r>
      <w:r>
        <w:rPr>
          <w:rFonts w:ascii="Times New Roman" w:hAnsi="Times New Roman"/>
          <w:color w:val="231F20"/>
          <w:sz w:val="16"/>
        </w:rPr>
        <w:t>en</w:t>
      </w:r>
      <w:r>
        <w:rPr>
          <w:rFonts w:ascii="Times New Roman" w:hAnsi="Times New Roman"/>
          <w:color w:val="231F20"/>
          <w:spacing w:val="-9"/>
          <w:sz w:val="16"/>
        </w:rPr>
        <w:t> </w:t>
      </w:r>
      <w:r>
        <w:rPr>
          <w:rFonts w:ascii="Times New Roman" w:hAnsi="Times New Roman"/>
          <w:color w:val="231F20"/>
          <w:sz w:val="16"/>
        </w:rPr>
        <w:t>2010</w:t>
      </w:r>
      <w:r>
        <w:rPr>
          <w:rFonts w:ascii="Times New Roman" w:hAnsi="Times New Roman"/>
          <w:color w:val="231F20"/>
          <w:spacing w:val="-9"/>
          <w:sz w:val="16"/>
        </w:rPr>
        <w:t> </w:t>
      </w:r>
      <w:r>
        <w:rPr>
          <w:rFonts w:ascii="Times New Roman" w:hAnsi="Times New Roman"/>
          <w:color w:val="231F20"/>
          <w:sz w:val="16"/>
        </w:rPr>
        <w:t>se</w:t>
      </w:r>
      <w:r>
        <w:rPr>
          <w:rFonts w:ascii="Times New Roman" w:hAnsi="Times New Roman"/>
          <w:color w:val="231F20"/>
          <w:spacing w:val="-9"/>
          <w:sz w:val="16"/>
        </w:rPr>
        <w:t> </w:t>
      </w:r>
      <w:r>
        <w:rPr>
          <w:rFonts w:ascii="Times New Roman" w:hAnsi="Times New Roman"/>
          <w:color w:val="231F20"/>
          <w:sz w:val="16"/>
        </w:rPr>
        <w:t>cosecharon</w:t>
      </w:r>
      <w:r>
        <w:rPr>
          <w:rFonts w:ascii="Times New Roman" w:hAnsi="Times New Roman"/>
          <w:color w:val="231F20"/>
          <w:spacing w:val="-9"/>
          <w:sz w:val="16"/>
        </w:rPr>
        <w:t> </w:t>
      </w:r>
      <w:r>
        <w:rPr>
          <w:rFonts w:ascii="Times New Roman" w:hAnsi="Times New Roman"/>
          <w:color w:val="231F20"/>
          <w:sz w:val="16"/>
        </w:rPr>
        <w:t>1.50</w:t>
      </w:r>
      <w:r>
        <w:rPr>
          <w:rFonts w:ascii="Times New Roman" w:hAnsi="Times New Roman"/>
          <w:color w:val="231F20"/>
          <w:spacing w:val="-9"/>
          <w:sz w:val="16"/>
        </w:rPr>
        <w:t> </w:t>
      </w:r>
      <w:r>
        <w:rPr>
          <w:rFonts w:ascii="Times New Roman" w:hAnsi="Times New Roman"/>
          <w:color w:val="231F20"/>
          <w:sz w:val="16"/>
        </w:rPr>
        <w:t>millones de toneladas de papa (</w:t>
      </w:r>
      <w:r>
        <w:rPr>
          <w:rFonts w:ascii="Times New Roman" w:hAnsi="Times New Roman"/>
          <w:i/>
          <w:color w:val="231F20"/>
          <w:sz w:val="16"/>
        </w:rPr>
        <w:t>Solanum tuberosum</w:t>
      </w:r>
      <w:r>
        <w:rPr>
          <w:rFonts w:ascii="Times New Roman" w:hAnsi="Times New Roman"/>
          <w:color w:val="231F20"/>
          <w:sz w:val="16"/>
        </w:rPr>
        <w:t>) en una superficie de 55 645.63 hectáreas, obteniéndose un rendimiento promedio de 27.76 toneladas por hec- tárea, ubicando a este cultivo en el segundo lugar nacional de la producción hortícola. El Estado de México</w:t>
      </w:r>
      <w:r>
        <w:rPr>
          <w:rFonts w:ascii="Times New Roman" w:hAnsi="Times New Roman"/>
          <w:color w:val="231F20"/>
          <w:spacing w:val="-17"/>
          <w:sz w:val="16"/>
        </w:rPr>
        <w:t> </w:t>
      </w:r>
      <w:r>
        <w:rPr>
          <w:rFonts w:ascii="Times New Roman" w:hAnsi="Times New Roman"/>
          <w:color w:val="231F20"/>
          <w:sz w:val="16"/>
        </w:rPr>
        <w:t>destina</w:t>
      </w:r>
      <w:r>
        <w:rPr>
          <w:rFonts w:ascii="Times New Roman" w:hAnsi="Times New Roman"/>
          <w:color w:val="231F20"/>
          <w:spacing w:val="-17"/>
          <w:sz w:val="16"/>
        </w:rPr>
        <w:t> </w:t>
      </w:r>
      <w:r>
        <w:rPr>
          <w:rFonts w:ascii="Times New Roman" w:hAnsi="Times New Roman"/>
          <w:color w:val="231F20"/>
          <w:sz w:val="16"/>
        </w:rPr>
        <w:t>para</w:t>
      </w:r>
      <w:r>
        <w:rPr>
          <w:rFonts w:ascii="Times New Roman" w:hAnsi="Times New Roman"/>
          <w:color w:val="231F20"/>
          <w:spacing w:val="-17"/>
          <w:sz w:val="16"/>
        </w:rPr>
        <w:t> </w:t>
      </w:r>
      <w:r>
        <w:rPr>
          <w:rFonts w:ascii="Times New Roman" w:hAnsi="Times New Roman"/>
          <w:color w:val="231F20"/>
          <w:sz w:val="16"/>
        </w:rPr>
        <w:t>el</w:t>
      </w:r>
      <w:r>
        <w:rPr>
          <w:rFonts w:ascii="Times New Roman" w:hAnsi="Times New Roman"/>
          <w:color w:val="231F20"/>
          <w:spacing w:val="-17"/>
          <w:sz w:val="16"/>
        </w:rPr>
        <w:t> </w:t>
      </w:r>
      <w:r>
        <w:rPr>
          <w:rFonts w:ascii="Times New Roman" w:hAnsi="Times New Roman"/>
          <w:color w:val="231F20"/>
          <w:sz w:val="16"/>
        </w:rPr>
        <w:t>cultivo</w:t>
      </w:r>
      <w:r>
        <w:rPr>
          <w:rFonts w:ascii="Times New Roman" w:hAnsi="Times New Roman"/>
          <w:color w:val="231F20"/>
          <w:spacing w:val="-17"/>
          <w:sz w:val="16"/>
        </w:rPr>
        <w:t> </w:t>
      </w:r>
      <w:r>
        <w:rPr>
          <w:rFonts w:ascii="Times New Roman" w:hAnsi="Times New Roman"/>
          <w:color w:val="231F20"/>
          <w:sz w:val="16"/>
        </w:rPr>
        <w:t>de</w:t>
      </w:r>
      <w:r>
        <w:rPr>
          <w:rFonts w:ascii="Times New Roman" w:hAnsi="Times New Roman"/>
          <w:color w:val="231F20"/>
          <w:spacing w:val="-17"/>
          <w:sz w:val="16"/>
        </w:rPr>
        <w:t> </w:t>
      </w:r>
      <w:r>
        <w:rPr>
          <w:rFonts w:ascii="Times New Roman" w:hAnsi="Times New Roman"/>
          <w:color w:val="231F20"/>
          <w:sz w:val="16"/>
        </w:rPr>
        <w:t>papa</w:t>
      </w:r>
      <w:r>
        <w:rPr>
          <w:rFonts w:ascii="Times New Roman" w:hAnsi="Times New Roman"/>
          <w:color w:val="231F20"/>
          <w:spacing w:val="-17"/>
          <w:sz w:val="16"/>
        </w:rPr>
        <w:t> </w:t>
      </w:r>
      <w:r>
        <w:rPr>
          <w:rFonts w:ascii="Times New Roman" w:hAnsi="Times New Roman"/>
          <w:color w:val="231F20"/>
          <w:sz w:val="16"/>
        </w:rPr>
        <w:t>una</w:t>
      </w:r>
      <w:r>
        <w:rPr>
          <w:rFonts w:ascii="Times New Roman" w:hAnsi="Times New Roman"/>
          <w:color w:val="231F20"/>
          <w:spacing w:val="-17"/>
          <w:sz w:val="16"/>
        </w:rPr>
        <w:t> </w:t>
      </w:r>
      <w:r>
        <w:rPr>
          <w:rFonts w:ascii="Times New Roman" w:hAnsi="Times New Roman"/>
          <w:color w:val="231F20"/>
          <w:sz w:val="16"/>
        </w:rPr>
        <w:t>superficie de 4 036.50 hectáreas, con un rendimiento prome- dio de 26.71 toneladas por hectárea (SIAP 2010), ubicándose como el sexto estado productor de este cultivo en el</w:t>
      </w:r>
      <w:r>
        <w:rPr>
          <w:rFonts w:ascii="Times New Roman" w:hAnsi="Times New Roman"/>
          <w:color w:val="231F20"/>
          <w:spacing w:val="-3"/>
          <w:sz w:val="16"/>
        </w:rPr>
        <w:t> </w:t>
      </w:r>
      <w:r>
        <w:rPr>
          <w:rFonts w:ascii="Times New Roman" w:hAnsi="Times New Roman"/>
          <w:color w:val="231F20"/>
          <w:sz w:val="16"/>
        </w:rPr>
        <w:t>país.</w:t>
      </w:r>
    </w:p>
    <w:p>
      <w:pPr>
        <w:spacing w:line="174" w:lineRule="exact" w:before="0"/>
        <w:ind w:left="1188" w:right="0" w:firstLine="206"/>
        <w:jc w:val="both"/>
        <w:rPr>
          <w:rFonts w:ascii="Times New Roman" w:hAnsi="Times New Roman"/>
          <w:sz w:val="16"/>
        </w:rPr>
      </w:pPr>
      <w:r>
        <w:rPr>
          <w:rFonts w:ascii="Times New Roman" w:hAnsi="Times New Roman"/>
          <w:color w:val="231F20"/>
          <w:sz w:val="16"/>
        </w:rPr>
        <w:t>El tizón tardío (</w:t>
      </w:r>
      <w:r>
        <w:rPr>
          <w:rFonts w:ascii="Times New Roman" w:hAnsi="Times New Roman"/>
          <w:i/>
          <w:color w:val="231F20"/>
          <w:sz w:val="16"/>
        </w:rPr>
        <w:t>Phytophthora infestans</w:t>
      </w:r>
      <w:r>
        <w:rPr>
          <w:rFonts w:ascii="Times New Roman" w:hAnsi="Times New Roman"/>
          <w:color w:val="231F20"/>
          <w:sz w:val="16"/>
        </w:rPr>
        <w:t>) es</w:t>
      </w:r>
      <w:r>
        <w:rPr>
          <w:rFonts w:ascii="Times New Roman" w:hAnsi="Times New Roman"/>
          <w:color w:val="231F20"/>
          <w:spacing w:val="-8"/>
          <w:sz w:val="16"/>
        </w:rPr>
        <w:t> </w:t>
      </w:r>
      <w:r>
        <w:rPr>
          <w:rFonts w:ascii="Times New Roman" w:hAnsi="Times New Roman"/>
          <w:color w:val="231F20"/>
          <w:sz w:val="16"/>
        </w:rPr>
        <w:t>reco- nocido</w:t>
      </w:r>
      <w:r>
        <w:rPr>
          <w:rFonts w:ascii="Times New Roman" w:hAnsi="Times New Roman"/>
          <w:color w:val="231F20"/>
          <w:spacing w:val="-22"/>
          <w:sz w:val="16"/>
        </w:rPr>
        <w:t> </w:t>
      </w:r>
      <w:r>
        <w:rPr>
          <w:rFonts w:ascii="Times New Roman" w:hAnsi="Times New Roman"/>
          <w:color w:val="231F20"/>
          <w:sz w:val="16"/>
        </w:rPr>
        <w:t>como</w:t>
      </w:r>
      <w:r>
        <w:rPr>
          <w:rFonts w:ascii="Times New Roman" w:hAnsi="Times New Roman"/>
          <w:color w:val="231F20"/>
          <w:spacing w:val="-22"/>
          <w:sz w:val="16"/>
        </w:rPr>
        <w:t> </w:t>
      </w:r>
      <w:r>
        <w:rPr>
          <w:rFonts w:ascii="Times New Roman" w:hAnsi="Times New Roman"/>
          <w:color w:val="231F20"/>
          <w:sz w:val="16"/>
        </w:rPr>
        <w:t>la</w:t>
      </w:r>
      <w:r>
        <w:rPr>
          <w:rFonts w:ascii="Times New Roman" w:hAnsi="Times New Roman"/>
          <w:color w:val="231F20"/>
          <w:spacing w:val="-22"/>
          <w:sz w:val="16"/>
        </w:rPr>
        <w:t> </w:t>
      </w:r>
      <w:r>
        <w:rPr>
          <w:rFonts w:ascii="Times New Roman" w:hAnsi="Times New Roman"/>
          <w:color w:val="231F20"/>
          <w:sz w:val="16"/>
        </w:rPr>
        <w:t>principal</w:t>
      </w:r>
      <w:r>
        <w:rPr>
          <w:rFonts w:ascii="Times New Roman" w:hAnsi="Times New Roman"/>
          <w:color w:val="231F20"/>
          <w:spacing w:val="-22"/>
          <w:sz w:val="16"/>
        </w:rPr>
        <w:t> </w:t>
      </w:r>
      <w:r>
        <w:rPr>
          <w:rFonts w:ascii="Times New Roman" w:hAnsi="Times New Roman"/>
          <w:color w:val="231F20"/>
          <w:sz w:val="16"/>
        </w:rPr>
        <w:t>enfermedad</w:t>
      </w:r>
      <w:r>
        <w:rPr>
          <w:rFonts w:ascii="Times New Roman" w:hAnsi="Times New Roman"/>
          <w:color w:val="231F20"/>
          <w:spacing w:val="-22"/>
          <w:sz w:val="16"/>
        </w:rPr>
        <w:t> </w:t>
      </w:r>
      <w:r>
        <w:rPr>
          <w:rFonts w:ascii="Times New Roman" w:hAnsi="Times New Roman"/>
          <w:color w:val="231F20"/>
          <w:sz w:val="16"/>
        </w:rPr>
        <w:t>a</w:t>
      </w:r>
      <w:r>
        <w:rPr>
          <w:rFonts w:ascii="Times New Roman" w:hAnsi="Times New Roman"/>
          <w:color w:val="231F20"/>
          <w:spacing w:val="-22"/>
          <w:sz w:val="16"/>
        </w:rPr>
        <w:t> </w:t>
      </w:r>
      <w:r>
        <w:rPr>
          <w:rFonts w:ascii="Times New Roman" w:hAnsi="Times New Roman"/>
          <w:color w:val="231F20"/>
          <w:sz w:val="16"/>
        </w:rPr>
        <w:t>nivel</w:t>
      </w:r>
      <w:r>
        <w:rPr>
          <w:rFonts w:ascii="Times New Roman" w:hAnsi="Times New Roman"/>
          <w:color w:val="231F20"/>
          <w:spacing w:val="-22"/>
          <w:sz w:val="16"/>
        </w:rPr>
        <w:t> </w:t>
      </w:r>
      <w:r>
        <w:rPr>
          <w:rFonts w:ascii="Times New Roman" w:hAnsi="Times New Roman"/>
          <w:color w:val="231F20"/>
          <w:sz w:val="16"/>
        </w:rPr>
        <w:t>mundial en el cultivo de papa, ocasionando pérdidas econó- micas por 2.75 billones de dólares anuales (Salazar </w:t>
      </w:r>
      <w:r>
        <w:rPr>
          <w:rFonts w:ascii="Times New Roman" w:hAnsi="Times New Roman"/>
          <w:i/>
          <w:color w:val="231F20"/>
          <w:sz w:val="16"/>
        </w:rPr>
        <w:t>et al. </w:t>
      </w:r>
      <w:r>
        <w:rPr>
          <w:rFonts w:ascii="Times New Roman" w:hAnsi="Times New Roman"/>
          <w:color w:val="231F20"/>
          <w:sz w:val="16"/>
        </w:rPr>
        <w:t>2009). El 80 % de los fungicidas utilizados  en el cultivo de papa se destinan para controlar a </w:t>
      </w:r>
      <w:r>
        <w:rPr>
          <w:rFonts w:ascii="Times New Roman" w:hAnsi="Times New Roman"/>
          <w:i/>
          <w:color w:val="231F20"/>
          <w:sz w:val="16"/>
        </w:rPr>
        <w:t>Phytophthora infestans</w:t>
      </w:r>
      <w:r>
        <w:rPr>
          <w:rFonts w:ascii="Times New Roman" w:hAnsi="Times New Roman"/>
          <w:color w:val="231F20"/>
          <w:sz w:val="16"/>
        </w:rPr>
        <w:t>. Entre los fungicidas más utilizados</w:t>
      </w:r>
      <w:r>
        <w:rPr>
          <w:rFonts w:ascii="Times New Roman" w:hAnsi="Times New Roman"/>
          <w:color w:val="231F20"/>
          <w:spacing w:val="-5"/>
          <w:sz w:val="16"/>
        </w:rPr>
        <w:t> </w:t>
      </w:r>
      <w:r>
        <w:rPr>
          <w:rFonts w:ascii="Times New Roman" w:hAnsi="Times New Roman"/>
          <w:color w:val="231F20"/>
          <w:sz w:val="16"/>
        </w:rPr>
        <w:t>contra</w:t>
      </w:r>
      <w:r>
        <w:rPr>
          <w:rFonts w:ascii="Times New Roman" w:hAnsi="Times New Roman"/>
          <w:color w:val="231F20"/>
          <w:spacing w:val="-5"/>
          <w:sz w:val="16"/>
        </w:rPr>
        <w:t> </w:t>
      </w:r>
      <w:r>
        <w:rPr>
          <w:rFonts w:ascii="Times New Roman" w:hAnsi="Times New Roman"/>
          <w:color w:val="231F20"/>
          <w:sz w:val="16"/>
        </w:rPr>
        <w:t>este</w:t>
      </w:r>
      <w:r>
        <w:rPr>
          <w:rFonts w:ascii="Times New Roman" w:hAnsi="Times New Roman"/>
          <w:color w:val="231F20"/>
          <w:spacing w:val="-5"/>
          <w:sz w:val="16"/>
        </w:rPr>
        <w:t> </w:t>
      </w:r>
      <w:r>
        <w:rPr>
          <w:rFonts w:ascii="Times New Roman" w:hAnsi="Times New Roman"/>
          <w:color w:val="231F20"/>
          <w:sz w:val="16"/>
        </w:rPr>
        <w:t>patógeno</w:t>
      </w:r>
      <w:r>
        <w:rPr>
          <w:rFonts w:ascii="Times New Roman" w:hAnsi="Times New Roman"/>
          <w:color w:val="231F20"/>
          <w:spacing w:val="-5"/>
          <w:sz w:val="16"/>
        </w:rPr>
        <w:t> </w:t>
      </w:r>
      <w:r>
        <w:rPr>
          <w:rFonts w:ascii="Times New Roman" w:hAnsi="Times New Roman"/>
          <w:color w:val="231F20"/>
          <w:sz w:val="16"/>
        </w:rPr>
        <w:t>destacan</w:t>
      </w:r>
      <w:r>
        <w:rPr>
          <w:rFonts w:ascii="Times New Roman" w:hAnsi="Times New Roman"/>
          <w:color w:val="231F20"/>
          <w:spacing w:val="-5"/>
          <w:sz w:val="16"/>
        </w:rPr>
        <w:t> </w:t>
      </w:r>
      <w:r>
        <w:rPr>
          <w:rFonts w:ascii="Times New Roman" w:hAnsi="Times New Roman"/>
          <w:color w:val="231F20"/>
          <w:sz w:val="16"/>
        </w:rPr>
        <w:t>el</w:t>
      </w:r>
      <w:r>
        <w:rPr>
          <w:rFonts w:ascii="Times New Roman" w:hAnsi="Times New Roman"/>
          <w:color w:val="231F20"/>
          <w:spacing w:val="-5"/>
          <w:sz w:val="16"/>
        </w:rPr>
        <w:t> </w:t>
      </w:r>
      <w:r>
        <w:rPr>
          <w:rFonts w:ascii="Times New Roman" w:hAnsi="Times New Roman"/>
          <w:color w:val="231F20"/>
          <w:sz w:val="16"/>
        </w:rPr>
        <w:t>grupo</w:t>
      </w:r>
      <w:r>
        <w:rPr>
          <w:rFonts w:ascii="Times New Roman" w:hAnsi="Times New Roman"/>
          <w:color w:val="231F20"/>
          <w:spacing w:val="-5"/>
          <w:sz w:val="16"/>
        </w:rPr>
        <w:t> </w:t>
      </w:r>
      <w:r>
        <w:rPr>
          <w:rFonts w:ascii="Times New Roman" w:hAnsi="Times New Roman"/>
          <w:color w:val="231F20"/>
          <w:sz w:val="16"/>
        </w:rPr>
        <w:t>de las</w:t>
      </w:r>
      <w:r>
        <w:rPr>
          <w:rFonts w:ascii="Times New Roman" w:hAnsi="Times New Roman"/>
          <w:color w:val="231F20"/>
          <w:spacing w:val="-10"/>
          <w:sz w:val="16"/>
        </w:rPr>
        <w:t> </w:t>
      </w:r>
      <w:r>
        <w:rPr>
          <w:rFonts w:ascii="Times New Roman" w:hAnsi="Times New Roman"/>
          <w:color w:val="231F20"/>
          <w:sz w:val="16"/>
        </w:rPr>
        <w:t>fenilamidas,</w:t>
      </w:r>
      <w:r>
        <w:rPr>
          <w:rFonts w:ascii="Times New Roman" w:hAnsi="Times New Roman"/>
          <w:color w:val="231F20"/>
          <w:spacing w:val="-10"/>
          <w:sz w:val="16"/>
        </w:rPr>
        <w:t> </w:t>
      </w:r>
      <w:r>
        <w:rPr>
          <w:rFonts w:ascii="Times New Roman" w:hAnsi="Times New Roman"/>
          <w:color w:val="231F20"/>
          <w:sz w:val="16"/>
        </w:rPr>
        <w:t>al</w:t>
      </w:r>
      <w:r>
        <w:rPr>
          <w:rFonts w:ascii="Times New Roman" w:hAnsi="Times New Roman"/>
          <w:color w:val="231F20"/>
          <w:spacing w:val="-10"/>
          <w:sz w:val="16"/>
        </w:rPr>
        <w:t> </w:t>
      </w:r>
      <w:r>
        <w:rPr>
          <w:rFonts w:ascii="Times New Roman" w:hAnsi="Times New Roman"/>
          <w:color w:val="231F20"/>
          <w:sz w:val="16"/>
        </w:rPr>
        <w:t>cual</w:t>
      </w:r>
      <w:r>
        <w:rPr>
          <w:rFonts w:ascii="Times New Roman" w:hAnsi="Times New Roman"/>
          <w:color w:val="231F20"/>
          <w:spacing w:val="-10"/>
          <w:sz w:val="16"/>
        </w:rPr>
        <w:t> </w:t>
      </w:r>
      <w:r>
        <w:rPr>
          <w:rFonts w:ascii="Times New Roman" w:hAnsi="Times New Roman"/>
          <w:color w:val="231F20"/>
          <w:sz w:val="16"/>
        </w:rPr>
        <w:t>pertenece</w:t>
      </w:r>
      <w:r>
        <w:rPr>
          <w:rFonts w:ascii="Times New Roman" w:hAnsi="Times New Roman"/>
          <w:color w:val="231F20"/>
          <w:spacing w:val="-10"/>
          <w:sz w:val="16"/>
        </w:rPr>
        <w:t> </w:t>
      </w:r>
      <w:r>
        <w:rPr>
          <w:rFonts w:ascii="Times New Roman" w:hAnsi="Times New Roman"/>
          <w:color w:val="231F20"/>
          <w:sz w:val="16"/>
        </w:rPr>
        <w:t>el</w:t>
      </w:r>
      <w:r>
        <w:rPr>
          <w:rFonts w:ascii="Times New Roman" w:hAnsi="Times New Roman"/>
          <w:color w:val="231F20"/>
          <w:spacing w:val="-10"/>
          <w:sz w:val="16"/>
        </w:rPr>
        <w:t> </w:t>
      </w:r>
      <w:r>
        <w:rPr>
          <w:rFonts w:ascii="Times New Roman" w:hAnsi="Times New Roman"/>
          <w:color w:val="231F20"/>
          <w:sz w:val="16"/>
        </w:rPr>
        <w:t>metalaxil,</w:t>
      </w:r>
      <w:r>
        <w:rPr>
          <w:rFonts w:ascii="Times New Roman" w:hAnsi="Times New Roman"/>
          <w:color w:val="231F20"/>
          <w:spacing w:val="-10"/>
          <w:sz w:val="16"/>
        </w:rPr>
        <w:t> </w:t>
      </w:r>
      <w:r>
        <w:rPr>
          <w:rFonts w:ascii="Times New Roman" w:hAnsi="Times New Roman"/>
          <w:color w:val="231F20"/>
          <w:sz w:val="16"/>
        </w:rPr>
        <w:t>cuyas propiedades</w:t>
      </w:r>
      <w:r>
        <w:rPr>
          <w:rFonts w:ascii="Times New Roman" w:hAnsi="Times New Roman"/>
          <w:color w:val="231F20"/>
          <w:spacing w:val="-17"/>
          <w:sz w:val="16"/>
        </w:rPr>
        <w:t> </w:t>
      </w:r>
      <w:r>
        <w:rPr>
          <w:rFonts w:ascii="Times New Roman" w:hAnsi="Times New Roman"/>
          <w:color w:val="231F20"/>
          <w:sz w:val="16"/>
        </w:rPr>
        <w:t>químicas</w:t>
      </w:r>
      <w:r>
        <w:rPr>
          <w:rFonts w:ascii="Times New Roman" w:hAnsi="Times New Roman"/>
          <w:color w:val="231F20"/>
          <w:spacing w:val="-17"/>
          <w:sz w:val="16"/>
        </w:rPr>
        <w:t> </w:t>
      </w:r>
      <w:r>
        <w:rPr>
          <w:rFonts w:ascii="Times New Roman" w:hAnsi="Times New Roman"/>
          <w:color w:val="231F20"/>
          <w:sz w:val="16"/>
        </w:rPr>
        <w:t>le</w:t>
      </w:r>
      <w:r>
        <w:rPr>
          <w:rFonts w:ascii="Times New Roman" w:hAnsi="Times New Roman"/>
          <w:color w:val="231F20"/>
          <w:spacing w:val="-17"/>
          <w:sz w:val="16"/>
        </w:rPr>
        <w:t> </w:t>
      </w:r>
      <w:r>
        <w:rPr>
          <w:rFonts w:ascii="Times New Roman" w:hAnsi="Times New Roman"/>
          <w:color w:val="231F20"/>
          <w:sz w:val="16"/>
        </w:rPr>
        <w:t>confieren</w:t>
      </w:r>
      <w:r>
        <w:rPr>
          <w:rFonts w:ascii="Times New Roman" w:hAnsi="Times New Roman"/>
          <w:color w:val="231F20"/>
          <w:spacing w:val="-17"/>
          <w:sz w:val="16"/>
        </w:rPr>
        <w:t> </w:t>
      </w:r>
      <w:r>
        <w:rPr>
          <w:rFonts w:ascii="Times New Roman" w:hAnsi="Times New Roman"/>
          <w:color w:val="231F20"/>
          <w:sz w:val="16"/>
        </w:rPr>
        <w:t>alto</w:t>
      </w:r>
      <w:r>
        <w:rPr>
          <w:rFonts w:ascii="Times New Roman" w:hAnsi="Times New Roman"/>
          <w:color w:val="231F20"/>
          <w:spacing w:val="-17"/>
          <w:sz w:val="16"/>
        </w:rPr>
        <w:t> </w:t>
      </w:r>
      <w:r>
        <w:rPr>
          <w:rFonts w:ascii="Times New Roman" w:hAnsi="Times New Roman"/>
          <w:color w:val="231F20"/>
          <w:sz w:val="16"/>
        </w:rPr>
        <w:t>peligro</w:t>
      </w:r>
      <w:r>
        <w:rPr>
          <w:rFonts w:ascii="Times New Roman" w:hAnsi="Times New Roman"/>
          <w:color w:val="231F20"/>
          <w:spacing w:val="-17"/>
          <w:sz w:val="16"/>
        </w:rPr>
        <w:t> </w:t>
      </w:r>
      <w:r>
        <w:rPr>
          <w:rFonts w:ascii="Times New Roman" w:hAnsi="Times New Roman"/>
          <w:color w:val="231F20"/>
          <w:sz w:val="16"/>
        </w:rPr>
        <w:t>por</w:t>
      </w:r>
      <w:r>
        <w:rPr>
          <w:rFonts w:ascii="Times New Roman" w:hAnsi="Times New Roman"/>
          <w:color w:val="231F20"/>
          <w:spacing w:val="-17"/>
          <w:sz w:val="16"/>
        </w:rPr>
        <w:t> </w:t>
      </w:r>
      <w:r>
        <w:rPr>
          <w:rFonts w:ascii="Times New Roman" w:hAnsi="Times New Roman"/>
          <w:color w:val="231F20"/>
          <w:sz w:val="16"/>
        </w:rPr>
        <w:t>su facilidad para dispersarse y contaminar los cuerpos de</w:t>
      </w:r>
      <w:r>
        <w:rPr>
          <w:rFonts w:ascii="Times New Roman" w:hAnsi="Times New Roman"/>
          <w:color w:val="231F20"/>
          <w:spacing w:val="-10"/>
          <w:sz w:val="16"/>
        </w:rPr>
        <w:t> </w:t>
      </w:r>
      <w:r>
        <w:rPr>
          <w:rFonts w:ascii="Times New Roman" w:hAnsi="Times New Roman"/>
          <w:color w:val="231F20"/>
          <w:sz w:val="16"/>
        </w:rPr>
        <w:t>agua;</w:t>
      </w:r>
      <w:r>
        <w:rPr>
          <w:rFonts w:ascii="Times New Roman" w:hAnsi="Times New Roman"/>
          <w:color w:val="231F20"/>
          <w:spacing w:val="-10"/>
          <w:sz w:val="16"/>
        </w:rPr>
        <w:t> </w:t>
      </w:r>
      <w:r>
        <w:rPr>
          <w:rFonts w:ascii="Times New Roman" w:hAnsi="Times New Roman"/>
          <w:color w:val="231F20"/>
          <w:sz w:val="16"/>
        </w:rPr>
        <w:t>el</w:t>
      </w:r>
      <w:r>
        <w:rPr>
          <w:rFonts w:ascii="Times New Roman" w:hAnsi="Times New Roman"/>
          <w:color w:val="231F20"/>
          <w:spacing w:val="-10"/>
          <w:sz w:val="16"/>
        </w:rPr>
        <w:t> </w:t>
      </w:r>
      <w:r>
        <w:rPr>
          <w:rFonts w:ascii="Times New Roman" w:hAnsi="Times New Roman"/>
          <w:color w:val="231F20"/>
          <w:sz w:val="16"/>
        </w:rPr>
        <w:t>grupo</w:t>
      </w:r>
      <w:r>
        <w:rPr>
          <w:rFonts w:ascii="Times New Roman" w:hAnsi="Times New Roman"/>
          <w:color w:val="231F20"/>
          <w:spacing w:val="-10"/>
          <w:sz w:val="16"/>
        </w:rPr>
        <w:t> </w:t>
      </w:r>
      <w:r>
        <w:rPr>
          <w:rFonts w:ascii="Times New Roman" w:hAnsi="Times New Roman"/>
          <w:color w:val="231F20"/>
          <w:sz w:val="16"/>
        </w:rPr>
        <w:t>de</w:t>
      </w:r>
      <w:r>
        <w:rPr>
          <w:rFonts w:ascii="Times New Roman" w:hAnsi="Times New Roman"/>
          <w:color w:val="231F20"/>
          <w:spacing w:val="-10"/>
          <w:sz w:val="16"/>
        </w:rPr>
        <w:t> </w:t>
      </w:r>
      <w:r>
        <w:rPr>
          <w:rFonts w:ascii="Times New Roman" w:hAnsi="Times New Roman"/>
          <w:color w:val="231F20"/>
          <w:sz w:val="16"/>
        </w:rPr>
        <w:t>los</w:t>
      </w:r>
      <w:r>
        <w:rPr>
          <w:rFonts w:ascii="Times New Roman" w:hAnsi="Times New Roman"/>
          <w:color w:val="231F20"/>
          <w:spacing w:val="-10"/>
          <w:sz w:val="16"/>
        </w:rPr>
        <w:t> </w:t>
      </w:r>
      <w:r>
        <w:rPr>
          <w:rFonts w:ascii="Times New Roman" w:hAnsi="Times New Roman"/>
          <w:color w:val="231F20"/>
          <w:sz w:val="16"/>
        </w:rPr>
        <w:t>aromáticos</w:t>
      </w:r>
      <w:r>
        <w:rPr>
          <w:rFonts w:ascii="Times New Roman" w:hAnsi="Times New Roman"/>
          <w:color w:val="231F20"/>
          <w:spacing w:val="-10"/>
          <w:sz w:val="16"/>
        </w:rPr>
        <w:t> </w:t>
      </w:r>
      <w:r>
        <w:rPr>
          <w:rFonts w:ascii="Times New Roman" w:hAnsi="Times New Roman"/>
          <w:color w:val="231F20"/>
          <w:sz w:val="16"/>
        </w:rPr>
        <w:t>policlorados</w:t>
      </w:r>
      <w:r>
        <w:rPr>
          <w:rFonts w:ascii="Times New Roman" w:hAnsi="Times New Roman"/>
          <w:color w:val="231F20"/>
          <w:spacing w:val="-10"/>
          <w:sz w:val="16"/>
        </w:rPr>
        <w:t> </w:t>
      </w:r>
      <w:r>
        <w:rPr>
          <w:rFonts w:ascii="Times New Roman" w:hAnsi="Times New Roman"/>
          <w:color w:val="231F20"/>
          <w:sz w:val="16"/>
        </w:rPr>
        <w:t>y</w:t>
      </w:r>
      <w:r>
        <w:rPr>
          <w:rFonts w:ascii="Times New Roman" w:hAnsi="Times New Roman"/>
          <w:color w:val="231F20"/>
          <w:spacing w:val="-10"/>
          <w:sz w:val="16"/>
        </w:rPr>
        <w:t> </w:t>
      </w:r>
      <w:r>
        <w:rPr>
          <w:rFonts w:ascii="Times New Roman" w:hAnsi="Times New Roman"/>
          <w:color w:val="231F20"/>
          <w:sz w:val="16"/>
        </w:rPr>
        <w:t>el grupo</w:t>
      </w:r>
      <w:r>
        <w:rPr>
          <w:rFonts w:ascii="Times New Roman" w:hAnsi="Times New Roman"/>
          <w:color w:val="231F20"/>
          <w:spacing w:val="-8"/>
          <w:sz w:val="16"/>
        </w:rPr>
        <w:t> </w:t>
      </w:r>
      <w:r>
        <w:rPr>
          <w:rFonts w:ascii="Times New Roman" w:hAnsi="Times New Roman"/>
          <w:color w:val="231F20"/>
          <w:sz w:val="16"/>
        </w:rPr>
        <w:t>de</w:t>
      </w:r>
      <w:r>
        <w:rPr>
          <w:rFonts w:ascii="Times New Roman" w:hAnsi="Times New Roman"/>
          <w:color w:val="231F20"/>
          <w:spacing w:val="-8"/>
          <w:sz w:val="16"/>
        </w:rPr>
        <w:t> </w:t>
      </w:r>
      <w:r>
        <w:rPr>
          <w:rFonts w:ascii="Times New Roman" w:hAnsi="Times New Roman"/>
          <w:color w:val="231F20"/>
          <w:sz w:val="16"/>
        </w:rPr>
        <w:t>las</w:t>
      </w:r>
      <w:r>
        <w:rPr>
          <w:rFonts w:ascii="Times New Roman" w:hAnsi="Times New Roman"/>
          <w:color w:val="231F20"/>
          <w:spacing w:val="-8"/>
          <w:sz w:val="16"/>
        </w:rPr>
        <w:t> </w:t>
      </w:r>
      <w:r>
        <w:rPr>
          <w:rFonts w:ascii="Times New Roman" w:hAnsi="Times New Roman"/>
          <w:color w:val="231F20"/>
          <w:sz w:val="16"/>
        </w:rPr>
        <w:t>imidazolinonas,</w:t>
      </w:r>
      <w:r>
        <w:rPr>
          <w:rFonts w:ascii="Times New Roman" w:hAnsi="Times New Roman"/>
          <w:color w:val="231F20"/>
          <w:spacing w:val="-9"/>
          <w:sz w:val="16"/>
        </w:rPr>
        <w:t> </w:t>
      </w:r>
      <w:r>
        <w:rPr>
          <w:rFonts w:ascii="Times New Roman" w:hAnsi="Times New Roman"/>
          <w:color w:val="231F20"/>
          <w:sz w:val="16"/>
        </w:rPr>
        <w:t>a</w:t>
      </w:r>
      <w:r>
        <w:rPr>
          <w:rFonts w:ascii="Times New Roman" w:hAnsi="Times New Roman"/>
          <w:color w:val="231F20"/>
          <w:spacing w:val="-8"/>
          <w:sz w:val="16"/>
        </w:rPr>
        <w:t> </w:t>
      </w:r>
      <w:r>
        <w:rPr>
          <w:rFonts w:ascii="Times New Roman" w:hAnsi="Times New Roman"/>
          <w:color w:val="231F20"/>
          <w:sz w:val="16"/>
        </w:rPr>
        <w:t>los</w:t>
      </w:r>
      <w:r>
        <w:rPr>
          <w:rFonts w:ascii="Times New Roman" w:hAnsi="Times New Roman"/>
          <w:color w:val="231F20"/>
          <w:spacing w:val="-8"/>
          <w:sz w:val="16"/>
        </w:rPr>
        <w:t> </w:t>
      </w:r>
      <w:r>
        <w:rPr>
          <w:rFonts w:ascii="Times New Roman" w:hAnsi="Times New Roman"/>
          <w:color w:val="231F20"/>
          <w:sz w:val="16"/>
        </w:rPr>
        <w:t>cuales</w:t>
      </w:r>
      <w:r>
        <w:rPr>
          <w:rFonts w:ascii="Times New Roman" w:hAnsi="Times New Roman"/>
          <w:color w:val="231F20"/>
          <w:spacing w:val="-8"/>
          <w:sz w:val="16"/>
        </w:rPr>
        <w:t> </w:t>
      </w:r>
      <w:r>
        <w:rPr>
          <w:rFonts w:ascii="Times New Roman" w:hAnsi="Times New Roman"/>
          <w:color w:val="231F20"/>
          <w:sz w:val="16"/>
        </w:rPr>
        <w:t>pertenecen el</w:t>
      </w:r>
      <w:r>
        <w:rPr>
          <w:rFonts w:ascii="Times New Roman" w:hAnsi="Times New Roman"/>
          <w:color w:val="231F20"/>
          <w:spacing w:val="-9"/>
          <w:sz w:val="16"/>
        </w:rPr>
        <w:t> </w:t>
      </w:r>
      <w:r>
        <w:rPr>
          <w:rFonts w:ascii="Times New Roman" w:hAnsi="Times New Roman"/>
          <w:color w:val="231F20"/>
          <w:sz w:val="16"/>
        </w:rPr>
        <w:t>clorotalonil</w:t>
      </w:r>
      <w:r>
        <w:rPr>
          <w:rFonts w:ascii="Times New Roman" w:hAnsi="Times New Roman"/>
          <w:color w:val="231F20"/>
          <w:spacing w:val="-10"/>
          <w:sz w:val="16"/>
        </w:rPr>
        <w:t> </w:t>
      </w:r>
      <w:r>
        <w:rPr>
          <w:rFonts w:ascii="Times New Roman" w:hAnsi="Times New Roman"/>
          <w:color w:val="231F20"/>
          <w:sz w:val="16"/>
        </w:rPr>
        <w:t>y</w:t>
      </w:r>
      <w:r>
        <w:rPr>
          <w:rFonts w:ascii="Times New Roman" w:hAnsi="Times New Roman"/>
          <w:color w:val="231F20"/>
          <w:spacing w:val="-9"/>
          <w:sz w:val="16"/>
        </w:rPr>
        <w:t> </w:t>
      </w:r>
      <w:r>
        <w:rPr>
          <w:rFonts w:ascii="Times New Roman" w:hAnsi="Times New Roman"/>
          <w:color w:val="231F20"/>
          <w:sz w:val="16"/>
        </w:rPr>
        <w:t>el</w:t>
      </w:r>
      <w:r>
        <w:rPr>
          <w:rFonts w:ascii="Times New Roman" w:hAnsi="Times New Roman"/>
          <w:color w:val="231F20"/>
          <w:spacing w:val="-9"/>
          <w:sz w:val="16"/>
        </w:rPr>
        <w:t> </w:t>
      </w:r>
      <w:r>
        <w:rPr>
          <w:rFonts w:ascii="Times New Roman" w:hAnsi="Times New Roman"/>
          <w:color w:val="231F20"/>
          <w:sz w:val="16"/>
        </w:rPr>
        <w:t>fenamidone,</w:t>
      </w:r>
      <w:r>
        <w:rPr>
          <w:rFonts w:ascii="Times New Roman" w:hAnsi="Times New Roman"/>
          <w:color w:val="231F20"/>
          <w:spacing w:val="-9"/>
          <w:sz w:val="16"/>
        </w:rPr>
        <w:t> </w:t>
      </w:r>
      <w:r>
        <w:rPr>
          <w:rFonts w:ascii="Times New Roman" w:hAnsi="Times New Roman"/>
          <w:color w:val="231F20"/>
          <w:sz w:val="16"/>
        </w:rPr>
        <w:t>respectivamente,</w:t>
      </w:r>
      <w:r>
        <w:rPr>
          <w:rFonts w:ascii="Times New Roman" w:hAnsi="Times New Roman"/>
          <w:color w:val="231F20"/>
          <w:spacing w:val="-9"/>
          <w:sz w:val="16"/>
        </w:rPr>
        <w:t> </w:t>
      </w:r>
      <w:r>
        <w:rPr>
          <w:rFonts w:ascii="Times New Roman" w:hAnsi="Times New Roman"/>
          <w:color w:val="231F20"/>
          <w:sz w:val="16"/>
        </w:rPr>
        <w:t>los que tienen gran afinidad por los suelos, lo que los hace residuos recalcitrantes (WHO 2009). Existen diversas</w:t>
      </w:r>
      <w:r>
        <w:rPr>
          <w:rFonts w:ascii="Times New Roman" w:hAnsi="Times New Roman"/>
          <w:color w:val="231F20"/>
          <w:spacing w:val="-9"/>
          <w:sz w:val="16"/>
        </w:rPr>
        <w:t> </w:t>
      </w:r>
      <w:r>
        <w:rPr>
          <w:rFonts w:ascii="Times New Roman" w:hAnsi="Times New Roman"/>
          <w:color w:val="231F20"/>
          <w:sz w:val="16"/>
        </w:rPr>
        <w:t>técnicas</w:t>
      </w:r>
      <w:r>
        <w:rPr>
          <w:rFonts w:ascii="Times New Roman" w:hAnsi="Times New Roman"/>
          <w:color w:val="231F20"/>
          <w:spacing w:val="-9"/>
          <w:sz w:val="16"/>
        </w:rPr>
        <w:t> </w:t>
      </w:r>
      <w:r>
        <w:rPr>
          <w:rFonts w:ascii="Times New Roman" w:hAnsi="Times New Roman"/>
          <w:color w:val="231F20"/>
          <w:sz w:val="16"/>
        </w:rPr>
        <w:t>para</w:t>
      </w:r>
      <w:r>
        <w:rPr>
          <w:rFonts w:ascii="Times New Roman" w:hAnsi="Times New Roman"/>
          <w:color w:val="231F20"/>
          <w:spacing w:val="-9"/>
          <w:sz w:val="16"/>
        </w:rPr>
        <w:t> </w:t>
      </w:r>
      <w:r>
        <w:rPr>
          <w:rFonts w:ascii="Times New Roman" w:hAnsi="Times New Roman"/>
          <w:color w:val="231F20"/>
          <w:sz w:val="16"/>
        </w:rPr>
        <w:t>remover</w:t>
      </w:r>
      <w:r>
        <w:rPr>
          <w:rFonts w:ascii="Times New Roman" w:hAnsi="Times New Roman"/>
          <w:color w:val="231F20"/>
          <w:spacing w:val="-9"/>
          <w:sz w:val="16"/>
        </w:rPr>
        <w:t> </w:t>
      </w:r>
      <w:r>
        <w:rPr>
          <w:rFonts w:ascii="Times New Roman" w:hAnsi="Times New Roman"/>
          <w:color w:val="231F20"/>
          <w:sz w:val="16"/>
        </w:rPr>
        <w:t>estos</w:t>
      </w:r>
      <w:r>
        <w:rPr>
          <w:rFonts w:ascii="Times New Roman" w:hAnsi="Times New Roman"/>
          <w:color w:val="231F20"/>
          <w:spacing w:val="-9"/>
          <w:sz w:val="16"/>
        </w:rPr>
        <w:t> </w:t>
      </w:r>
      <w:r>
        <w:rPr>
          <w:rFonts w:ascii="Times New Roman" w:hAnsi="Times New Roman"/>
          <w:color w:val="231F20"/>
          <w:sz w:val="16"/>
        </w:rPr>
        <w:t>contaminantes, una de ellos es la electrorremediación que tiene un gran potencial debido a que se obtienen eficiencias mayores</w:t>
      </w:r>
      <w:r>
        <w:rPr>
          <w:rFonts w:ascii="Times New Roman" w:hAnsi="Times New Roman"/>
          <w:color w:val="231F20"/>
          <w:spacing w:val="-23"/>
          <w:sz w:val="16"/>
        </w:rPr>
        <w:t> </w:t>
      </w:r>
      <w:r>
        <w:rPr>
          <w:rFonts w:ascii="Times New Roman" w:hAnsi="Times New Roman"/>
          <w:color w:val="231F20"/>
          <w:sz w:val="16"/>
        </w:rPr>
        <w:t>al</w:t>
      </w:r>
      <w:r>
        <w:rPr>
          <w:rFonts w:ascii="Times New Roman" w:hAnsi="Times New Roman"/>
          <w:color w:val="231F20"/>
          <w:spacing w:val="-23"/>
          <w:sz w:val="16"/>
        </w:rPr>
        <w:t> </w:t>
      </w:r>
      <w:r>
        <w:rPr>
          <w:rFonts w:ascii="Times New Roman" w:hAnsi="Times New Roman"/>
          <w:color w:val="231F20"/>
          <w:sz w:val="16"/>
        </w:rPr>
        <w:t>90</w:t>
      </w:r>
      <w:r>
        <w:rPr>
          <w:rFonts w:ascii="Times New Roman" w:hAnsi="Times New Roman"/>
          <w:color w:val="231F20"/>
          <w:spacing w:val="-23"/>
          <w:sz w:val="16"/>
        </w:rPr>
        <w:t> </w:t>
      </w:r>
      <w:r>
        <w:rPr>
          <w:rFonts w:ascii="Times New Roman" w:hAnsi="Times New Roman"/>
          <w:color w:val="231F20"/>
          <w:sz w:val="16"/>
        </w:rPr>
        <w:t>%</w:t>
      </w:r>
      <w:r>
        <w:rPr>
          <w:rFonts w:ascii="Times New Roman" w:hAnsi="Times New Roman"/>
          <w:color w:val="231F20"/>
          <w:spacing w:val="-23"/>
          <w:sz w:val="16"/>
        </w:rPr>
        <w:t> </w:t>
      </w:r>
      <w:r>
        <w:rPr>
          <w:rFonts w:ascii="Times New Roman" w:hAnsi="Times New Roman"/>
          <w:color w:val="231F20"/>
          <w:sz w:val="16"/>
        </w:rPr>
        <w:t>de</w:t>
      </w:r>
      <w:r>
        <w:rPr>
          <w:rFonts w:ascii="Times New Roman" w:hAnsi="Times New Roman"/>
          <w:color w:val="231F20"/>
          <w:spacing w:val="-23"/>
          <w:sz w:val="16"/>
        </w:rPr>
        <w:t> </w:t>
      </w:r>
      <w:r>
        <w:rPr>
          <w:rFonts w:ascii="Times New Roman" w:hAnsi="Times New Roman"/>
          <w:color w:val="231F20"/>
          <w:sz w:val="16"/>
        </w:rPr>
        <w:t>descontaminación</w:t>
      </w:r>
      <w:r>
        <w:rPr>
          <w:rFonts w:ascii="Times New Roman" w:hAnsi="Times New Roman"/>
          <w:color w:val="231F20"/>
          <w:spacing w:val="-23"/>
          <w:sz w:val="16"/>
        </w:rPr>
        <w:t> </w:t>
      </w:r>
      <w:r>
        <w:rPr>
          <w:rFonts w:ascii="Times New Roman" w:hAnsi="Times New Roman"/>
          <w:color w:val="231F20"/>
          <w:sz w:val="16"/>
        </w:rPr>
        <w:t>de</w:t>
      </w:r>
      <w:r>
        <w:rPr>
          <w:rFonts w:ascii="Times New Roman" w:hAnsi="Times New Roman"/>
          <w:color w:val="231F20"/>
          <w:spacing w:val="-23"/>
          <w:sz w:val="16"/>
        </w:rPr>
        <w:t> </w:t>
      </w:r>
      <w:r>
        <w:rPr>
          <w:rFonts w:ascii="Times New Roman" w:hAnsi="Times New Roman"/>
          <w:color w:val="231F20"/>
          <w:sz w:val="16"/>
        </w:rPr>
        <w:t>compuestos orgánicos</w:t>
      </w:r>
      <w:r>
        <w:rPr>
          <w:rFonts w:ascii="Times New Roman" w:hAnsi="Times New Roman"/>
          <w:color w:val="231F20"/>
          <w:spacing w:val="-15"/>
          <w:sz w:val="16"/>
        </w:rPr>
        <w:t> </w:t>
      </w:r>
      <w:r>
        <w:rPr>
          <w:rFonts w:ascii="Times New Roman" w:hAnsi="Times New Roman"/>
          <w:color w:val="231F20"/>
          <w:sz w:val="16"/>
        </w:rPr>
        <w:t>e</w:t>
      </w:r>
      <w:r>
        <w:rPr>
          <w:rFonts w:ascii="Times New Roman" w:hAnsi="Times New Roman"/>
          <w:color w:val="231F20"/>
          <w:spacing w:val="-15"/>
          <w:sz w:val="16"/>
        </w:rPr>
        <w:t> </w:t>
      </w:r>
      <w:r>
        <w:rPr>
          <w:rFonts w:ascii="Times New Roman" w:hAnsi="Times New Roman"/>
          <w:color w:val="231F20"/>
          <w:sz w:val="16"/>
        </w:rPr>
        <w:t>inorgánicos</w:t>
      </w:r>
      <w:r>
        <w:rPr>
          <w:rFonts w:ascii="Times New Roman" w:hAnsi="Times New Roman"/>
          <w:color w:val="231F20"/>
          <w:spacing w:val="-15"/>
          <w:sz w:val="16"/>
        </w:rPr>
        <w:t> </w:t>
      </w:r>
      <w:r>
        <w:rPr>
          <w:rFonts w:ascii="Times New Roman" w:hAnsi="Times New Roman"/>
          <w:color w:val="231F20"/>
          <w:sz w:val="16"/>
        </w:rPr>
        <w:t>con</w:t>
      </w:r>
      <w:r>
        <w:rPr>
          <w:rFonts w:ascii="Times New Roman" w:hAnsi="Times New Roman"/>
          <w:color w:val="231F20"/>
          <w:spacing w:val="-15"/>
          <w:sz w:val="16"/>
        </w:rPr>
        <w:t> </w:t>
      </w:r>
      <w:r>
        <w:rPr>
          <w:rFonts w:ascii="Times New Roman" w:hAnsi="Times New Roman"/>
          <w:color w:val="231F20"/>
          <w:sz w:val="16"/>
        </w:rPr>
        <w:t>un</w:t>
      </w:r>
      <w:r>
        <w:rPr>
          <w:rFonts w:ascii="Times New Roman" w:hAnsi="Times New Roman"/>
          <w:color w:val="231F20"/>
          <w:spacing w:val="-15"/>
          <w:sz w:val="16"/>
        </w:rPr>
        <w:t> </w:t>
      </w:r>
      <w:r>
        <w:rPr>
          <w:rFonts w:ascii="Times New Roman" w:hAnsi="Times New Roman"/>
          <w:color w:val="231F20"/>
          <w:sz w:val="16"/>
        </w:rPr>
        <w:t>costo</w:t>
      </w:r>
      <w:r>
        <w:rPr>
          <w:rFonts w:ascii="Times New Roman" w:hAnsi="Times New Roman"/>
          <w:color w:val="231F20"/>
          <w:spacing w:val="-15"/>
          <w:sz w:val="16"/>
        </w:rPr>
        <w:t> </w:t>
      </w:r>
      <w:r>
        <w:rPr>
          <w:rFonts w:ascii="Times New Roman" w:hAnsi="Times New Roman"/>
          <w:color w:val="231F20"/>
          <w:sz w:val="16"/>
        </w:rPr>
        <w:t>entre</w:t>
      </w:r>
      <w:r>
        <w:rPr>
          <w:rFonts w:ascii="Times New Roman" w:hAnsi="Times New Roman"/>
          <w:color w:val="231F20"/>
          <w:spacing w:val="-15"/>
          <w:sz w:val="16"/>
        </w:rPr>
        <w:t> </w:t>
      </w:r>
      <w:r>
        <w:rPr>
          <w:rFonts w:ascii="Times New Roman" w:hAnsi="Times New Roman"/>
          <w:color w:val="231F20"/>
          <w:sz w:val="16"/>
        </w:rPr>
        <w:t>230</w:t>
      </w:r>
      <w:r>
        <w:rPr>
          <w:rFonts w:ascii="Times New Roman" w:hAnsi="Times New Roman"/>
          <w:color w:val="231F20"/>
          <w:spacing w:val="-15"/>
          <w:sz w:val="16"/>
        </w:rPr>
        <w:t> </w:t>
      </w:r>
      <w:r>
        <w:rPr>
          <w:rFonts w:ascii="Times New Roman" w:hAnsi="Times New Roman"/>
          <w:color w:val="231F20"/>
          <w:sz w:val="16"/>
        </w:rPr>
        <w:t>y</w:t>
      </w:r>
      <w:r>
        <w:rPr>
          <w:rFonts w:ascii="Times New Roman" w:hAnsi="Times New Roman"/>
          <w:color w:val="231F20"/>
          <w:spacing w:val="-15"/>
          <w:sz w:val="16"/>
        </w:rPr>
        <w:t> </w:t>
      </w:r>
      <w:r>
        <w:rPr>
          <w:rFonts w:ascii="Times New Roman" w:hAnsi="Times New Roman"/>
          <w:color w:val="231F20"/>
          <w:sz w:val="16"/>
        </w:rPr>
        <w:t>675 pesos MXN por tonelada de suelo (Loo y Chilingar 1997). El objetivo de este trabajo fue determinar los costos de remoción en suelo de los   </w:t>
      </w:r>
      <w:r>
        <w:rPr>
          <w:rFonts w:ascii="Times New Roman" w:hAnsi="Times New Roman"/>
          <w:color w:val="231F20"/>
          <w:spacing w:val="11"/>
          <w:sz w:val="16"/>
        </w:rPr>
        <w:t> </w:t>
      </w:r>
      <w:r>
        <w:rPr>
          <w:rFonts w:ascii="Times New Roman" w:hAnsi="Times New Roman"/>
          <w:color w:val="231F20"/>
          <w:sz w:val="16"/>
        </w:rPr>
        <w:t>fungicidas</w:t>
      </w:r>
    </w:p>
    <w:p>
      <w:pPr>
        <w:pStyle w:val="BodyText"/>
        <w:spacing w:before="4"/>
        <w:rPr>
          <w:rFonts w:ascii="Times New Roman"/>
          <w:sz w:val="18"/>
        </w:rPr>
      </w:pPr>
      <w:r>
        <w:rPr/>
        <w:br w:type="column"/>
      </w:r>
      <w:r>
        <w:rPr>
          <w:rFonts w:ascii="Times New Roman"/>
          <w:sz w:val="18"/>
        </w:rPr>
      </w:r>
    </w:p>
    <w:p>
      <w:pPr>
        <w:spacing w:line="179" w:lineRule="exact" w:before="1"/>
        <w:ind w:left="371" w:right="0" w:firstLine="0"/>
        <w:jc w:val="left"/>
        <w:rPr>
          <w:rFonts w:ascii="Times New Roman"/>
          <w:i/>
          <w:sz w:val="16"/>
        </w:rPr>
      </w:pPr>
      <w:r>
        <w:rPr>
          <w:rFonts w:ascii="Times New Roman"/>
          <w:color w:val="231F20"/>
          <w:sz w:val="16"/>
        </w:rPr>
        <w:t>utilizados para el control de </w:t>
      </w:r>
      <w:r>
        <w:rPr>
          <w:rFonts w:ascii="Times New Roman"/>
          <w:i/>
          <w:color w:val="231F20"/>
          <w:sz w:val="16"/>
        </w:rPr>
        <w:t>Phytophthora infestans</w:t>
      </w:r>
    </w:p>
    <w:p>
      <w:pPr>
        <w:spacing w:line="179" w:lineRule="exact" w:before="0"/>
        <w:ind w:left="371" w:right="0" w:firstLine="0"/>
        <w:jc w:val="left"/>
        <w:rPr>
          <w:rFonts w:ascii="Times New Roman"/>
          <w:sz w:val="16"/>
        </w:rPr>
      </w:pPr>
      <w:r>
        <w:rPr>
          <w:rFonts w:ascii="Times New Roman"/>
          <w:color w:val="231F20"/>
          <w:sz w:val="16"/>
        </w:rPr>
        <w:t>en el cultivo de papa en Zinacantepec.</w:t>
      </w:r>
    </w:p>
    <w:p>
      <w:pPr>
        <w:pStyle w:val="BodyText"/>
        <w:rPr>
          <w:rFonts w:ascii="Times New Roman"/>
          <w:sz w:val="16"/>
        </w:rPr>
      </w:pPr>
    </w:p>
    <w:p>
      <w:pPr>
        <w:pStyle w:val="BodyText"/>
        <w:spacing w:before="5"/>
        <w:rPr>
          <w:rFonts w:ascii="Times New Roman"/>
          <w:sz w:val="13"/>
        </w:rPr>
      </w:pPr>
    </w:p>
    <w:p>
      <w:pPr>
        <w:spacing w:before="1"/>
        <w:ind w:left="954" w:right="1731" w:firstLine="0"/>
        <w:jc w:val="center"/>
        <w:rPr>
          <w:rFonts w:ascii="Times New Roman" w:hAnsi="Times New Roman"/>
          <w:b/>
          <w:sz w:val="16"/>
        </w:rPr>
      </w:pPr>
      <w:r>
        <w:rPr>
          <w:rFonts w:ascii="Times New Roman" w:hAnsi="Times New Roman"/>
          <w:b/>
          <w:color w:val="231F20"/>
          <w:sz w:val="16"/>
        </w:rPr>
        <w:t>MATERIALES Y MÉTODOS</w:t>
      </w:r>
    </w:p>
    <w:p>
      <w:pPr>
        <w:pStyle w:val="BodyText"/>
        <w:spacing w:before="3"/>
        <w:rPr>
          <w:rFonts w:ascii="Times New Roman"/>
          <w:b/>
          <w:sz w:val="14"/>
        </w:rPr>
      </w:pPr>
    </w:p>
    <w:p>
      <w:pPr>
        <w:spacing w:line="179" w:lineRule="exact" w:before="1"/>
        <w:ind w:left="371" w:right="0" w:firstLine="0"/>
        <w:jc w:val="left"/>
        <w:rPr>
          <w:rFonts w:ascii="Times New Roman" w:hAnsi="Times New Roman"/>
          <w:b/>
          <w:sz w:val="16"/>
        </w:rPr>
      </w:pPr>
      <w:r>
        <w:rPr>
          <w:rFonts w:ascii="Times New Roman" w:hAnsi="Times New Roman"/>
          <w:b/>
          <w:color w:val="231F20"/>
          <w:sz w:val="16"/>
        </w:rPr>
        <w:t>Área de estudio</w:t>
      </w:r>
    </w:p>
    <w:p>
      <w:pPr>
        <w:spacing w:line="174" w:lineRule="exact" w:before="5"/>
        <w:ind w:left="371" w:right="1142" w:firstLine="206"/>
        <w:jc w:val="both"/>
        <w:rPr>
          <w:rFonts w:ascii="Times New Roman" w:hAnsi="Times New Roman"/>
          <w:sz w:val="16"/>
        </w:rPr>
      </w:pPr>
      <w:r>
        <w:rPr>
          <w:rFonts w:ascii="Times New Roman" w:hAnsi="Times New Roman"/>
          <w:color w:val="231F20"/>
          <w:sz w:val="16"/>
        </w:rPr>
        <w:t>El</w:t>
      </w:r>
      <w:r>
        <w:rPr>
          <w:rFonts w:ascii="Times New Roman" w:hAnsi="Times New Roman"/>
          <w:color w:val="231F20"/>
          <w:spacing w:val="-21"/>
          <w:sz w:val="16"/>
        </w:rPr>
        <w:t> </w:t>
      </w:r>
      <w:r>
        <w:rPr>
          <w:rFonts w:ascii="Times New Roman" w:hAnsi="Times New Roman"/>
          <w:color w:val="231F20"/>
          <w:sz w:val="16"/>
        </w:rPr>
        <w:t>estudio</w:t>
      </w:r>
      <w:r>
        <w:rPr>
          <w:rFonts w:ascii="Times New Roman" w:hAnsi="Times New Roman"/>
          <w:color w:val="231F20"/>
          <w:spacing w:val="-22"/>
          <w:sz w:val="16"/>
        </w:rPr>
        <w:t> </w:t>
      </w:r>
      <w:r>
        <w:rPr>
          <w:rFonts w:ascii="Times New Roman" w:hAnsi="Times New Roman"/>
          <w:color w:val="231F20"/>
          <w:sz w:val="16"/>
        </w:rPr>
        <w:t>se</w:t>
      </w:r>
      <w:r>
        <w:rPr>
          <w:rFonts w:ascii="Times New Roman" w:hAnsi="Times New Roman"/>
          <w:color w:val="231F20"/>
          <w:spacing w:val="-21"/>
          <w:sz w:val="16"/>
        </w:rPr>
        <w:t> </w:t>
      </w:r>
      <w:r>
        <w:rPr>
          <w:rFonts w:ascii="Times New Roman" w:hAnsi="Times New Roman"/>
          <w:color w:val="231F20"/>
          <w:sz w:val="16"/>
        </w:rPr>
        <w:t>realizó</w:t>
      </w:r>
      <w:r>
        <w:rPr>
          <w:rFonts w:ascii="Times New Roman" w:hAnsi="Times New Roman"/>
          <w:color w:val="231F20"/>
          <w:spacing w:val="-21"/>
          <w:sz w:val="16"/>
        </w:rPr>
        <w:t> </w:t>
      </w:r>
      <w:r>
        <w:rPr>
          <w:rFonts w:ascii="Times New Roman" w:hAnsi="Times New Roman"/>
          <w:color w:val="231F20"/>
          <w:sz w:val="16"/>
        </w:rPr>
        <w:t>en</w:t>
      </w:r>
      <w:r>
        <w:rPr>
          <w:rFonts w:ascii="Times New Roman" w:hAnsi="Times New Roman"/>
          <w:color w:val="231F20"/>
          <w:spacing w:val="-21"/>
          <w:sz w:val="16"/>
        </w:rPr>
        <w:t> </w:t>
      </w:r>
      <w:r>
        <w:rPr>
          <w:rFonts w:ascii="Times New Roman" w:hAnsi="Times New Roman"/>
          <w:color w:val="231F20"/>
          <w:sz w:val="16"/>
        </w:rPr>
        <w:t>el</w:t>
      </w:r>
      <w:r>
        <w:rPr>
          <w:rFonts w:ascii="Times New Roman" w:hAnsi="Times New Roman"/>
          <w:color w:val="231F20"/>
          <w:spacing w:val="-21"/>
          <w:sz w:val="16"/>
        </w:rPr>
        <w:t> </w:t>
      </w:r>
      <w:r>
        <w:rPr>
          <w:rFonts w:ascii="Times New Roman" w:hAnsi="Times New Roman"/>
          <w:color w:val="231F20"/>
          <w:sz w:val="16"/>
        </w:rPr>
        <w:t>municipio</w:t>
      </w:r>
      <w:r>
        <w:rPr>
          <w:rFonts w:ascii="Times New Roman" w:hAnsi="Times New Roman"/>
          <w:color w:val="231F20"/>
          <w:spacing w:val="-22"/>
          <w:sz w:val="16"/>
        </w:rPr>
        <w:t> </w:t>
      </w:r>
      <w:r>
        <w:rPr>
          <w:rFonts w:ascii="Times New Roman" w:hAnsi="Times New Roman"/>
          <w:color w:val="231F20"/>
          <w:sz w:val="16"/>
        </w:rPr>
        <w:t>de</w:t>
      </w:r>
      <w:r>
        <w:rPr>
          <w:rFonts w:ascii="Times New Roman" w:hAnsi="Times New Roman"/>
          <w:color w:val="231F20"/>
          <w:spacing w:val="-21"/>
          <w:sz w:val="16"/>
        </w:rPr>
        <w:t> </w:t>
      </w:r>
      <w:r>
        <w:rPr>
          <w:rFonts w:ascii="Times New Roman" w:hAnsi="Times New Roman"/>
          <w:color w:val="231F20"/>
          <w:sz w:val="16"/>
        </w:rPr>
        <w:t>Zinacante- pec</w:t>
      </w:r>
      <w:r>
        <w:rPr>
          <w:rFonts w:ascii="Times New Roman" w:hAnsi="Times New Roman"/>
          <w:color w:val="231F20"/>
          <w:spacing w:val="-15"/>
          <w:sz w:val="16"/>
        </w:rPr>
        <w:t> </w:t>
      </w:r>
      <w:r>
        <w:rPr>
          <w:rFonts w:ascii="Times New Roman" w:hAnsi="Times New Roman"/>
          <w:color w:val="231F20"/>
          <w:sz w:val="16"/>
        </w:rPr>
        <w:t>(</w:t>
      </w:r>
      <w:r>
        <w:rPr>
          <w:rFonts w:ascii="Times New Roman" w:hAnsi="Times New Roman"/>
          <w:b/>
          <w:color w:val="231F20"/>
          <w:sz w:val="16"/>
        </w:rPr>
        <w:t>Fig.1</w:t>
      </w:r>
      <w:r>
        <w:rPr>
          <w:rFonts w:ascii="Times New Roman" w:hAnsi="Times New Roman"/>
          <w:color w:val="231F20"/>
          <w:sz w:val="16"/>
        </w:rPr>
        <w:t>),</w:t>
      </w:r>
      <w:r>
        <w:rPr>
          <w:rFonts w:ascii="Times New Roman" w:hAnsi="Times New Roman"/>
          <w:color w:val="231F20"/>
          <w:spacing w:val="-15"/>
          <w:sz w:val="16"/>
        </w:rPr>
        <w:t> </w:t>
      </w:r>
      <w:r>
        <w:rPr>
          <w:rFonts w:ascii="Times New Roman" w:hAnsi="Times New Roman"/>
          <w:color w:val="231F20"/>
          <w:sz w:val="16"/>
        </w:rPr>
        <w:t>ubicado</w:t>
      </w:r>
      <w:r>
        <w:rPr>
          <w:rFonts w:ascii="Times New Roman" w:hAnsi="Times New Roman"/>
          <w:color w:val="231F20"/>
          <w:spacing w:val="-15"/>
          <w:sz w:val="16"/>
        </w:rPr>
        <w:t> </w:t>
      </w:r>
      <w:r>
        <w:rPr>
          <w:rFonts w:ascii="Times New Roman" w:hAnsi="Times New Roman"/>
          <w:color w:val="231F20"/>
          <w:sz w:val="16"/>
        </w:rPr>
        <w:t>a</w:t>
      </w:r>
      <w:r>
        <w:rPr>
          <w:rFonts w:ascii="Times New Roman" w:hAnsi="Times New Roman"/>
          <w:color w:val="231F20"/>
          <w:spacing w:val="-15"/>
          <w:sz w:val="16"/>
        </w:rPr>
        <w:t> </w:t>
      </w:r>
      <w:r>
        <w:rPr>
          <w:rFonts w:ascii="Times New Roman" w:hAnsi="Times New Roman"/>
          <w:color w:val="231F20"/>
          <w:sz w:val="16"/>
        </w:rPr>
        <w:t>los</w:t>
      </w:r>
      <w:r>
        <w:rPr>
          <w:rFonts w:ascii="Times New Roman" w:hAnsi="Times New Roman"/>
          <w:color w:val="231F20"/>
          <w:spacing w:val="-15"/>
          <w:sz w:val="16"/>
        </w:rPr>
        <w:t> </w:t>
      </w:r>
      <w:r>
        <w:rPr>
          <w:rFonts w:ascii="Times New Roman" w:hAnsi="Times New Roman"/>
          <w:color w:val="231F20"/>
          <w:sz w:val="16"/>
        </w:rPr>
        <w:t>19º</w:t>
      </w:r>
      <w:r>
        <w:rPr>
          <w:rFonts w:ascii="Times New Roman" w:hAnsi="Times New Roman"/>
          <w:color w:val="231F20"/>
          <w:spacing w:val="-15"/>
          <w:sz w:val="16"/>
        </w:rPr>
        <w:t> </w:t>
      </w:r>
      <w:r>
        <w:rPr>
          <w:rFonts w:ascii="Times New Roman" w:hAnsi="Times New Roman"/>
          <w:color w:val="231F20"/>
          <w:sz w:val="16"/>
        </w:rPr>
        <w:t>17’</w:t>
      </w:r>
      <w:r>
        <w:rPr>
          <w:rFonts w:ascii="Times New Roman" w:hAnsi="Times New Roman"/>
          <w:color w:val="231F20"/>
          <w:spacing w:val="-25"/>
          <w:sz w:val="16"/>
        </w:rPr>
        <w:t> </w:t>
      </w:r>
      <w:r>
        <w:rPr>
          <w:rFonts w:ascii="Times New Roman" w:hAnsi="Times New Roman"/>
          <w:color w:val="231F20"/>
          <w:sz w:val="16"/>
        </w:rPr>
        <w:t>00”</w:t>
      </w:r>
      <w:r>
        <w:rPr>
          <w:rFonts w:ascii="Times New Roman" w:hAnsi="Times New Roman"/>
          <w:color w:val="231F20"/>
          <w:spacing w:val="-15"/>
          <w:sz w:val="16"/>
        </w:rPr>
        <w:t> </w:t>
      </w:r>
      <w:r>
        <w:rPr>
          <w:rFonts w:ascii="Times New Roman" w:hAnsi="Times New Roman"/>
          <w:color w:val="231F20"/>
          <w:sz w:val="16"/>
        </w:rPr>
        <w:t>de</w:t>
      </w:r>
      <w:r>
        <w:rPr>
          <w:rFonts w:ascii="Times New Roman" w:hAnsi="Times New Roman"/>
          <w:color w:val="231F20"/>
          <w:spacing w:val="-15"/>
          <w:sz w:val="16"/>
        </w:rPr>
        <w:t> </w:t>
      </w:r>
      <w:r>
        <w:rPr>
          <w:rFonts w:ascii="Times New Roman" w:hAnsi="Times New Roman"/>
          <w:color w:val="231F20"/>
          <w:sz w:val="16"/>
        </w:rPr>
        <w:t>latitud</w:t>
      </w:r>
      <w:r>
        <w:rPr>
          <w:rFonts w:ascii="Times New Roman" w:hAnsi="Times New Roman"/>
          <w:color w:val="231F20"/>
          <w:spacing w:val="-15"/>
          <w:sz w:val="16"/>
        </w:rPr>
        <w:t> </w:t>
      </w:r>
      <w:r>
        <w:rPr>
          <w:rFonts w:ascii="Times New Roman" w:hAnsi="Times New Roman"/>
          <w:color w:val="231F20"/>
          <w:sz w:val="16"/>
        </w:rPr>
        <w:t>norte y a los 99º 44’ 00” de longitud oeste del meridiano de Greenwich, y a una altitud de 2740 msnm. Este municipio tiene una extensión de 30 868 hectáreas, de las cuales 19 440 pertenecen al Parque Nacional Nevado de Toluca (PNNT). Este municipio destina 611 hectáreas de temporal y 147 hectáreas de riego para</w:t>
      </w:r>
      <w:r>
        <w:rPr>
          <w:rFonts w:ascii="Times New Roman" w:hAnsi="Times New Roman"/>
          <w:color w:val="231F20"/>
          <w:spacing w:val="-11"/>
          <w:sz w:val="16"/>
        </w:rPr>
        <w:t> </w:t>
      </w:r>
      <w:r>
        <w:rPr>
          <w:rFonts w:ascii="Times New Roman" w:hAnsi="Times New Roman"/>
          <w:color w:val="231F20"/>
          <w:sz w:val="16"/>
        </w:rPr>
        <w:t>el</w:t>
      </w:r>
      <w:r>
        <w:rPr>
          <w:rFonts w:ascii="Times New Roman" w:hAnsi="Times New Roman"/>
          <w:color w:val="231F20"/>
          <w:spacing w:val="-11"/>
          <w:sz w:val="16"/>
        </w:rPr>
        <w:t> </w:t>
      </w:r>
      <w:r>
        <w:rPr>
          <w:rFonts w:ascii="Times New Roman" w:hAnsi="Times New Roman"/>
          <w:color w:val="231F20"/>
          <w:sz w:val="16"/>
        </w:rPr>
        <w:t>cultivo</w:t>
      </w:r>
      <w:r>
        <w:rPr>
          <w:rFonts w:ascii="Times New Roman" w:hAnsi="Times New Roman"/>
          <w:color w:val="231F20"/>
          <w:spacing w:val="-11"/>
          <w:sz w:val="16"/>
        </w:rPr>
        <w:t> </w:t>
      </w:r>
      <w:r>
        <w:rPr>
          <w:rFonts w:ascii="Times New Roman" w:hAnsi="Times New Roman"/>
          <w:color w:val="231F20"/>
          <w:sz w:val="16"/>
        </w:rPr>
        <w:t>de</w:t>
      </w:r>
      <w:r>
        <w:rPr>
          <w:rFonts w:ascii="Times New Roman" w:hAnsi="Times New Roman"/>
          <w:color w:val="231F20"/>
          <w:spacing w:val="-11"/>
          <w:sz w:val="16"/>
        </w:rPr>
        <w:t> </w:t>
      </w:r>
      <w:r>
        <w:rPr>
          <w:rFonts w:ascii="Times New Roman" w:hAnsi="Times New Roman"/>
          <w:color w:val="231F20"/>
          <w:sz w:val="16"/>
        </w:rPr>
        <w:t>papa,</w:t>
      </w:r>
      <w:r>
        <w:rPr>
          <w:rFonts w:ascii="Times New Roman" w:hAnsi="Times New Roman"/>
          <w:color w:val="231F20"/>
          <w:spacing w:val="-11"/>
          <w:sz w:val="16"/>
        </w:rPr>
        <w:t> </w:t>
      </w:r>
      <w:r>
        <w:rPr>
          <w:rFonts w:ascii="Times New Roman" w:hAnsi="Times New Roman"/>
          <w:color w:val="231F20"/>
          <w:sz w:val="16"/>
        </w:rPr>
        <w:t>ubicándose</w:t>
      </w:r>
      <w:r>
        <w:rPr>
          <w:rFonts w:ascii="Times New Roman" w:hAnsi="Times New Roman"/>
          <w:color w:val="231F20"/>
          <w:spacing w:val="-11"/>
          <w:sz w:val="16"/>
        </w:rPr>
        <w:t> </w:t>
      </w:r>
      <w:r>
        <w:rPr>
          <w:rFonts w:ascii="Times New Roman" w:hAnsi="Times New Roman"/>
          <w:color w:val="231F20"/>
          <w:sz w:val="16"/>
        </w:rPr>
        <w:t>como</w:t>
      </w:r>
      <w:r>
        <w:rPr>
          <w:rFonts w:ascii="Times New Roman" w:hAnsi="Times New Roman"/>
          <w:color w:val="231F20"/>
          <w:spacing w:val="-11"/>
          <w:sz w:val="16"/>
        </w:rPr>
        <w:t> </w:t>
      </w:r>
      <w:r>
        <w:rPr>
          <w:rFonts w:ascii="Times New Roman" w:hAnsi="Times New Roman"/>
          <w:color w:val="231F20"/>
          <w:sz w:val="16"/>
        </w:rPr>
        <w:t>el</w:t>
      </w:r>
      <w:r>
        <w:rPr>
          <w:rFonts w:ascii="Times New Roman" w:hAnsi="Times New Roman"/>
          <w:color w:val="231F20"/>
          <w:spacing w:val="-11"/>
          <w:sz w:val="16"/>
        </w:rPr>
        <w:t> </w:t>
      </w:r>
      <w:r>
        <w:rPr>
          <w:rFonts w:ascii="Times New Roman" w:hAnsi="Times New Roman"/>
          <w:color w:val="231F20"/>
          <w:sz w:val="16"/>
        </w:rPr>
        <w:t>segundo municipio productor en el Estado de México (SIAP 2010). La superficie estudiada se encuentra a una altitud entre los 3000 y los 3500</w:t>
      </w:r>
      <w:r>
        <w:rPr>
          <w:rFonts w:ascii="Times New Roman" w:hAnsi="Times New Roman"/>
          <w:color w:val="231F20"/>
          <w:spacing w:val="-7"/>
          <w:sz w:val="16"/>
        </w:rPr>
        <w:t> </w:t>
      </w:r>
      <w:r>
        <w:rPr>
          <w:rFonts w:ascii="Times New Roman" w:hAnsi="Times New Roman"/>
          <w:color w:val="231F20"/>
          <w:sz w:val="16"/>
        </w:rPr>
        <w:t>msnm.</w:t>
      </w:r>
    </w:p>
    <w:p>
      <w:pPr>
        <w:pStyle w:val="BodyText"/>
        <w:spacing w:before="3"/>
        <w:rPr>
          <w:rFonts w:ascii="Times New Roman"/>
          <w:sz w:val="14"/>
        </w:rPr>
      </w:pPr>
    </w:p>
    <w:p>
      <w:pPr>
        <w:spacing w:line="179" w:lineRule="exact" w:before="0"/>
        <w:ind w:left="371" w:right="0" w:firstLine="0"/>
        <w:jc w:val="left"/>
        <w:rPr>
          <w:rFonts w:ascii="Times New Roman"/>
          <w:b/>
          <w:sz w:val="16"/>
        </w:rPr>
      </w:pPr>
      <w:r>
        <w:rPr>
          <w:rFonts w:ascii="Times New Roman"/>
          <w:b/>
          <w:color w:val="231F20"/>
          <w:sz w:val="16"/>
        </w:rPr>
        <w:t>Marco de muestreo de productores de papa</w:t>
      </w:r>
    </w:p>
    <w:p>
      <w:pPr>
        <w:spacing w:line="174" w:lineRule="exact" w:before="5"/>
        <w:ind w:left="371" w:right="1147" w:firstLine="206"/>
        <w:jc w:val="both"/>
        <w:rPr>
          <w:rFonts w:ascii="Times New Roman" w:hAnsi="Times New Roman"/>
          <w:sz w:val="16"/>
        </w:rPr>
      </w:pPr>
      <w:r>
        <w:rPr>
          <w:rFonts w:ascii="Times New Roman" w:hAnsi="Times New Roman"/>
          <w:color w:val="231F20"/>
          <w:sz w:val="16"/>
        </w:rPr>
        <w:t>Se</w:t>
      </w:r>
      <w:r>
        <w:rPr>
          <w:rFonts w:ascii="Times New Roman" w:hAnsi="Times New Roman"/>
          <w:color w:val="231F20"/>
          <w:spacing w:val="-11"/>
          <w:sz w:val="16"/>
        </w:rPr>
        <w:t> </w:t>
      </w:r>
      <w:r>
        <w:rPr>
          <w:rFonts w:ascii="Times New Roman" w:hAnsi="Times New Roman"/>
          <w:color w:val="231F20"/>
          <w:sz w:val="16"/>
        </w:rPr>
        <w:t>eligió</w:t>
      </w:r>
      <w:r>
        <w:rPr>
          <w:rFonts w:ascii="Times New Roman" w:hAnsi="Times New Roman"/>
          <w:color w:val="231F20"/>
          <w:spacing w:val="-11"/>
          <w:sz w:val="16"/>
        </w:rPr>
        <w:t> </w:t>
      </w:r>
      <w:r>
        <w:rPr>
          <w:rFonts w:ascii="Times New Roman" w:hAnsi="Times New Roman"/>
          <w:color w:val="231F20"/>
          <w:sz w:val="16"/>
        </w:rPr>
        <w:t>a</w:t>
      </w:r>
      <w:r>
        <w:rPr>
          <w:rFonts w:ascii="Times New Roman" w:hAnsi="Times New Roman"/>
          <w:color w:val="231F20"/>
          <w:spacing w:val="-11"/>
          <w:sz w:val="16"/>
        </w:rPr>
        <w:t> </w:t>
      </w:r>
      <w:r>
        <w:rPr>
          <w:rFonts w:ascii="Times New Roman" w:hAnsi="Times New Roman"/>
          <w:color w:val="231F20"/>
          <w:sz w:val="16"/>
        </w:rPr>
        <w:t>los</w:t>
      </w:r>
      <w:r>
        <w:rPr>
          <w:rFonts w:ascii="Times New Roman" w:hAnsi="Times New Roman"/>
          <w:color w:val="231F20"/>
          <w:spacing w:val="-11"/>
          <w:sz w:val="16"/>
        </w:rPr>
        <w:t> </w:t>
      </w:r>
      <w:r>
        <w:rPr>
          <w:rFonts w:ascii="Times New Roman" w:hAnsi="Times New Roman"/>
          <w:color w:val="231F20"/>
          <w:sz w:val="16"/>
        </w:rPr>
        <w:t>productores</w:t>
      </w:r>
      <w:r>
        <w:rPr>
          <w:rFonts w:ascii="Times New Roman" w:hAnsi="Times New Roman"/>
          <w:color w:val="231F20"/>
          <w:spacing w:val="-11"/>
          <w:sz w:val="16"/>
        </w:rPr>
        <w:t> </w:t>
      </w:r>
      <w:r>
        <w:rPr>
          <w:rFonts w:ascii="Times New Roman" w:hAnsi="Times New Roman"/>
          <w:color w:val="231F20"/>
          <w:sz w:val="16"/>
        </w:rPr>
        <w:t>por</w:t>
      </w:r>
      <w:r>
        <w:rPr>
          <w:rFonts w:ascii="Times New Roman" w:hAnsi="Times New Roman"/>
          <w:color w:val="231F20"/>
          <w:spacing w:val="-11"/>
          <w:sz w:val="16"/>
        </w:rPr>
        <w:t> </w:t>
      </w:r>
      <w:r>
        <w:rPr>
          <w:rFonts w:ascii="Times New Roman" w:hAnsi="Times New Roman"/>
          <w:color w:val="231F20"/>
          <w:sz w:val="16"/>
        </w:rPr>
        <w:t>muestreo</w:t>
      </w:r>
      <w:r>
        <w:rPr>
          <w:rFonts w:ascii="Times New Roman" w:hAnsi="Times New Roman"/>
          <w:color w:val="231F20"/>
          <w:spacing w:val="-11"/>
          <w:sz w:val="16"/>
        </w:rPr>
        <w:t> </w:t>
      </w:r>
      <w:r>
        <w:rPr>
          <w:rFonts w:ascii="Times New Roman" w:hAnsi="Times New Roman"/>
          <w:color w:val="231F20"/>
          <w:sz w:val="16"/>
        </w:rPr>
        <w:t>estratifi- cado</w:t>
      </w:r>
      <w:r>
        <w:rPr>
          <w:rFonts w:ascii="Times New Roman" w:hAnsi="Times New Roman"/>
          <w:color w:val="231F20"/>
          <w:spacing w:val="-19"/>
          <w:sz w:val="16"/>
        </w:rPr>
        <w:t> </w:t>
      </w:r>
      <w:r>
        <w:rPr>
          <w:rFonts w:ascii="Times New Roman" w:hAnsi="Times New Roman"/>
          <w:color w:val="231F20"/>
          <w:sz w:val="16"/>
        </w:rPr>
        <w:t>aplicando</w:t>
      </w:r>
      <w:r>
        <w:rPr>
          <w:rFonts w:ascii="Times New Roman" w:hAnsi="Times New Roman"/>
          <w:color w:val="231F20"/>
          <w:spacing w:val="-19"/>
          <w:sz w:val="16"/>
        </w:rPr>
        <w:t> </w:t>
      </w:r>
      <w:r>
        <w:rPr>
          <w:rFonts w:ascii="Times New Roman" w:hAnsi="Times New Roman"/>
          <w:color w:val="231F20"/>
          <w:sz w:val="16"/>
        </w:rPr>
        <w:t>la</w:t>
      </w:r>
      <w:r>
        <w:rPr>
          <w:rFonts w:ascii="Times New Roman" w:hAnsi="Times New Roman"/>
          <w:color w:val="231F20"/>
          <w:spacing w:val="-19"/>
          <w:sz w:val="16"/>
        </w:rPr>
        <w:t> </w:t>
      </w:r>
      <w:r>
        <w:rPr>
          <w:rFonts w:ascii="Times New Roman" w:hAnsi="Times New Roman"/>
          <w:color w:val="231F20"/>
          <w:sz w:val="16"/>
        </w:rPr>
        <w:t>metodología</w:t>
      </w:r>
      <w:r>
        <w:rPr>
          <w:rFonts w:ascii="Times New Roman" w:hAnsi="Times New Roman"/>
          <w:color w:val="231F20"/>
          <w:spacing w:val="-19"/>
          <w:sz w:val="16"/>
        </w:rPr>
        <w:t> </w:t>
      </w:r>
      <w:r>
        <w:rPr>
          <w:rFonts w:ascii="Times New Roman" w:hAnsi="Times New Roman"/>
          <w:color w:val="231F20"/>
          <w:sz w:val="16"/>
        </w:rPr>
        <w:t>descrita</w:t>
      </w:r>
      <w:r>
        <w:rPr>
          <w:rFonts w:ascii="Times New Roman" w:hAnsi="Times New Roman"/>
          <w:color w:val="231F20"/>
          <w:spacing w:val="-19"/>
          <w:sz w:val="16"/>
        </w:rPr>
        <w:t> </w:t>
      </w:r>
      <w:r>
        <w:rPr>
          <w:rFonts w:ascii="Times New Roman" w:hAnsi="Times New Roman"/>
          <w:color w:val="231F20"/>
          <w:sz w:val="16"/>
        </w:rPr>
        <w:t>por</w:t>
      </w:r>
      <w:r>
        <w:rPr>
          <w:rFonts w:ascii="Times New Roman" w:hAnsi="Times New Roman"/>
          <w:color w:val="231F20"/>
          <w:spacing w:val="-19"/>
          <w:sz w:val="16"/>
        </w:rPr>
        <w:t> </w:t>
      </w:r>
      <w:r>
        <w:rPr>
          <w:rFonts w:ascii="Times New Roman" w:hAnsi="Times New Roman"/>
          <w:color w:val="231F20"/>
          <w:sz w:val="16"/>
        </w:rPr>
        <w:t>Scheaffer </w:t>
      </w:r>
      <w:r>
        <w:rPr>
          <w:rFonts w:ascii="Times New Roman" w:hAnsi="Times New Roman"/>
          <w:i/>
          <w:color w:val="231F20"/>
          <w:sz w:val="16"/>
        </w:rPr>
        <w:t>et</w:t>
      </w:r>
      <w:r>
        <w:rPr>
          <w:rFonts w:ascii="Times New Roman" w:hAnsi="Times New Roman"/>
          <w:i/>
          <w:color w:val="231F20"/>
          <w:spacing w:val="-10"/>
          <w:sz w:val="16"/>
        </w:rPr>
        <w:t> </w:t>
      </w:r>
      <w:r>
        <w:rPr>
          <w:rFonts w:ascii="Times New Roman" w:hAnsi="Times New Roman"/>
          <w:i/>
          <w:color w:val="231F20"/>
          <w:sz w:val="16"/>
        </w:rPr>
        <w:t>al.</w:t>
      </w:r>
      <w:r>
        <w:rPr>
          <w:rFonts w:ascii="Times New Roman" w:hAnsi="Times New Roman"/>
          <w:i/>
          <w:color w:val="231F20"/>
          <w:spacing w:val="-10"/>
          <w:sz w:val="16"/>
        </w:rPr>
        <w:t> </w:t>
      </w:r>
      <w:r>
        <w:rPr>
          <w:rFonts w:ascii="Times New Roman" w:hAnsi="Times New Roman"/>
          <w:color w:val="231F20"/>
          <w:sz w:val="16"/>
        </w:rPr>
        <w:t>(1986),</w:t>
      </w:r>
      <w:r>
        <w:rPr>
          <w:rFonts w:ascii="Times New Roman" w:hAnsi="Times New Roman"/>
          <w:color w:val="231F20"/>
          <w:spacing w:val="-10"/>
          <w:sz w:val="16"/>
        </w:rPr>
        <w:t> </w:t>
      </w:r>
      <w:r>
        <w:rPr>
          <w:rFonts w:ascii="Times New Roman" w:hAnsi="Times New Roman"/>
          <w:color w:val="231F20"/>
          <w:sz w:val="16"/>
        </w:rPr>
        <w:t>clasificándolos</w:t>
      </w:r>
      <w:r>
        <w:rPr>
          <w:rFonts w:ascii="Times New Roman" w:hAnsi="Times New Roman"/>
          <w:color w:val="231F20"/>
          <w:spacing w:val="-10"/>
          <w:sz w:val="16"/>
        </w:rPr>
        <w:t> </w:t>
      </w:r>
      <w:r>
        <w:rPr>
          <w:rFonts w:ascii="Times New Roman" w:hAnsi="Times New Roman"/>
          <w:color w:val="231F20"/>
          <w:sz w:val="16"/>
        </w:rPr>
        <w:t>de</w:t>
      </w:r>
      <w:r>
        <w:rPr>
          <w:rFonts w:ascii="Times New Roman" w:hAnsi="Times New Roman"/>
          <w:color w:val="231F20"/>
          <w:spacing w:val="-10"/>
          <w:sz w:val="16"/>
        </w:rPr>
        <w:t> </w:t>
      </w:r>
      <w:r>
        <w:rPr>
          <w:rFonts w:ascii="Times New Roman" w:hAnsi="Times New Roman"/>
          <w:color w:val="231F20"/>
          <w:sz w:val="16"/>
        </w:rPr>
        <w:t>acuerdo</w:t>
      </w:r>
      <w:r>
        <w:rPr>
          <w:rFonts w:ascii="Times New Roman" w:hAnsi="Times New Roman"/>
          <w:color w:val="231F20"/>
          <w:spacing w:val="-10"/>
          <w:sz w:val="16"/>
        </w:rPr>
        <w:t> </w:t>
      </w:r>
      <w:r>
        <w:rPr>
          <w:rFonts w:ascii="Times New Roman" w:hAnsi="Times New Roman"/>
          <w:color w:val="231F20"/>
          <w:sz w:val="16"/>
        </w:rPr>
        <w:t>con</w:t>
      </w:r>
      <w:r>
        <w:rPr>
          <w:rFonts w:ascii="Times New Roman" w:hAnsi="Times New Roman"/>
          <w:color w:val="231F20"/>
          <w:spacing w:val="-10"/>
          <w:sz w:val="16"/>
        </w:rPr>
        <w:t> </w:t>
      </w:r>
      <w:r>
        <w:rPr>
          <w:rFonts w:ascii="Times New Roman" w:hAnsi="Times New Roman"/>
          <w:color w:val="231F20"/>
          <w:sz w:val="16"/>
        </w:rPr>
        <w:t>el</w:t>
      </w:r>
      <w:r>
        <w:rPr>
          <w:rFonts w:ascii="Times New Roman" w:hAnsi="Times New Roman"/>
          <w:color w:val="231F20"/>
          <w:spacing w:val="-10"/>
          <w:sz w:val="16"/>
        </w:rPr>
        <w:t> </w:t>
      </w:r>
      <w:r>
        <w:rPr>
          <w:rFonts w:ascii="Times New Roman" w:hAnsi="Times New Roman"/>
          <w:color w:val="231F20"/>
          <w:sz w:val="16"/>
        </w:rPr>
        <w:t>siste- ma</w:t>
      </w:r>
      <w:r>
        <w:rPr>
          <w:rFonts w:ascii="Times New Roman" w:hAnsi="Times New Roman"/>
          <w:color w:val="231F20"/>
          <w:spacing w:val="-21"/>
          <w:sz w:val="16"/>
        </w:rPr>
        <w:t> </w:t>
      </w:r>
      <w:r>
        <w:rPr>
          <w:rFonts w:ascii="Times New Roman" w:hAnsi="Times New Roman"/>
          <w:color w:val="231F20"/>
          <w:sz w:val="16"/>
        </w:rPr>
        <w:t>de</w:t>
      </w:r>
      <w:r>
        <w:rPr>
          <w:rFonts w:ascii="Times New Roman" w:hAnsi="Times New Roman"/>
          <w:color w:val="231F20"/>
          <w:spacing w:val="-21"/>
          <w:sz w:val="16"/>
        </w:rPr>
        <w:t> </w:t>
      </w:r>
      <w:r>
        <w:rPr>
          <w:rFonts w:ascii="Times New Roman" w:hAnsi="Times New Roman"/>
          <w:color w:val="231F20"/>
          <w:sz w:val="16"/>
        </w:rPr>
        <w:t>producción:</w:t>
      </w:r>
      <w:r>
        <w:rPr>
          <w:rFonts w:ascii="Times New Roman" w:hAnsi="Times New Roman"/>
          <w:color w:val="231F20"/>
          <w:spacing w:val="-21"/>
          <w:sz w:val="16"/>
        </w:rPr>
        <w:t> </w:t>
      </w:r>
      <w:r>
        <w:rPr>
          <w:rFonts w:ascii="Times New Roman" w:hAnsi="Times New Roman"/>
          <w:color w:val="231F20"/>
          <w:sz w:val="16"/>
        </w:rPr>
        <w:t>a)</w:t>
      </w:r>
      <w:r>
        <w:rPr>
          <w:rFonts w:ascii="Times New Roman" w:hAnsi="Times New Roman"/>
          <w:color w:val="231F20"/>
          <w:spacing w:val="-21"/>
          <w:sz w:val="16"/>
        </w:rPr>
        <w:t> </w:t>
      </w:r>
      <w:r>
        <w:rPr>
          <w:rFonts w:ascii="Times New Roman" w:hAnsi="Times New Roman"/>
          <w:color w:val="231F20"/>
          <w:sz w:val="16"/>
        </w:rPr>
        <w:t>riego</w:t>
      </w:r>
      <w:r>
        <w:rPr>
          <w:rFonts w:ascii="Times New Roman" w:hAnsi="Times New Roman"/>
          <w:color w:val="231F20"/>
          <w:spacing w:val="-21"/>
          <w:sz w:val="16"/>
        </w:rPr>
        <w:t> </w:t>
      </w:r>
      <w:r>
        <w:rPr>
          <w:rFonts w:ascii="Times New Roman" w:hAnsi="Times New Roman"/>
          <w:color w:val="231F20"/>
          <w:sz w:val="16"/>
        </w:rPr>
        <w:t>y</w:t>
      </w:r>
      <w:r>
        <w:rPr>
          <w:rFonts w:ascii="Times New Roman" w:hAnsi="Times New Roman"/>
          <w:color w:val="231F20"/>
          <w:spacing w:val="-21"/>
          <w:sz w:val="16"/>
        </w:rPr>
        <w:t> </w:t>
      </w:r>
      <w:r>
        <w:rPr>
          <w:rFonts w:ascii="Times New Roman" w:hAnsi="Times New Roman"/>
          <w:color w:val="231F20"/>
          <w:sz w:val="16"/>
        </w:rPr>
        <w:t>b)</w:t>
      </w:r>
      <w:r>
        <w:rPr>
          <w:rFonts w:ascii="Times New Roman" w:hAnsi="Times New Roman"/>
          <w:color w:val="231F20"/>
          <w:spacing w:val="-21"/>
          <w:sz w:val="16"/>
        </w:rPr>
        <w:t> </w:t>
      </w:r>
      <w:r>
        <w:rPr>
          <w:rFonts w:ascii="Times New Roman" w:hAnsi="Times New Roman"/>
          <w:color w:val="231F20"/>
          <w:sz w:val="16"/>
        </w:rPr>
        <w:t>temporal.</w:t>
      </w:r>
      <w:r>
        <w:rPr>
          <w:rFonts w:ascii="Times New Roman" w:hAnsi="Times New Roman"/>
          <w:color w:val="231F20"/>
          <w:spacing w:val="-21"/>
          <w:sz w:val="16"/>
        </w:rPr>
        <w:t> </w:t>
      </w:r>
      <w:r>
        <w:rPr>
          <w:rFonts w:ascii="Times New Roman" w:hAnsi="Times New Roman"/>
          <w:color w:val="231F20"/>
          <w:sz w:val="16"/>
        </w:rPr>
        <w:t>Se</w:t>
      </w:r>
      <w:r>
        <w:rPr>
          <w:rFonts w:ascii="Times New Roman" w:hAnsi="Times New Roman"/>
          <w:color w:val="231F20"/>
          <w:spacing w:val="-21"/>
          <w:sz w:val="16"/>
        </w:rPr>
        <w:t> </w:t>
      </w:r>
      <w:r>
        <w:rPr>
          <w:rFonts w:ascii="Times New Roman" w:hAnsi="Times New Roman"/>
          <w:color w:val="231F20"/>
          <w:sz w:val="16"/>
        </w:rPr>
        <w:t>encuestó a 43 productores de papa de un total de 71 produc- tores del municipio de Zinacantepec, con base en</w:t>
      </w:r>
      <w:r>
        <w:rPr>
          <w:rFonts w:ascii="Times New Roman" w:hAnsi="Times New Roman"/>
          <w:color w:val="231F20"/>
          <w:spacing w:val="-10"/>
          <w:sz w:val="16"/>
        </w:rPr>
        <w:t> </w:t>
      </w:r>
      <w:r>
        <w:rPr>
          <w:rFonts w:ascii="Times New Roman" w:hAnsi="Times New Roman"/>
          <w:color w:val="231F20"/>
          <w:sz w:val="16"/>
        </w:rPr>
        <w:t>la superficie</w:t>
      </w:r>
      <w:r>
        <w:rPr>
          <w:rFonts w:ascii="Times New Roman" w:hAnsi="Times New Roman"/>
          <w:color w:val="231F20"/>
          <w:spacing w:val="-22"/>
          <w:sz w:val="16"/>
        </w:rPr>
        <w:t> </w:t>
      </w:r>
      <w:r>
        <w:rPr>
          <w:rFonts w:ascii="Times New Roman" w:hAnsi="Times New Roman"/>
          <w:color w:val="231F20"/>
          <w:sz w:val="16"/>
        </w:rPr>
        <w:t>sembrada</w:t>
      </w:r>
      <w:r>
        <w:rPr>
          <w:rFonts w:ascii="Times New Roman" w:hAnsi="Times New Roman"/>
          <w:color w:val="231F20"/>
          <w:spacing w:val="-22"/>
          <w:sz w:val="16"/>
        </w:rPr>
        <w:t> </w:t>
      </w:r>
      <w:r>
        <w:rPr>
          <w:rFonts w:ascii="Times New Roman" w:hAnsi="Times New Roman"/>
          <w:color w:val="231F20"/>
          <w:sz w:val="16"/>
        </w:rPr>
        <w:t>de</w:t>
      </w:r>
      <w:r>
        <w:rPr>
          <w:rFonts w:ascii="Times New Roman" w:hAnsi="Times New Roman"/>
          <w:color w:val="231F20"/>
          <w:spacing w:val="-22"/>
          <w:sz w:val="16"/>
        </w:rPr>
        <w:t> </w:t>
      </w:r>
      <w:r>
        <w:rPr>
          <w:rFonts w:ascii="Times New Roman" w:hAnsi="Times New Roman"/>
          <w:color w:val="231F20"/>
          <w:sz w:val="16"/>
        </w:rPr>
        <w:t>papa</w:t>
      </w:r>
      <w:r>
        <w:rPr>
          <w:rFonts w:ascii="Times New Roman" w:hAnsi="Times New Roman"/>
          <w:color w:val="231F20"/>
          <w:spacing w:val="-22"/>
          <w:sz w:val="16"/>
        </w:rPr>
        <w:t> </w:t>
      </w:r>
      <w:r>
        <w:rPr>
          <w:rFonts w:ascii="Times New Roman" w:hAnsi="Times New Roman"/>
          <w:color w:val="231F20"/>
          <w:sz w:val="16"/>
        </w:rPr>
        <w:t>por</w:t>
      </w:r>
      <w:r>
        <w:rPr>
          <w:rFonts w:ascii="Times New Roman" w:hAnsi="Times New Roman"/>
          <w:color w:val="231F20"/>
          <w:spacing w:val="-22"/>
          <w:sz w:val="16"/>
        </w:rPr>
        <w:t> </w:t>
      </w:r>
      <w:r>
        <w:rPr>
          <w:rFonts w:ascii="Times New Roman" w:hAnsi="Times New Roman"/>
          <w:color w:val="231F20"/>
          <w:spacing w:val="-3"/>
          <w:sz w:val="16"/>
        </w:rPr>
        <w:t>productor,</w:t>
      </w:r>
      <w:r>
        <w:rPr>
          <w:rFonts w:ascii="Times New Roman" w:hAnsi="Times New Roman"/>
          <w:color w:val="231F20"/>
          <w:spacing w:val="-22"/>
          <w:sz w:val="16"/>
        </w:rPr>
        <w:t> </w:t>
      </w:r>
      <w:r>
        <w:rPr>
          <w:rFonts w:ascii="Times New Roman" w:hAnsi="Times New Roman"/>
          <w:color w:val="231F20"/>
          <w:sz w:val="16"/>
        </w:rPr>
        <w:t>registrada en las bases de los Centros de Apoyo al Desarrollo Rural</w:t>
      </w:r>
      <w:r>
        <w:rPr>
          <w:rFonts w:ascii="Times New Roman" w:hAnsi="Times New Roman"/>
          <w:color w:val="231F20"/>
          <w:spacing w:val="-23"/>
          <w:sz w:val="16"/>
        </w:rPr>
        <w:t> </w:t>
      </w:r>
      <w:r>
        <w:rPr>
          <w:rFonts w:ascii="Times New Roman" w:hAnsi="Times New Roman"/>
          <w:color w:val="231F20"/>
          <w:sz w:val="16"/>
        </w:rPr>
        <w:t>(CADER)</w:t>
      </w:r>
      <w:r>
        <w:rPr>
          <w:rFonts w:ascii="Times New Roman" w:hAnsi="Times New Roman"/>
          <w:color w:val="231F20"/>
          <w:spacing w:val="-23"/>
          <w:sz w:val="16"/>
        </w:rPr>
        <w:t> </w:t>
      </w:r>
      <w:r>
        <w:rPr>
          <w:rFonts w:ascii="Times New Roman" w:hAnsi="Times New Roman"/>
          <w:color w:val="231F20"/>
          <w:sz w:val="16"/>
        </w:rPr>
        <w:t>y</w:t>
      </w:r>
      <w:r>
        <w:rPr>
          <w:rFonts w:ascii="Times New Roman" w:hAnsi="Times New Roman"/>
          <w:color w:val="231F20"/>
          <w:spacing w:val="-23"/>
          <w:sz w:val="16"/>
        </w:rPr>
        <w:t> </w:t>
      </w:r>
      <w:r>
        <w:rPr>
          <w:rFonts w:ascii="Times New Roman" w:hAnsi="Times New Roman"/>
          <w:color w:val="231F20"/>
          <w:sz w:val="16"/>
        </w:rPr>
        <w:t>de</w:t>
      </w:r>
      <w:r>
        <w:rPr>
          <w:rFonts w:ascii="Times New Roman" w:hAnsi="Times New Roman"/>
          <w:color w:val="231F20"/>
          <w:spacing w:val="-23"/>
          <w:sz w:val="16"/>
        </w:rPr>
        <w:t> </w:t>
      </w:r>
      <w:r>
        <w:rPr>
          <w:rFonts w:ascii="Times New Roman" w:hAnsi="Times New Roman"/>
          <w:color w:val="231F20"/>
          <w:sz w:val="16"/>
        </w:rPr>
        <w:t>los</w:t>
      </w:r>
      <w:r>
        <w:rPr>
          <w:rFonts w:ascii="Times New Roman" w:hAnsi="Times New Roman"/>
          <w:color w:val="231F20"/>
          <w:spacing w:val="-23"/>
          <w:sz w:val="16"/>
        </w:rPr>
        <w:t> </w:t>
      </w:r>
      <w:r>
        <w:rPr>
          <w:rFonts w:ascii="Times New Roman" w:hAnsi="Times New Roman"/>
          <w:color w:val="231F20"/>
          <w:sz w:val="16"/>
        </w:rPr>
        <w:t>Distritos</w:t>
      </w:r>
      <w:r>
        <w:rPr>
          <w:rFonts w:ascii="Times New Roman" w:hAnsi="Times New Roman"/>
          <w:color w:val="231F20"/>
          <w:spacing w:val="-23"/>
          <w:sz w:val="16"/>
        </w:rPr>
        <w:t> </w:t>
      </w:r>
      <w:r>
        <w:rPr>
          <w:rFonts w:ascii="Times New Roman" w:hAnsi="Times New Roman"/>
          <w:color w:val="231F20"/>
          <w:sz w:val="16"/>
        </w:rPr>
        <w:t>de</w:t>
      </w:r>
      <w:r>
        <w:rPr>
          <w:rFonts w:ascii="Times New Roman" w:hAnsi="Times New Roman"/>
          <w:color w:val="231F20"/>
          <w:spacing w:val="-23"/>
          <w:sz w:val="16"/>
        </w:rPr>
        <w:t> </w:t>
      </w:r>
      <w:r>
        <w:rPr>
          <w:rFonts w:ascii="Times New Roman" w:hAnsi="Times New Roman"/>
          <w:color w:val="231F20"/>
          <w:sz w:val="16"/>
        </w:rPr>
        <w:t>Desarrollo</w:t>
      </w:r>
      <w:r>
        <w:rPr>
          <w:rFonts w:ascii="Times New Roman" w:hAnsi="Times New Roman"/>
          <w:color w:val="231F20"/>
          <w:spacing w:val="-23"/>
          <w:sz w:val="16"/>
        </w:rPr>
        <w:t> </w:t>
      </w:r>
      <w:r>
        <w:rPr>
          <w:rFonts w:ascii="Times New Roman" w:hAnsi="Times New Roman"/>
          <w:color w:val="231F20"/>
          <w:sz w:val="16"/>
        </w:rPr>
        <w:t>Rural (DDR)</w:t>
      </w:r>
      <w:r>
        <w:rPr>
          <w:rFonts w:ascii="Times New Roman" w:hAnsi="Times New Roman"/>
          <w:color w:val="231F20"/>
          <w:spacing w:val="-8"/>
          <w:sz w:val="16"/>
        </w:rPr>
        <w:t> </w:t>
      </w:r>
      <w:r>
        <w:rPr>
          <w:rFonts w:ascii="Times New Roman" w:hAnsi="Times New Roman"/>
          <w:color w:val="231F20"/>
          <w:sz w:val="16"/>
        </w:rPr>
        <w:t>del</w:t>
      </w:r>
      <w:r>
        <w:rPr>
          <w:rFonts w:ascii="Times New Roman" w:hAnsi="Times New Roman"/>
          <w:color w:val="231F20"/>
          <w:spacing w:val="-8"/>
          <w:sz w:val="16"/>
        </w:rPr>
        <w:t> </w:t>
      </w:r>
      <w:r>
        <w:rPr>
          <w:rFonts w:ascii="Times New Roman" w:hAnsi="Times New Roman"/>
          <w:color w:val="231F20"/>
          <w:sz w:val="16"/>
        </w:rPr>
        <w:t>Estado</w:t>
      </w:r>
      <w:r>
        <w:rPr>
          <w:rFonts w:ascii="Times New Roman" w:hAnsi="Times New Roman"/>
          <w:color w:val="231F20"/>
          <w:spacing w:val="-8"/>
          <w:sz w:val="16"/>
        </w:rPr>
        <w:t> </w:t>
      </w:r>
      <w:r>
        <w:rPr>
          <w:rFonts w:ascii="Times New Roman" w:hAnsi="Times New Roman"/>
          <w:color w:val="231F20"/>
          <w:sz w:val="16"/>
        </w:rPr>
        <w:t>de</w:t>
      </w:r>
      <w:r>
        <w:rPr>
          <w:rFonts w:ascii="Times New Roman" w:hAnsi="Times New Roman"/>
          <w:color w:val="231F20"/>
          <w:spacing w:val="-8"/>
          <w:sz w:val="16"/>
        </w:rPr>
        <w:t> </w:t>
      </w:r>
      <w:r>
        <w:rPr>
          <w:rFonts w:ascii="Times New Roman" w:hAnsi="Times New Roman"/>
          <w:color w:val="231F20"/>
          <w:sz w:val="16"/>
        </w:rPr>
        <w:t>México.</w:t>
      </w:r>
      <w:r>
        <w:rPr>
          <w:rFonts w:ascii="Times New Roman" w:hAnsi="Times New Roman"/>
          <w:color w:val="231F20"/>
          <w:spacing w:val="-7"/>
          <w:sz w:val="16"/>
        </w:rPr>
        <w:t> </w:t>
      </w:r>
      <w:r>
        <w:rPr>
          <w:rFonts w:ascii="Times New Roman" w:hAnsi="Times New Roman"/>
          <w:color w:val="231F20"/>
          <w:sz w:val="16"/>
        </w:rPr>
        <w:t>El</w:t>
      </w:r>
      <w:r>
        <w:rPr>
          <w:rFonts w:ascii="Times New Roman" w:hAnsi="Times New Roman"/>
          <w:color w:val="231F20"/>
          <w:spacing w:val="-8"/>
          <w:sz w:val="16"/>
        </w:rPr>
        <w:t> </w:t>
      </w:r>
      <w:r>
        <w:rPr>
          <w:rFonts w:ascii="Times New Roman" w:hAnsi="Times New Roman"/>
          <w:color w:val="231F20"/>
          <w:sz w:val="16"/>
        </w:rPr>
        <w:t>estudio</w:t>
      </w:r>
      <w:r>
        <w:rPr>
          <w:rFonts w:ascii="Times New Roman" w:hAnsi="Times New Roman"/>
          <w:color w:val="231F20"/>
          <w:spacing w:val="-8"/>
          <w:sz w:val="16"/>
        </w:rPr>
        <w:t> </w:t>
      </w:r>
      <w:r>
        <w:rPr>
          <w:rFonts w:ascii="Times New Roman" w:hAnsi="Times New Roman"/>
          <w:color w:val="231F20"/>
          <w:sz w:val="16"/>
        </w:rPr>
        <w:t>abarcó</w:t>
      </w:r>
      <w:r>
        <w:rPr>
          <w:rFonts w:ascii="Times New Roman" w:hAnsi="Times New Roman"/>
          <w:color w:val="231F20"/>
          <w:spacing w:val="-8"/>
          <w:sz w:val="16"/>
        </w:rPr>
        <w:t> </w:t>
      </w:r>
      <w:r>
        <w:rPr>
          <w:rFonts w:ascii="Times New Roman" w:hAnsi="Times New Roman"/>
          <w:color w:val="231F20"/>
          <w:sz w:val="16"/>
        </w:rPr>
        <w:t>181 hectáreas</w:t>
      </w:r>
      <w:r>
        <w:rPr>
          <w:rFonts w:ascii="Times New Roman" w:hAnsi="Times New Roman"/>
          <w:color w:val="231F20"/>
          <w:spacing w:val="-4"/>
          <w:sz w:val="16"/>
        </w:rPr>
        <w:t> </w:t>
      </w:r>
      <w:r>
        <w:rPr>
          <w:rFonts w:ascii="Times New Roman" w:hAnsi="Times New Roman"/>
          <w:color w:val="231F20"/>
          <w:sz w:val="16"/>
        </w:rPr>
        <w:t>de</w:t>
      </w:r>
      <w:r>
        <w:rPr>
          <w:rFonts w:ascii="Times New Roman" w:hAnsi="Times New Roman"/>
          <w:color w:val="231F20"/>
          <w:spacing w:val="-4"/>
          <w:sz w:val="16"/>
        </w:rPr>
        <w:t> </w:t>
      </w:r>
      <w:r>
        <w:rPr>
          <w:rFonts w:ascii="Times New Roman" w:hAnsi="Times New Roman"/>
          <w:color w:val="231F20"/>
          <w:sz w:val="16"/>
        </w:rPr>
        <w:t>temporal</w:t>
      </w:r>
      <w:r>
        <w:rPr>
          <w:rFonts w:ascii="Times New Roman" w:hAnsi="Times New Roman"/>
          <w:color w:val="231F20"/>
          <w:spacing w:val="-5"/>
          <w:sz w:val="16"/>
        </w:rPr>
        <w:t> </w:t>
      </w:r>
      <w:r>
        <w:rPr>
          <w:rFonts w:ascii="Times New Roman" w:hAnsi="Times New Roman"/>
          <w:color w:val="231F20"/>
          <w:sz w:val="16"/>
        </w:rPr>
        <w:t>y</w:t>
      </w:r>
      <w:r>
        <w:rPr>
          <w:rFonts w:ascii="Times New Roman" w:hAnsi="Times New Roman"/>
          <w:color w:val="231F20"/>
          <w:spacing w:val="-4"/>
          <w:sz w:val="16"/>
        </w:rPr>
        <w:t> </w:t>
      </w:r>
      <w:r>
        <w:rPr>
          <w:rFonts w:ascii="Times New Roman" w:hAnsi="Times New Roman"/>
          <w:color w:val="231F20"/>
          <w:sz w:val="16"/>
        </w:rPr>
        <w:t>46</w:t>
      </w:r>
      <w:r>
        <w:rPr>
          <w:rFonts w:ascii="Times New Roman" w:hAnsi="Times New Roman"/>
          <w:color w:val="231F20"/>
          <w:spacing w:val="-4"/>
          <w:sz w:val="16"/>
        </w:rPr>
        <w:t> </w:t>
      </w:r>
      <w:r>
        <w:rPr>
          <w:rFonts w:ascii="Times New Roman" w:hAnsi="Times New Roman"/>
          <w:color w:val="231F20"/>
          <w:sz w:val="16"/>
        </w:rPr>
        <w:t>hectáreas</w:t>
      </w:r>
      <w:r>
        <w:rPr>
          <w:rFonts w:ascii="Times New Roman" w:hAnsi="Times New Roman"/>
          <w:color w:val="231F20"/>
          <w:spacing w:val="-4"/>
          <w:sz w:val="16"/>
        </w:rPr>
        <w:t> </w:t>
      </w:r>
      <w:r>
        <w:rPr>
          <w:rFonts w:ascii="Times New Roman" w:hAnsi="Times New Roman"/>
          <w:color w:val="231F20"/>
          <w:sz w:val="16"/>
        </w:rPr>
        <w:t>de</w:t>
      </w:r>
      <w:r>
        <w:rPr>
          <w:rFonts w:ascii="Times New Roman" w:hAnsi="Times New Roman"/>
          <w:color w:val="231F20"/>
          <w:spacing w:val="-4"/>
          <w:sz w:val="16"/>
        </w:rPr>
        <w:t> </w:t>
      </w:r>
      <w:r>
        <w:rPr>
          <w:rFonts w:ascii="Times New Roman" w:hAnsi="Times New Roman"/>
          <w:color w:val="231F20"/>
          <w:sz w:val="16"/>
        </w:rPr>
        <w:t>riego,</w:t>
      </w:r>
      <w:r>
        <w:rPr>
          <w:rFonts w:ascii="Times New Roman" w:hAnsi="Times New Roman"/>
          <w:color w:val="231F20"/>
          <w:spacing w:val="-4"/>
          <w:sz w:val="16"/>
        </w:rPr>
        <w:t> </w:t>
      </w:r>
      <w:r>
        <w:rPr>
          <w:rFonts w:ascii="Times New Roman" w:hAnsi="Times New Roman"/>
          <w:color w:val="231F20"/>
          <w:sz w:val="16"/>
        </w:rPr>
        <w:t>todas incorporadas al</w:t>
      </w:r>
      <w:r>
        <w:rPr>
          <w:rFonts w:ascii="Times New Roman" w:hAnsi="Times New Roman"/>
          <w:color w:val="231F20"/>
          <w:spacing w:val="-2"/>
          <w:sz w:val="16"/>
        </w:rPr>
        <w:t> </w:t>
      </w:r>
      <w:r>
        <w:rPr>
          <w:rFonts w:ascii="Times New Roman" w:hAnsi="Times New Roman"/>
          <w:color w:val="231F20"/>
          <w:spacing w:val="-3"/>
          <w:sz w:val="16"/>
        </w:rPr>
        <w:t>PNNT.</w:t>
      </w:r>
    </w:p>
    <w:p>
      <w:pPr>
        <w:pStyle w:val="BodyText"/>
        <w:spacing w:before="3"/>
        <w:rPr>
          <w:rFonts w:ascii="Times New Roman"/>
          <w:sz w:val="14"/>
        </w:rPr>
      </w:pPr>
    </w:p>
    <w:p>
      <w:pPr>
        <w:spacing w:line="179" w:lineRule="exact" w:before="0"/>
        <w:ind w:left="371" w:right="0" w:firstLine="0"/>
        <w:jc w:val="left"/>
        <w:rPr>
          <w:rFonts w:ascii="Times New Roman"/>
          <w:b/>
          <w:sz w:val="16"/>
        </w:rPr>
      </w:pPr>
      <w:r>
        <w:rPr>
          <w:rFonts w:ascii="Times New Roman"/>
          <w:b/>
          <w:color w:val="231F20"/>
          <w:sz w:val="16"/>
        </w:rPr>
        <w:t>Encuestas</w:t>
      </w:r>
    </w:p>
    <w:p>
      <w:pPr>
        <w:spacing w:line="174" w:lineRule="exact" w:before="5"/>
        <w:ind w:left="371" w:right="1147" w:firstLine="206"/>
        <w:jc w:val="both"/>
        <w:rPr>
          <w:rFonts w:ascii="Times New Roman" w:hAnsi="Times New Roman"/>
          <w:sz w:val="16"/>
        </w:rPr>
      </w:pPr>
      <w:r>
        <w:rPr>
          <w:rFonts w:ascii="Times New Roman" w:hAnsi="Times New Roman"/>
          <w:color w:val="231F20"/>
          <w:sz w:val="16"/>
        </w:rPr>
        <w:t>Se</w:t>
      </w:r>
      <w:r>
        <w:rPr>
          <w:rFonts w:ascii="Times New Roman" w:hAnsi="Times New Roman"/>
          <w:color w:val="231F20"/>
          <w:spacing w:val="-24"/>
          <w:sz w:val="16"/>
        </w:rPr>
        <w:t> </w:t>
      </w:r>
      <w:r>
        <w:rPr>
          <w:rFonts w:ascii="Times New Roman" w:hAnsi="Times New Roman"/>
          <w:color w:val="231F20"/>
          <w:sz w:val="16"/>
        </w:rPr>
        <w:t>utilizaron</w:t>
      </w:r>
      <w:r>
        <w:rPr>
          <w:rFonts w:ascii="Times New Roman" w:hAnsi="Times New Roman"/>
          <w:color w:val="231F20"/>
          <w:spacing w:val="-24"/>
          <w:sz w:val="16"/>
        </w:rPr>
        <w:t> </w:t>
      </w:r>
      <w:r>
        <w:rPr>
          <w:rFonts w:ascii="Times New Roman" w:hAnsi="Times New Roman"/>
          <w:color w:val="231F20"/>
          <w:sz w:val="16"/>
        </w:rPr>
        <w:t>cuestionarios</w:t>
      </w:r>
      <w:r>
        <w:rPr>
          <w:rFonts w:ascii="Times New Roman" w:hAnsi="Times New Roman"/>
          <w:color w:val="231F20"/>
          <w:spacing w:val="-24"/>
          <w:sz w:val="16"/>
        </w:rPr>
        <w:t> </w:t>
      </w:r>
      <w:r>
        <w:rPr>
          <w:rFonts w:ascii="Times New Roman" w:hAnsi="Times New Roman"/>
          <w:color w:val="231F20"/>
          <w:sz w:val="16"/>
        </w:rPr>
        <w:t>de</w:t>
      </w:r>
      <w:r>
        <w:rPr>
          <w:rFonts w:ascii="Times New Roman" w:hAnsi="Times New Roman"/>
          <w:color w:val="231F20"/>
          <w:spacing w:val="-24"/>
          <w:sz w:val="16"/>
        </w:rPr>
        <w:t> </w:t>
      </w:r>
      <w:r>
        <w:rPr>
          <w:rFonts w:ascii="Times New Roman" w:hAnsi="Times New Roman"/>
          <w:color w:val="231F20"/>
          <w:sz w:val="16"/>
        </w:rPr>
        <w:t>preguntas</w:t>
      </w:r>
      <w:r>
        <w:rPr>
          <w:rFonts w:ascii="Times New Roman" w:hAnsi="Times New Roman"/>
          <w:color w:val="231F20"/>
          <w:spacing w:val="-24"/>
          <w:sz w:val="16"/>
        </w:rPr>
        <w:t> </w:t>
      </w:r>
      <w:r>
        <w:rPr>
          <w:rFonts w:ascii="Times New Roman" w:hAnsi="Times New Roman"/>
          <w:color w:val="231F20"/>
          <w:sz w:val="16"/>
        </w:rPr>
        <w:t>abiertas</w:t>
      </w:r>
      <w:r>
        <w:rPr>
          <w:rFonts w:ascii="Times New Roman" w:hAnsi="Times New Roman"/>
          <w:color w:val="231F20"/>
          <w:spacing w:val="-24"/>
          <w:sz w:val="16"/>
        </w:rPr>
        <w:t> </w:t>
      </w:r>
      <w:r>
        <w:rPr>
          <w:rFonts w:ascii="Times New Roman" w:hAnsi="Times New Roman"/>
          <w:color w:val="231F20"/>
          <w:sz w:val="16"/>
        </w:rPr>
        <w:t>y cerradas</w:t>
      </w:r>
      <w:r>
        <w:rPr>
          <w:rFonts w:ascii="Times New Roman" w:hAnsi="Times New Roman"/>
          <w:color w:val="231F20"/>
          <w:spacing w:val="-24"/>
          <w:sz w:val="16"/>
        </w:rPr>
        <w:t> </w:t>
      </w:r>
      <w:r>
        <w:rPr>
          <w:rFonts w:ascii="Times New Roman" w:hAnsi="Times New Roman"/>
          <w:color w:val="231F20"/>
          <w:sz w:val="16"/>
        </w:rPr>
        <w:t>(Briones</w:t>
      </w:r>
      <w:r>
        <w:rPr>
          <w:rFonts w:ascii="Times New Roman" w:hAnsi="Times New Roman"/>
          <w:color w:val="231F20"/>
          <w:spacing w:val="-24"/>
          <w:sz w:val="16"/>
        </w:rPr>
        <w:t> </w:t>
      </w:r>
      <w:r>
        <w:rPr>
          <w:rFonts w:ascii="Times New Roman" w:hAnsi="Times New Roman"/>
          <w:color w:val="231F20"/>
          <w:sz w:val="16"/>
        </w:rPr>
        <w:t>1996)</w:t>
      </w:r>
      <w:r>
        <w:rPr>
          <w:rFonts w:ascii="Times New Roman" w:hAnsi="Times New Roman"/>
          <w:color w:val="231F20"/>
          <w:spacing w:val="-24"/>
          <w:sz w:val="16"/>
        </w:rPr>
        <w:t> </w:t>
      </w:r>
      <w:r>
        <w:rPr>
          <w:rFonts w:ascii="Times New Roman" w:hAnsi="Times New Roman"/>
          <w:color w:val="231F20"/>
          <w:sz w:val="16"/>
        </w:rPr>
        <w:t>con</w:t>
      </w:r>
      <w:r>
        <w:rPr>
          <w:rFonts w:ascii="Times New Roman" w:hAnsi="Times New Roman"/>
          <w:color w:val="231F20"/>
          <w:spacing w:val="-24"/>
          <w:sz w:val="16"/>
        </w:rPr>
        <w:t> </w:t>
      </w:r>
      <w:r>
        <w:rPr>
          <w:rFonts w:ascii="Times New Roman" w:hAnsi="Times New Roman"/>
          <w:color w:val="231F20"/>
          <w:sz w:val="16"/>
        </w:rPr>
        <w:t>tres</w:t>
      </w:r>
      <w:r>
        <w:rPr>
          <w:rFonts w:ascii="Times New Roman" w:hAnsi="Times New Roman"/>
          <w:color w:val="231F20"/>
          <w:spacing w:val="-24"/>
          <w:sz w:val="16"/>
        </w:rPr>
        <w:t> </w:t>
      </w:r>
      <w:r>
        <w:rPr>
          <w:rFonts w:ascii="Times New Roman" w:hAnsi="Times New Roman"/>
          <w:color w:val="231F20"/>
          <w:sz w:val="16"/>
        </w:rPr>
        <w:t>secciones:</w:t>
      </w:r>
      <w:r>
        <w:rPr>
          <w:rFonts w:ascii="Times New Roman" w:hAnsi="Times New Roman"/>
          <w:color w:val="231F20"/>
          <w:spacing w:val="-24"/>
          <w:sz w:val="16"/>
        </w:rPr>
        <w:t> </w:t>
      </w:r>
      <w:r>
        <w:rPr>
          <w:rFonts w:ascii="Times New Roman" w:hAnsi="Times New Roman"/>
          <w:color w:val="231F20"/>
          <w:sz w:val="16"/>
        </w:rPr>
        <w:t>económi- ca</w:t>
      </w:r>
      <w:r>
        <w:rPr>
          <w:rFonts w:ascii="Times New Roman" w:hAnsi="Times New Roman"/>
          <w:color w:val="231F20"/>
          <w:spacing w:val="-5"/>
          <w:sz w:val="16"/>
        </w:rPr>
        <w:t> </w:t>
      </w:r>
      <w:r>
        <w:rPr>
          <w:rFonts w:ascii="Times New Roman" w:hAnsi="Times New Roman"/>
          <w:color w:val="231F20"/>
          <w:sz w:val="16"/>
        </w:rPr>
        <w:t>(precio</w:t>
      </w:r>
      <w:r>
        <w:rPr>
          <w:rFonts w:ascii="Times New Roman" w:hAnsi="Times New Roman"/>
          <w:color w:val="231F20"/>
          <w:spacing w:val="-5"/>
          <w:sz w:val="16"/>
        </w:rPr>
        <w:t> </w:t>
      </w:r>
      <w:r>
        <w:rPr>
          <w:rFonts w:ascii="Times New Roman" w:hAnsi="Times New Roman"/>
          <w:color w:val="231F20"/>
          <w:sz w:val="16"/>
        </w:rPr>
        <w:t>de</w:t>
      </w:r>
      <w:r>
        <w:rPr>
          <w:rFonts w:ascii="Times New Roman" w:hAnsi="Times New Roman"/>
          <w:color w:val="231F20"/>
          <w:spacing w:val="-5"/>
          <w:sz w:val="16"/>
        </w:rPr>
        <w:t> </w:t>
      </w:r>
      <w:r>
        <w:rPr>
          <w:rFonts w:ascii="Times New Roman" w:hAnsi="Times New Roman"/>
          <w:color w:val="231F20"/>
          <w:sz w:val="16"/>
        </w:rPr>
        <w:t>mercado</w:t>
      </w:r>
      <w:r>
        <w:rPr>
          <w:rFonts w:ascii="Times New Roman" w:hAnsi="Times New Roman"/>
          <w:color w:val="231F20"/>
          <w:spacing w:val="-6"/>
          <w:sz w:val="16"/>
        </w:rPr>
        <w:t> </w:t>
      </w:r>
      <w:r>
        <w:rPr>
          <w:rFonts w:ascii="Times New Roman" w:hAnsi="Times New Roman"/>
          <w:color w:val="231F20"/>
          <w:sz w:val="16"/>
        </w:rPr>
        <w:t>y</w:t>
      </w:r>
      <w:r>
        <w:rPr>
          <w:rFonts w:ascii="Times New Roman" w:hAnsi="Times New Roman"/>
          <w:color w:val="231F20"/>
          <w:spacing w:val="-5"/>
          <w:sz w:val="16"/>
        </w:rPr>
        <w:t> </w:t>
      </w:r>
      <w:r>
        <w:rPr>
          <w:rFonts w:ascii="Times New Roman" w:hAnsi="Times New Roman"/>
          <w:color w:val="231F20"/>
          <w:sz w:val="16"/>
        </w:rPr>
        <w:t>costos</w:t>
      </w:r>
      <w:r>
        <w:rPr>
          <w:rFonts w:ascii="Times New Roman" w:hAnsi="Times New Roman"/>
          <w:color w:val="231F20"/>
          <w:spacing w:val="-6"/>
          <w:sz w:val="16"/>
        </w:rPr>
        <w:t> </w:t>
      </w:r>
      <w:r>
        <w:rPr>
          <w:rFonts w:ascii="Times New Roman" w:hAnsi="Times New Roman"/>
          <w:color w:val="231F20"/>
          <w:sz w:val="16"/>
        </w:rPr>
        <w:t>de</w:t>
      </w:r>
      <w:r>
        <w:rPr>
          <w:rFonts w:ascii="Times New Roman" w:hAnsi="Times New Roman"/>
          <w:color w:val="231F20"/>
          <w:spacing w:val="-5"/>
          <w:sz w:val="16"/>
        </w:rPr>
        <w:t> </w:t>
      </w:r>
      <w:r>
        <w:rPr>
          <w:rFonts w:ascii="Times New Roman" w:hAnsi="Times New Roman"/>
          <w:color w:val="231F20"/>
          <w:sz w:val="16"/>
        </w:rPr>
        <w:t>producción),</w:t>
      </w:r>
      <w:r>
        <w:rPr>
          <w:rFonts w:ascii="Times New Roman" w:hAnsi="Times New Roman"/>
          <w:color w:val="231F20"/>
          <w:spacing w:val="-5"/>
          <w:sz w:val="16"/>
        </w:rPr>
        <w:t> </w:t>
      </w:r>
      <w:r>
        <w:rPr>
          <w:rFonts w:ascii="Times New Roman" w:hAnsi="Times New Roman"/>
          <w:color w:val="231F20"/>
          <w:sz w:val="16"/>
        </w:rPr>
        <w:t>pro- ductiva (superficie sembrada, rendimiento, número de</w:t>
      </w:r>
      <w:r>
        <w:rPr>
          <w:rFonts w:ascii="Times New Roman" w:hAnsi="Times New Roman"/>
          <w:color w:val="231F20"/>
          <w:spacing w:val="-17"/>
          <w:sz w:val="16"/>
        </w:rPr>
        <w:t> </w:t>
      </w:r>
      <w:r>
        <w:rPr>
          <w:rFonts w:ascii="Times New Roman" w:hAnsi="Times New Roman"/>
          <w:color w:val="231F20"/>
          <w:sz w:val="16"/>
        </w:rPr>
        <w:t>ciclos</w:t>
      </w:r>
      <w:r>
        <w:rPr>
          <w:rFonts w:ascii="Times New Roman" w:hAnsi="Times New Roman"/>
          <w:color w:val="231F20"/>
          <w:spacing w:val="-17"/>
          <w:sz w:val="16"/>
        </w:rPr>
        <w:t> </w:t>
      </w:r>
      <w:r>
        <w:rPr>
          <w:rFonts w:ascii="Times New Roman" w:hAnsi="Times New Roman"/>
          <w:color w:val="231F20"/>
          <w:sz w:val="16"/>
        </w:rPr>
        <w:t>de</w:t>
      </w:r>
      <w:r>
        <w:rPr>
          <w:rFonts w:ascii="Times New Roman" w:hAnsi="Times New Roman"/>
          <w:color w:val="231F20"/>
          <w:spacing w:val="-17"/>
          <w:sz w:val="16"/>
        </w:rPr>
        <w:t> </w:t>
      </w:r>
      <w:r>
        <w:rPr>
          <w:rFonts w:ascii="Times New Roman" w:hAnsi="Times New Roman"/>
          <w:color w:val="231F20"/>
          <w:sz w:val="16"/>
        </w:rPr>
        <w:t>siembra,</w:t>
      </w:r>
      <w:r>
        <w:rPr>
          <w:rFonts w:ascii="Times New Roman" w:hAnsi="Times New Roman"/>
          <w:color w:val="231F20"/>
          <w:spacing w:val="-18"/>
          <w:sz w:val="16"/>
        </w:rPr>
        <w:t> </w:t>
      </w:r>
      <w:r>
        <w:rPr>
          <w:rFonts w:ascii="Times New Roman" w:hAnsi="Times New Roman"/>
          <w:color w:val="231F20"/>
          <w:sz w:val="16"/>
        </w:rPr>
        <w:t>fertilización</w:t>
      </w:r>
      <w:r>
        <w:rPr>
          <w:rFonts w:ascii="Times New Roman" w:hAnsi="Times New Roman"/>
          <w:color w:val="231F20"/>
          <w:spacing w:val="-17"/>
          <w:sz w:val="16"/>
        </w:rPr>
        <w:t> </w:t>
      </w:r>
      <w:r>
        <w:rPr>
          <w:rFonts w:ascii="Times New Roman" w:hAnsi="Times New Roman"/>
          <w:color w:val="231F20"/>
          <w:sz w:val="16"/>
        </w:rPr>
        <w:t>y</w:t>
      </w:r>
      <w:r>
        <w:rPr>
          <w:rFonts w:ascii="Times New Roman" w:hAnsi="Times New Roman"/>
          <w:color w:val="231F20"/>
          <w:spacing w:val="-17"/>
          <w:sz w:val="16"/>
        </w:rPr>
        <w:t> </w:t>
      </w:r>
      <w:r>
        <w:rPr>
          <w:rFonts w:ascii="Times New Roman" w:hAnsi="Times New Roman"/>
          <w:color w:val="231F20"/>
          <w:sz w:val="16"/>
        </w:rPr>
        <w:t>riego)</w:t>
      </w:r>
      <w:r>
        <w:rPr>
          <w:rFonts w:ascii="Times New Roman" w:hAnsi="Times New Roman"/>
          <w:color w:val="231F20"/>
          <w:spacing w:val="-17"/>
          <w:sz w:val="16"/>
        </w:rPr>
        <w:t> </w:t>
      </w:r>
      <w:r>
        <w:rPr>
          <w:rFonts w:ascii="Times New Roman" w:hAnsi="Times New Roman"/>
          <w:color w:val="231F20"/>
          <w:sz w:val="16"/>
        </w:rPr>
        <w:t>y</w:t>
      </w:r>
      <w:r>
        <w:rPr>
          <w:rFonts w:ascii="Times New Roman" w:hAnsi="Times New Roman"/>
          <w:color w:val="231F20"/>
          <w:spacing w:val="-17"/>
          <w:sz w:val="16"/>
        </w:rPr>
        <w:t> </w:t>
      </w:r>
      <w:r>
        <w:rPr>
          <w:rFonts w:ascii="Times New Roman" w:hAnsi="Times New Roman"/>
          <w:color w:val="231F20"/>
          <w:sz w:val="16"/>
        </w:rPr>
        <w:t>prácticas de</w:t>
      </w:r>
      <w:r>
        <w:rPr>
          <w:rFonts w:ascii="Times New Roman" w:hAnsi="Times New Roman"/>
          <w:color w:val="231F20"/>
          <w:spacing w:val="-17"/>
          <w:sz w:val="16"/>
        </w:rPr>
        <w:t> </w:t>
      </w:r>
      <w:r>
        <w:rPr>
          <w:rFonts w:ascii="Times New Roman" w:hAnsi="Times New Roman"/>
          <w:color w:val="231F20"/>
          <w:sz w:val="16"/>
        </w:rPr>
        <w:t>control</w:t>
      </w:r>
      <w:r>
        <w:rPr>
          <w:rFonts w:ascii="Times New Roman" w:hAnsi="Times New Roman"/>
          <w:color w:val="231F20"/>
          <w:spacing w:val="-17"/>
          <w:sz w:val="16"/>
        </w:rPr>
        <w:t> </w:t>
      </w:r>
      <w:r>
        <w:rPr>
          <w:rFonts w:ascii="Times New Roman" w:hAnsi="Times New Roman"/>
          <w:color w:val="231F20"/>
          <w:sz w:val="16"/>
        </w:rPr>
        <w:t>del</w:t>
      </w:r>
      <w:r>
        <w:rPr>
          <w:rFonts w:ascii="Times New Roman" w:hAnsi="Times New Roman"/>
          <w:color w:val="231F20"/>
          <w:spacing w:val="-17"/>
          <w:sz w:val="16"/>
        </w:rPr>
        <w:t> </w:t>
      </w:r>
      <w:r>
        <w:rPr>
          <w:rFonts w:ascii="Times New Roman" w:hAnsi="Times New Roman"/>
          <w:color w:val="231F20"/>
          <w:sz w:val="16"/>
        </w:rPr>
        <w:t>patógeno</w:t>
      </w:r>
      <w:r>
        <w:rPr>
          <w:rFonts w:ascii="Times New Roman" w:hAnsi="Times New Roman"/>
          <w:color w:val="231F20"/>
          <w:spacing w:val="-17"/>
          <w:sz w:val="16"/>
        </w:rPr>
        <w:t> </w:t>
      </w:r>
      <w:r>
        <w:rPr>
          <w:rFonts w:ascii="Times New Roman" w:hAnsi="Times New Roman"/>
          <w:color w:val="231F20"/>
          <w:sz w:val="16"/>
        </w:rPr>
        <w:t>(fungicidas</w:t>
      </w:r>
      <w:r>
        <w:rPr>
          <w:rFonts w:ascii="Times New Roman" w:hAnsi="Times New Roman"/>
          <w:color w:val="231F20"/>
          <w:spacing w:val="-17"/>
          <w:sz w:val="16"/>
        </w:rPr>
        <w:t> </w:t>
      </w:r>
      <w:r>
        <w:rPr>
          <w:rFonts w:ascii="Times New Roman" w:hAnsi="Times New Roman"/>
          <w:color w:val="231F20"/>
          <w:sz w:val="16"/>
        </w:rPr>
        <w:t>utilizados,</w:t>
      </w:r>
      <w:r>
        <w:rPr>
          <w:rFonts w:ascii="Times New Roman" w:hAnsi="Times New Roman"/>
          <w:color w:val="231F20"/>
          <w:spacing w:val="-17"/>
          <w:sz w:val="16"/>
        </w:rPr>
        <w:t> </w:t>
      </w:r>
      <w:r>
        <w:rPr>
          <w:rFonts w:ascii="Times New Roman" w:hAnsi="Times New Roman"/>
          <w:color w:val="231F20"/>
          <w:sz w:val="16"/>
        </w:rPr>
        <w:t>dosis, frecuencia y modo de</w:t>
      </w:r>
      <w:r>
        <w:rPr>
          <w:rFonts w:ascii="Times New Roman" w:hAnsi="Times New Roman"/>
          <w:color w:val="231F20"/>
          <w:spacing w:val="-2"/>
          <w:sz w:val="16"/>
        </w:rPr>
        <w:t> </w:t>
      </w:r>
      <w:r>
        <w:rPr>
          <w:rFonts w:ascii="Times New Roman" w:hAnsi="Times New Roman"/>
          <w:color w:val="231F20"/>
          <w:sz w:val="16"/>
        </w:rPr>
        <w:t>aplicación).</w:t>
      </w:r>
    </w:p>
    <w:p>
      <w:pPr>
        <w:spacing w:after="0" w:line="174" w:lineRule="exact"/>
        <w:jc w:val="both"/>
        <w:rPr>
          <w:rFonts w:ascii="Times New Roman" w:hAnsi="Times New Roman"/>
          <w:sz w:val="16"/>
        </w:rPr>
        <w:sectPr>
          <w:type w:val="continuous"/>
          <w:pgSz w:w="12240" w:h="15840"/>
          <w:pgMar w:top="1500" w:bottom="1820" w:left="1460" w:right="1440"/>
          <w:cols w:num="2" w:equalWidth="0">
            <w:col w:w="4485" w:space="40"/>
            <w:col w:w="4815"/>
          </w:cols>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9"/>
        <w:rPr>
          <w:rFonts w:ascii="Times New Roman"/>
          <w:sz w:val="28"/>
        </w:rPr>
      </w:pPr>
    </w:p>
    <w:p>
      <w:pPr>
        <w:tabs>
          <w:tab w:pos="8137" w:val="right" w:leader="none"/>
        </w:tabs>
        <w:spacing w:before="86"/>
        <w:ind w:left="3668" w:right="0" w:firstLine="0"/>
        <w:jc w:val="left"/>
        <w:rPr>
          <w:rFonts w:ascii="Times New Roman" w:hAnsi="Times New Roman"/>
          <w:sz w:val="14"/>
        </w:rPr>
      </w:pPr>
      <w:r>
        <w:rPr>
          <w:rFonts w:ascii="Times New Roman" w:hAnsi="Times New Roman"/>
          <w:color w:val="231F20"/>
          <w:w w:val="105"/>
          <w:sz w:val="11"/>
        </w:rPr>
        <w:t>COSTO POR REMOCIÓN</w:t>
      </w:r>
      <w:r>
        <w:rPr>
          <w:rFonts w:ascii="Times New Roman" w:hAnsi="Times New Roman"/>
          <w:color w:val="231F20"/>
          <w:spacing w:val="-2"/>
          <w:w w:val="105"/>
          <w:sz w:val="11"/>
        </w:rPr>
        <w:t> </w:t>
      </w:r>
      <w:r>
        <w:rPr>
          <w:rFonts w:ascii="Times New Roman" w:hAnsi="Times New Roman"/>
          <w:color w:val="231F20"/>
          <w:w w:val="105"/>
          <w:sz w:val="11"/>
        </w:rPr>
        <w:t>DE</w:t>
      </w:r>
      <w:r>
        <w:rPr>
          <w:rFonts w:ascii="Times New Roman" w:hAnsi="Times New Roman"/>
          <w:color w:val="231F20"/>
          <w:spacing w:val="-1"/>
          <w:w w:val="105"/>
          <w:sz w:val="11"/>
        </w:rPr>
        <w:t> </w:t>
      </w:r>
      <w:r>
        <w:rPr>
          <w:rFonts w:ascii="Times New Roman" w:hAnsi="Times New Roman"/>
          <w:color w:val="231F20"/>
          <w:w w:val="105"/>
          <w:sz w:val="11"/>
        </w:rPr>
        <w:t>FUNGICIDAS</w:t>
      </w:r>
      <w:r>
        <w:rPr>
          <w:rFonts w:ascii="Times New Roman" w:hAnsi="Times New Roman"/>
          <w:color w:val="231F20"/>
          <w:w w:val="105"/>
          <w:sz w:val="14"/>
        </w:rPr>
        <w:tab/>
        <w:t>297</w:t>
      </w:r>
    </w:p>
    <w:p>
      <w:pPr>
        <w:pStyle w:val="BodyText"/>
        <w:spacing w:before="9"/>
        <w:rPr>
          <w:rFonts w:ascii="Times New Roman"/>
          <w:sz w:val="27"/>
        </w:rPr>
      </w:pPr>
      <w:r>
        <w:rPr/>
        <w:pict>
          <v:group style="position:absolute;margin-left:196.674423pt;margin-top:17.937328pt;width:228pt;height:226.5pt;mso-position-horizontal-relative:page;mso-position-vertical-relative:paragraph;z-index:1336;mso-wrap-distance-left:0;mso-wrap-distance-right:0" coordorigin="3933,359" coordsize="4560,4530">
            <v:shape style="position:absolute;left:3933;top:359;width:3354;height:2282" type="#_x0000_t75" stroked="false">
              <v:imagedata r:id="rId23" o:title=""/>
            </v:shape>
            <v:shape style="position:absolute;left:5218;top:1330;width:332;height:550" type="#_x0000_t75" stroked="false">
              <v:imagedata r:id="rId24" o:title=""/>
            </v:shape>
            <v:shape style="position:absolute;left:5311;top:995;width:1462;height:1423" type="#_x0000_t75" stroked="false">
              <v:imagedata r:id="rId25" o:title=""/>
            </v:shape>
            <v:shape style="position:absolute;left:5828;top:1885;width:348;height:345" type="#_x0000_t75" stroked="false">
              <v:imagedata r:id="rId26" o:title=""/>
            </v:shape>
            <v:shape style="position:absolute;left:6454;top:2315;width:42;height:123" coordorigin="6454,2315" coordsize="42,123" path="m6457,2437l6465,2433,6472,2434,6471,2423,6471,2413,6465,2409,6462,2402,6460,2399,6460,2395,6458,2392,6457,2388,6455,2388,6454,2384,6454,2372,6464,2380,6469,2375,6472,2372,6471,2366,6473,2362,6474,2359,6478,2359,6478,2354,6479,2347,6468,2346,6470,2339,6471,2333,6485,2335,6488,2332,6493,2328,6490,2317,6496,2315e" filled="false" stroked="true" strokeweight=".361016pt" strokecolor="#231f20">
              <v:path arrowok="t"/>
            </v:shape>
            <v:shape style="position:absolute;left:6259;top:2111;width:42;height:79" coordorigin="6259,2111" coordsize="42,79" path="m6259,2189l6261,2182,6271,2175,6276,2170,6285,2163,6287,2159,6288,2147,6289,2132,6299,2125,6301,2111e" filled="false" stroked="true" strokeweight=".361016pt" strokecolor="#231f20">
              <v:path arrowok="t"/>
            </v:shape>
            <v:shape style="position:absolute;left:6371;top:2188;width:60;height:104" coordorigin="6371,2188" coordsize="60,104" path="m6371,2291l6400,2244,6397,2239,6408,2228,6413,2223,6420,2220,6424,2214,6428,2207,6426,2196,6430,2188e" filled="false" stroked="true" strokeweight=".361016pt" strokecolor="#231f20">
              <v:path arrowok="t"/>
            </v:shape>
            <v:shape style="position:absolute;left:6465;top:2178;width:55;height:126" coordorigin="6465,2178" coordsize="55,126" path="m6465,2178l6470,2185,6470,2198,6468,2212,6469,2223,6471,2228,6477,2232,6479,2237,6483,2244,6481,2245,6490,2249,6506,2258,6510,2257,6511,2277,6512,2287,6517,2294,6519,2304e" filled="false" stroked="true" strokeweight=".361016pt" strokecolor="#231f20">
              <v:path arrowok="t"/>
            </v:shape>
            <v:shape style="position:absolute;left:6573;top:2119;width:242;height:119" type="#_x0000_t75" stroked="false">
              <v:imagedata r:id="rId27" o:title=""/>
            </v:shape>
            <v:line style="position:absolute" from="5832,1922" to="6743,950" stroked="true" strokeweight=".722033pt" strokecolor="#231f20"/>
            <v:line style="position:absolute" from="5961,2100" to="7128,1404" stroked="true" strokeweight=".722033pt" strokecolor="#231f20"/>
            <v:shape style="position:absolute;left:6524;top:964;width:636;height:623" type="#_x0000_t75" stroked="false">
              <v:imagedata r:id="rId28" o:title=""/>
            </v:shape>
            <v:shape style="position:absolute;left:6085;top:813;width:251;height:415" coordorigin="6085,813" coordsize="251,415" path="m6336,813l6284,859,6233,874,6218,878,6203,888,6190,898,6177,908,6132,953,6103,1007,6100,1023,6097,1039,6093,1050,6090,1060,6087,1069,6085,1081,6086,1093,6088,1104,6092,1115,6096,1125,6101,1137,6126,1198,6131,1211,6132,1227e" filled="false" stroked="true" strokeweight=".361016pt" strokecolor="#231f20">
              <v:path arrowok="t"/>
            </v:shape>
            <v:shape style="position:absolute;left:6579;top:2319;width:1911;height:2560" coordorigin="6579,2319" coordsize="1911,2560" path="m6590,3309l6579,3308,6584,3194,6590,3177,6590,3126,6590,3049,6827,3030,6794,3113,6827,3113,6864,3172,6893,3179,6902,3177,6946,3110,6972,3040,6991,2973,6994,2953,7001,2918,7009,2886,7012,2872,7012,2821,7012,2771,7039,2550,7090,2550,7141,2550,7174,2583,7203,2572,7257,2515,7306,2451,7462,2464,7433,2532,7423,2579,7418,2598,7413,2612,7411,2618,7408,2624,7401,2640,7395,2658,7392,2671,7392,2682,7389,2709,7402,2717,7384,2749,7413,2747,7456,2735,7496,2721,7513,2714,7533,2771,7599,2758,7785,2798,7785,2821,7806,2803,7822,2798,7822,2736,7906,2736,7906,2712,7925,2709,7925,2661,7925,2630,7925,2612,7898,2612,7908,2515,7890,2513,7857,2534,7817,2534,7790,2470,7783,2457,7774,2437,7768,2416,7768,2402,7772,2391,7773,2375,7775,2362,7782,2357,7803,2359,7835,2363,7866,2368,7879,2370,7887,2383,7895,2332,7976,2332,7976,2392,8097,2410,8097,2386,8097,2359,8141,2370,8141,2332,8147,2328,8162,2320,8179,2319,8191,2332,8199,2354,8207,2371,8213,2382,8215,2386,8215,2459,8091,2456,8075,2472,8092,2474,8107,2478,8118,2487,8122,2504,8128,2503,8136,2506,8142,2505,8145,2531,8160,2543,8179,2539,8194,2516,8206,2523,8215,2533,8224,2542,8234,2550,8247,2555,8263,2558,8278,2561,8293,2564,8292,2560,8291,2556,8291,2553,8306,2554,8320,2557,8334,2562,8347,2567,8353,2569,8357,2578,8371,2574,8371,2571,8372,2568,8372,2565,8379,2563,8390,2562,8397,2564,8398,2566,8398,2569,8398,2571,8413,2575,8423,2589,8428,2608,8428,2626,8423,2637,8415,2646,8409,2657,8407,2671,8421,2675,8428,2679,8445,2679,8455,2678,8464,2675,8473,2674,8484,2677,8485,2674,8489,2666,8489,2666,8488,2679,8484,2691,8481,2703,8479,2717,8478,2732,8479,2746,8479,2761,8479,2775,8467,2783,8460,2799,8456,2818,8449,2833,8438,2846,8424,2857,8410,2867,8397,2878,8387,2896,8384,2914,8382,2932,8374,2949,8359,2959,8341,2963,8323,2967,8307,2975,8274,3032,8262,3085,8263,3102,8264,3122,8264,3142,8265,3162,8264,3182,8261,3202,8255,3221,8247,3240,8240,3259,8237,3280,8245,3273,8251,3275,8261,3275,8257,3293,8250,3314,8242,3335,8236,3354,8228,3380,8217,3405,8205,3430,8194,3454,8134,3500,8116,3500,8099,3498,8083,3498,8067,3503,8041,3531,8025,3569,8014,3610,8001,3646,7989,3664,7974,3681,7959,3697,7945,3715,7936,3734,7927,3754,7919,3774,7911,3793,7891,3826,7868,3857,7843,3887,7818,3915,7807,3928,7782,3989,7781,3997,7783,4006,7790,4030,7802,4052,7818,4072,7834,4092,7843,4108,7843,4121,7837,4135,7830,4153,7813,4219,7808,4261,7810,4280,7813,4300,7815,4320,7829,4345,7814,4371,7786,4395,7761,4413,7735,4434,7709,4457,7688,4483,7675,4515,7689,4526,7694,4550,7701,4618,7741,4650,7777,4677,7796,4708,7802,4746,7803,4792,7804,4808,7779,4863,7718,4870,7674,4875,7631,4878,7587,4878,7543,4873,7511,4865,7478,4857,7446,4849,7414,4843,7382,4841,7351,4840,7320,4840,7289,4841,7257,4839,7228,4836,7200,4832,7171,4827,7146,4826,7121,4827,7097,4826,7075,4819,7076,4807,7088,4787,7104,4767,7113,4755,7124,4736,7131,4716,7135,4695,7139,4674,7146,4645,7154,4617,7163,4588,7171,4560,7181,4507,7186,4453,7190,4399,7196,4345,7200,4322,7205,4296,7208,4271,7204,4248,7199,4238,7187,4231,7182,4219,7180,4208,7179,4196,7178,4185,7176,4173,7158,4127,7131,4098,7094,4080,7047,4066,7025,4059,7005,4051,6983,4046,6958,4047,6924,4047,6890,4038,6859,4022,6832,3999,6846,3999,6860,4001,6874,4003,6936,3984,6950,3974,6963,3966,6972,3962,6985,3958,7000,3956,7016,3954,7031,3949,7040,3937,7052,3933,7063,3932,7075,3931,7087,3930,7089,3920,7094,3902,7090,3893,7085,3880,7075,3885,7066,3878,7055,3869,7052,3864,7054,3857,7058,3845,7060,3836,7062,3825,7064,3814,7067,3804,7074,3786,7078,3772,7076,3759,7065,3742,7058,3735,7052,3731,7047,3726,7042,3715,7038,3696,7032,3675,7021,3658,7000,3653,6991,3657,6989,3664,6989,3672,6985,3680,6971,3682,6952,3674,6933,3662,6917,3653,6896,3642,6876,3630,6856,3618,6835,3608,6814,3599,6792,3591,6770,3582,6751,3570,6761,3553,6771,3535,6781,3517,6789,3498,6794,3478,6798,3465,6807,3458,6827,3455,6845,3455,6865,3455,6885,3452,6899,3441,6902,3421,6896,3395,6887,3368,6879,3347,6868,3325,6855,3304,6842,3283,6832,3261,6818,3261,6804,3263,6791,3267,6779,3272,6779,3285,6779,3299,6778,3312,6773,3323,6761,3331,6745,3338,6728,3344,6716,3350,6693,3358,6668,3364,6642,3369,6618,3374,6606,3378,6599,3380,6595,3377,6590,3363,6588,3350,6588,3336,6589,3322,6590,3309xe" filled="false" stroked="true" strokeweight=".361016pt" strokecolor="#231f20">
              <v:path arrowok="t"/>
            </v:shape>
            <v:shape style="position:absolute;left:7976;top:2392;width:97;height:42" coordorigin="7976,2392" coordsize="97,42" path="m7976,2392l7979,2425,8007,2433,8044,2424,8073,2408e" filled="false" stroked="true" strokeweight=".361016pt" strokecolor="#231f20">
              <v:path arrowok="t"/>
            </v:shape>
            <v:shape style="position:absolute;left:8016;top:2582;width:40;height:34" coordorigin="8016,2582" coordsize="40,34" path="m8016,2591l8023,2601,8026,2610,8032,2615,8045,2614,8056,2603,8049,2589,8033,2582,8016,2591xe" filled="false" stroked="true" strokeweight=".361016pt" strokecolor="#231f20">
              <v:path arrowok="t"/>
            </v:shape>
            <v:shape style="position:absolute;left:7944;top:2791;width:35;height:35" coordorigin="7944,2791" coordsize="35,35" path="m7976,2795l7971,2792,7960,2791,7952,2793,7947,2799,7944,2809,7945,2820,7951,2826,7960,2823,7967,2814,7974,2803,7979,2795e" filled="false" stroked="true" strokeweight=".361016pt" strokecolor="#231f20">
              <v:path arrowok="t"/>
            </v:shape>
            <v:shape style="position:absolute;left:7575;top:2760;width:698;height:391" coordorigin="7575,2760" coordsize="698,391" path="m8272,3151l8257,3151,8244,3147,8232,3142,8218,3139,8201,3139,8192,3138,8185,3131,8175,3116,8159,3124,8146,3132,8133,3134,8118,3126,8119,3126,8108,3103,8107,3100,8101,3090,8096,3082,8092,3073,8088,3062,8072,3049,8058,3028,8046,3003,8037,2982,8014,2974,7993,2961,7971,2950,7944,2951,7941,2934,7934,2935,7925,2928,7919,2923,7866,2893,7827,2886,7818,2889,7813,2887,7800,2882,7806,2882,7799,2876,7788,2868,7791,2861,7775,2855,7762,2851,7758,2852,7758,2857,7757,2869,7756,2879,7756,2890,7758,2900,7753,2902,7750,2903,7745,2903,7740,2890,7729,2886,7717,2889,7709,2900,7705,2891,7707,2883,7712,2876,7718,2869,7694,2864,7679,2870,7666,2881,7651,2894,7662,2876,7669,2858,7676,2839,7685,2820,7660,2829,7638,2839,7615,2846,7589,2849,7603,2838,7626,2822,7647,2805,7656,2793,7650,2784,7639,2784,7627,2788,7619,2790,7607,2788,7596,2784,7585,2780,7575,2776,7583,2774,7593,2765,7602,2760e" filled="false" stroked="true" strokeweight=".361016pt" strokecolor="#231f20">
              <v:path arrowok="t"/>
            </v:shape>
            <v:shape style="position:absolute;left:7254;top:2504;width:171;height:129" type="#_x0000_t75" stroked="false">
              <v:imagedata r:id="rId29" o:title=""/>
            </v:shape>
            <v:shape style="position:absolute;left:7001;top:2544;width:1242;height:1770" type="#_x0000_t75" stroked="false">
              <v:imagedata r:id="rId30" o:title=""/>
            </v:shape>
            <v:shape style="position:absolute;left:6578;top:3041;width:158;height:331" type="#_x0000_t75" stroked="false">
              <v:imagedata r:id="rId31" o:title=""/>
            </v:shape>
            <v:shape style="position:absolute;left:6872;top:2987;width:221;height:648" coordorigin="6872,2987" coordsize="221,648" path="m6987,2987l6990,2996,6988,3007,6990,3016,6992,3027,6997,3035,7000,3045,7003,3057,7005,3070,7005,3083,7005,3096,7003,3110,7002,3122,7003,3134,7008,3148,7012,3163,7012,3177,7013,3192,7016,3206,7024,3207,7022,3207,7023,3214,7012,3216,7001,3224,6992,3229,6977,3237,6978,3235,6977,3254,6965,3261,6953,3271,6947,3283,6956,3295,6976,3300,6998,3297,7020,3291,7040,3288,7030,3293,7019,3298,7008,3304,6998,3309,6990,3314,6979,3319,6969,3326,6966,3334,6982,3334,6997,3331,7012,3328,7026,3331,7030,3333,7025,3338,7032,3340,7036,3341,7043,3336,7047,3335,7062,3333,7074,3334,7083,3343,7093,3356,7091,3367,7082,3377,7068,3385,7062,3389,7050,3396,7046,3402,7041,3413,7049,3421,7051,3430,7035,3430,7013,3431,6992,3433,6980,3440,6983,3441,6985,3444,6990,3444,6992,3447,6995,3452,6997,3456,6987,3464,6979,3471,6977,3479,6987,3485,7000,3488,7015,3488,7031,3488,7044,3489,7042,3501,7034,3511,7026,3521,7027,3535,7031,3545,7043,3537,7036,3551,7029,3557,7021,3561,7013,3567,7009,3576,7020,3580,7027,3589,7030,3601,7030,3614,7025,3625,7014,3631,7000,3633,6985,3634,6971,3634,6960,3630,6951,3623,6946,3610,6945,3600,6946,3587,6949,3578,6951,3573,6960,3562,6958,3557,6949,3551,6938,3559,6928,3573,6923,3583,6915,3591,6904,3602,6891,3610,6881,3609,6878,3601,6878,3586,6878,3572,6881,3564,6888,3561,6896,3564,6903,3567,6910,3568,6934,3522,6919,3519,6905,3520,6892,3526,6884,3538,6874,3532,6872,3517,6875,3501,6881,3490,6889,3483,6896,3488,6895,3472,6895,3463,6889,3459,6891,3448e" filled="false" stroked="true" strokeweight=".361016pt" strokecolor="#231f20">
              <v:path arrowok="t"/>
            </v:shape>
            <v:shape style="position:absolute;left:6783;top:3453;width:219;height:203" type="#_x0000_t75" stroked="false">
              <v:imagedata r:id="rId32" o:title=""/>
            </v:shape>
            <v:shape style="position:absolute;left:6660;top:3028;width:178;height:316" type="#_x0000_t75" stroked="false">
              <v:imagedata r:id="rId33" o:title=""/>
            </v:shape>
            <v:shape style="position:absolute;left:6867;top:3027;width:142;height:494" coordorigin="6867,3027" coordsize="142,494" path="m6976,3027l6982,3045,6983,3070,6979,3095,6974,3115,6970,3134,6969,3152,6969,3171,6969,3190,6964,3209,6951,3223,6933,3233,6915,3240,6901,3247,6884,3257,6871,3270,6867,3285,6874,3285,6889,3282,6895,3285,6905,3289,6907,3300,6912,3308,6917,3322,6920,3336,6921,3351,6921,3366,6937,3366,6953,3363,6968,3359,6982,3357,6995,3360,7005,3368,7009,3380,7002,3392,6998,3392,6996,3394,6993,3395,6999,3396,6998,3398,7002,3402,6990,3413,6989,3399,6980,3399,6967,3398,6971,3413,6958,3412,6958,3422,6958,3433,6958,3443,6961,3443,6965,3444,6967,3444,6971,3457,6955,3462,6956,3477,6958,3494,6975,3496,6979,3510,6980,3519,6976,3520,6968,3516,6960,3511,6953,3505,6947,3500,6939,3498,6932,3496,6926,3500,6921,3495,6916,3490,6919,3484,6919,3477,6919,3475,6923,3472,6922,3469,6922,3466,6918,3462,6918,3461,6918,3452,6915,3454,6919,3445,6920,3441,6928,3440,6929,3432,6932,3415,6919,3418,6910,3408,6904,3400,6906,3389,6892,3387e" filled="false" stroked="true" strokeweight=".361016pt" strokecolor="#231f20">
              <v:path arrowok="t"/>
            </v:shape>
            <v:shape style="position:absolute;left:6840;top:3099;width:115;height:245" type="#_x0000_t75" stroked="false">
              <v:imagedata r:id="rId34" o:title=""/>
            </v:shape>
            <v:shape style="position:absolute;left:6955;top:3569;width:24;height:43" coordorigin="6955,3569" coordsize="24,43" path="m6977,3569l6977,3577,6978,3586,6975,3594,6972,3601,6963,3611,6955,3610,6957,3599,6962,3587,6968,3576,6977,3569xe" filled="false" stroked="true" strokeweight=".361016pt" strokecolor="#231f20">
              <v:path arrowok="t"/>
            </v:shape>
            <v:shape style="position:absolute;left:6986;top:3599;width:32;height:23" coordorigin="6986,3599" coordsize="32,23" path="m6986,3613l6987,3605,6996,3601,7007,3599,7015,3599,7016,3608,7018,3616,7010,3620,7007,3621,6988,3616,6986,3613xe" filled="false" stroked="true" strokeweight=".361016pt" strokecolor="#231f20">
              <v:path arrowok="t"/>
            </v:shape>
            <v:shape style="position:absolute;left:7002;top:3668;width:378;height:570" type="#_x0000_t75" stroked="false">
              <v:imagedata r:id="rId35" o:title=""/>
            </v:shape>
            <v:shape style="position:absolute;left:7290;top:3907;width:537;height:935" coordorigin="7290,3907" coordsize="537,935" path="m7826,3907l7784,3939,7772,3935,7772,3931,7769,3927,7770,3923,7752,3924,7735,3928,7720,3936,7706,3947,7703,3939,7705,3923,7698,3918,7690,3913,7674,3919,7670,3924,7667,3933,7668,3942,7672,3950,7677,3958,7684,3969,7686,3976,7685,3990,7678,3988,7672,3982,7666,3978,7660,3975,7652,3973,7646,3969,7639,3962,7632,3953,7625,3946,7615,3944,7614,3967,7615,3989,7615,4012,7616,4034,7609,4019,7600,4003,7592,3987,7591,3970,7586,3979,7584,3990,7582,4001,7579,4011,7574,4007,7564,3992,7560,3984,7554,3992,7545,3992,7533,3987,7522,3983,7511,3981,7500,3978,7490,3976,7478,3976,7478,3991,7477,4002,7470,4014,7464,4027,7460,4038,7461,4049,7465,4064,7469,4074,7474,4084,7475,4093,7470,4102,7461,4106,7452,4107,7441,4107,7430,4107,7429,4113,7428,4119,7429,4126,7431,4126,7434,4127,7436,4126,7436,4129,7437,4132,7437,4134,7448,4139,7457,4145,7465,4155,7470,4162,7482,4175,7481,4184,7473,4187,7464,4193,7455,4200,7448,4207,7440,4213,7435,4216,7428,4221,7426,4222,7420,4223,7417,4225,7415,4227,7417,4232,7414,4233,7404,4233,7393,4228,7383,4224,7373,4225,7367,4233,7369,4243,7373,4254,7370,4263,7366,4268,7353,4262,7349,4266,7340,4272,7346,4279,7344,4289,7341,4300,7342,4297,7334,4305,7328,4313,7321,4313,7329,4322,7333,4326,7346,4318,7350,4328,7353,4337,7343,4339,7340,4345,7335,4358,7334,4372,7334,4386,7334,4399,7321,4459,7313,4474,7307,4490,7332,4547,7364,4557,7373,4557,7386,4557,7398,4560,7403,4565,7403,4570,7374,4571,7369,4572,7369,4585,7371,4589,7378,4600,7384,4609,7389,4617,7390,4624,7384,4631,7373,4634,7360,4634,7348,4631,7338,4626,7331,4619,7323,4608,7315,4600,7305,4599,7305,4610,7303,4623,7307,4634,7298,4643,7292,4657,7290,4672,7291,4687,7304,4689,7321,4696,7337,4705,7347,4713,7351,4722,7350,4730,7350,4737,7354,4746,7361,4742,7367,4736,7371,4728,7375,4735,7412,4761,7422,4762,7433,4762,7443,4760,7451,4757,7462,4752,7472,4748,7482,4746,7492,4743,7486,4759,7475,4773,7460,4785,7446,4795,7433,4805,7418,4816,7404,4828,7395,4841e" filled="false" stroked="true" strokeweight=".361016pt" strokecolor="#231f20">
              <v:path arrowok="t"/>
            </v:shape>
            <v:shape style="position:absolute;left:7350;top:3974;width:431;height:880" coordorigin="7350,3974" coordsize="431,880" path="m7781,3979l7771,3990,7763,3979,7755,3974,7730,4029,7733,4040,7737,4051,7737,4062,7725,4065,7713,4067,7703,4070,7693,4078,7687,4072,7691,4063,7689,4054,7686,4047,7680,4041,7675,4035,7668,4027,7659,4021,7655,4010,7651,4002,7655,3993,7648,3986,7649,4005,7649,4023,7648,4041,7644,4059,7640,4078,7638,4097,7636,4116,7630,4135,7625,4127,7623,4117,7620,4107,7615,4099,7610,4094,7603,4093,7599,4089,7594,4085,7592,4078,7587,4074,7578,4066,7563,4063,7554,4054,7550,4048,7544,4039,7536,4032,7528,4031,7522,4034,7527,4041,7525,4045,7521,4052,7517,4059,7513,4066,7510,4076,7508,4086,7506,4097,7504,4107,7502,4116,7505,4130,7501,4138,7497,4146,7486,4148,7482,4156,7493,4171,7496,4187,7498,4204,7503,4221,7508,4229,7519,4233,7513,4244,7507,4256,7493,4249,7482,4250,7481,4259,7501,4266,7496,4275,7488,4280,7479,4277,7471,4272,7466,4267,7467,4283,7455,4285,7445,4289,7431,4296,7423,4298,7424,4316,7426,4327,7432,4335,7438,4343,7441,4354,7441,4365,7438,4376,7434,4387,7431,4398,7421,4399,7408,4399,7396,4398,7388,4394,7383,4409,7382,4426,7381,4442,7374,4458,7363,4470,7354,4481,7350,4494,7352,4512,7369,4541,7397,4545,7431,4537,7463,4535,7461,4554,7452,4563,7439,4571,7426,4584,7436,4591,7438,4600,7438,4611,7442,4622,7449,4628,7459,4633,7465,4639,7462,4652,7443,4661,7410,4667,7381,4677,7377,4696,7387,4703,7401,4703,7415,4704,7425,4712,7429,4725,7431,4736,7435,4746,7447,4753,7461,4754,7474,4748,7484,4738,7493,4727,7497,4721,7499,4716,7505,4713,7508,4711,7514,4714,7517,4713,7519,4710,7519,4706,7521,4704,7528,4698,7527,4693,7538,4689,7535,4699,7524,4704,7523,4714,7522,4720,7527,4728,7529,4735,7532,4744,7535,4745,7529,4753,7523,4761,7506,4765,7497,4771,7482,4788,7474,4808,7472,4829,7471,4853e" filled="false" stroked="true" strokeweight=".361016pt" strokecolor="#231f20">
              <v:path arrowok="t"/>
            </v:shape>
            <v:shape style="position:absolute;left:7192;top:4363;width:130;height:113" type="#_x0000_t75" stroked="false">
              <v:imagedata r:id="rId36" o:title=""/>
            </v:shape>
            <v:shape style="position:absolute;left:7482;top:4025;width:300;height:853" coordorigin="7482,4025" coordsize="300,853" path="m7781,4025l7774,4035,7767,4045,7764,4056,7763,4069,7765,4082,7767,4095,7769,4108,7768,4122,7767,4132,7764,4140,7758,4145,7749,4144,7747,4143,7741,4132,7738,4130,7732,4125,7724,4127,7725,4117,7716,4119,7708,4128,7700,4134,7688,4132,7681,4124,7679,4112,7676,4100,7668,4091,7657,4088,7654,4098,7655,4112,7658,4125,7659,4136,7661,4149,7662,4161,7661,4173,7658,4183,7663,4180,7650,4184,7638,4186,7631,4185,7626,4176,7623,4167,7621,4156,7618,4145,7611,4139,7600,4136,7600,4150,7590,4150,7583,4150,7573,4140,7570,4134,7569,4123,7571,4110,7571,4098,7564,4091,7552,4092,7547,4103,7546,4116,7545,4128,7542,4138,7536,4146,7530,4154,7525,4164,7522,4173,7519,4183,7518,4194,7519,4203,7523,4211,7530,4220,7538,4230,7544,4238,7585,4270,7594,4276,7599,4284,7596,4294,7587,4297,7574,4296,7561,4294,7551,4293,7540,4296,7537,4302,7541,4309,7552,4314,7543,4321,7521,4318,7499,4318,7488,4331,7487,4340,7500,4348,7502,4357,7504,4363,7502,4374,7502,4381,7501,4391,7499,4403,7499,4414,7505,4419,7506,4424,7506,4430,7505,4435,7498,4436,7497,4443,7499,4449,7507,4449,7511,4454,7508,4462,7499,4471,7506,4494,7517,4520,7519,4539,7508,4551,7493,4558,7482,4568,7483,4584,7485,4589,7493,4593,7494,4597,7496,4604,7492,4611,7490,4618,7488,4633,7489,4642,7500,4653,7515,4664,7533,4668,7551,4668,7569,4667,7566,4682,7555,4692,7545,4701,7542,4717,7550,4718,7559,4717,7560,4708,7570,4707,7578,4704,7584,4697,7585,4722,7574,4744,7559,4765,7549,4787,7552,4787,7557,4789,7561,4788,7563,4804,7569,4822,7579,4833,7596,4830,7606,4820,7610,4808,7616,4797,7630,4790,7631,4807,7632,4810,7647,4815,7656,4818,7674,4816,7682,4821,7690,4834,7685,4850,7674,4865,7665,4877e" filled="false" stroked="true" strokeweight=".361016pt" strokecolor="#231f20">
              <v:path arrowok="t"/>
            </v:shape>
            <v:shape style="position:absolute;left:7507;top:4832;width:63;height:49" coordorigin="7507,4832" coordsize="63,49" path="m7507,4865l7518,4861,7520,4842,7531,4837,7544,4832,7552,4849,7559,4852,7564,4862,7569,4868,7568,4881e" filled="false" stroked="true" strokeweight=".361016pt" strokecolor="#231f20">
              <v:path arrowok="t"/>
            </v:shape>
            <v:shape style="position:absolute;left:7578;top:4840;width:74;height:45" coordorigin="7578,4840" coordsize="74,45" path="m7641,4882l7648,4873,7652,4863,7651,4853,7643,4844,7631,4840,7619,4841,7608,4847,7599,4855,7589,4865,7578,4867,7580,4884e" filled="false" stroked="true" strokeweight=".361016pt" strokecolor="#231f20">
              <v:path arrowok="t"/>
            </v:shape>
            <v:shape style="position:absolute;left:7726;top:4823;width:71;height:45" coordorigin="7726,4823" coordsize="71,45" path="m7726,4868l7727,4861,7728,4854,7736,4853,7740,4844,7748,4833,7757,4825,7766,4823,7770,4826,7766,4835,7770,4839,7776,4846,7787,4846,7797,4846e" filled="false" stroked="true" strokeweight=".361016pt" strokecolor="#231f20">
              <v:path arrowok="t"/>
            </v:shape>
            <v:shape style="position:absolute;left:7136;top:4459;width:383;height:384" type="#_x0000_t75" stroked="false">
              <v:imagedata r:id="rId37" o:title=""/>
            </v:shape>
            <v:shape style="position:absolute;left:7542;top:4093;width:294;height:737" coordorigin="7542,4093" coordsize="294,737" path="m7835,4144l7814,4147,7808,4128,7806,4104,7796,4093,7792,4115,7795,4141,7798,4166,7791,4181,7784,4185,7774,4181,7767,4182,7735,4200,7727,4209,7721,4216,7711,4219,7707,4227,7704,4238,7701,4248,7696,4253,7684,4248,7674,4241,7664,4231,7654,4222,7643,4216,7631,4215,7623,4222,7619,4234,7619,4246,7620,4252,7627,4258,7630,4262,7636,4271,7638,4281,7643,4291,7647,4299,7658,4308,7656,4318,7653,4331,7642,4327,7629,4326,7629,4323,7627,4318,7627,4316,7625,4327,7610,4330,7605,4342,7601,4351,7606,4372,7600,4379,7595,4384,7577,4381,7570,4387,7556,4409,7553,4438,7558,4469,7570,4493,7563,4498,7553,4496,7550,4505,7546,4516,7558,4519,7560,4527,7563,4538,7552,4545,7549,4554,7546,4561,7546,4569,7545,4576,7543,4588,7542,4600,7542,4613,7545,4624,7556,4634,7573,4642,7589,4644,7593,4634,7589,4634,7583,4633,7579,4634,7589,4631,7604,4630,7615,4631,7619,4643,7619,4649,7614,4659,7610,4667,7601,4664,7605,4677,7613,4677,7615,4673,7623,4673,7624,4681,7626,4689,7627,4695,7629,4703,7627,4709,7628,4716,7631,4727,7637,4740,7645,4749,7656,4749,7660,4759,7670,4765,7670,4777,7670,4788,7655,4796,7672,4801,7679,4803,7680,4796,7686,4796,7696,4795,7698,4799,7704,4803,7712,4808,7722,4830,7728,4829,7737,4820,7738,4802,7738,4783,7744,4770,7747,4769,7772,4777,7776,4778,7785,4779,7793,4776,7800,4788,7802,4788,7803,4787,7803,4785e" filled="false" stroked="true" strokeweight=".361016pt" strokecolor="#231f20">
              <v:path arrowok="t"/>
            </v:shape>
            <v:shape style="position:absolute;left:7607;top:4239;width:202;height:539" coordorigin="7607,4239" coordsize="202,539" path="m7808,4242l7794,4242,7788,4239,7779,4248,7771,4257,7775,4259,7763,4264,7753,4269,7753,4269,7745,4276,7738,4282,7731,4289,7724,4296,7717,4306,7710,4317,7703,4327,7696,4337,7691,4342,7687,4346,7683,4350,7681,4353,7682,4358,7680,4361,7679,4363,7672,4364,7670,4367,7662,4376,7666,4381,7662,4391,7658,4401,7653,4399,7647,4407,7642,4412,7643,4417,7640,4423,7635,4431,7634,4430,7627,4435,7616,4446,7614,4456,7615,4467,7617,4482,7618,4491,7621,4501,7621,4509,7621,4523,7616,4518,7611,4527,7607,4543,7612,4556,7621,4567,7630,4581,7632,4588,7639,4602,7640,4608,7641,4613,7637,4621,7638,4624,7640,4634,7647,4634,7652,4640,7658,4648,7657,4655,7660,4664,7664,4675,7669,4690,7675,4698,7677,4701,7686,4705,7689,4708,7691,4710,7699,4719,7700,4721,7706,4732,7704,4745,7707,4757,7709,4764,7713,4770,7715,4778,7725,4772,7727,4754,7727,4733,7733,4720,7742,4718,7751,4721,7760,4726,7768,4730,7778,4734,7790,4737,7801,4740,7801,4743,7799,4743,7797,4745e" filled="false" stroked="true" strokeweight=".361016pt" strokecolor="#231f20">
              <v:path arrowok="t"/>
            </v:shape>
            <v:shape style="position:absolute;left:7644;top:4306;width:164;height:407" coordorigin="7644,4306" coordsize="164,407" path="m7808,4306l7800,4318,7791,4311,7780,4316,7773,4318,7763,4327,7757,4331,7749,4340,7743,4349,7737,4359,7731,4368,7722,4378,7713,4388,7704,4397,7695,4407,7690,4411,7683,4422,7683,4429,7683,4441,7695,4442,7694,4453,7676,4461,7670,4477,7666,4494,7654,4504,7651,4514,7647,4523,7644,4532,7645,4544,7649,4556,7656,4564,7664,4571,7673,4579,7683,4600,7683,4626,7686,4650,7702,4663,7713,4678,7725,4689,7739,4697,7756,4704,7767,4709,7782,4708,7793,4713e" filled="false" stroked="true" strokeweight=".361016pt" strokecolor="#231f20">
              <v:path arrowok="t"/>
            </v:shape>
            <v:shape style="position:absolute;left:7736;top:4346;width:90;height:89" coordorigin="7736,4346" coordsize="90,89" path="m7826,4346l7768,4379,7742,4418,7736,4434e" filled="false" stroked="true" strokeweight=".361016pt" strokecolor="#231f20">
              <v:path arrowok="t"/>
            </v:shape>
            <v:shape style="position:absolute;left:7662;top:4506;width:26;height:55" coordorigin="7662,4506" coordsize="26,55" path="m7672,4506l7668,4515,7662,4527,7665,4538,7669,4550,7677,4550,7687,4555,7688,4558,7687,4558,7686,4560e" filled="false" stroked="true" strokeweight=".361016pt" strokecolor="#231f20">
              <v:path arrowok="t"/>
            </v:shape>
            <v:shape style="position:absolute;left:7705;top:4628;width:84;height:69" coordorigin="7705,4628" coordsize="84,69" path="m7705,4628l7753,4682,7776,4693,7789,4697e" filled="false" stroked="true" strokeweight=".361016pt" strokecolor="#231f20">
              <v:path arrowok="t"/>
            </v:shape>
            <v:shape style="position:absolute;left:7278;top:3893;width:49;height:37" coordorigin="7278,3893" coordsize="49,37" path="m7326,3894l7300,3929,7289,3924,7281,3916,7278,3907,7285,3897,7299,3893,7314,3893,7326,3894xe" filled="false" stroked="true" strokeweight=".361016pt" strokecolor="#231f20">
              <v:path arrowok="t"/>
            </v:shape>
            <v:shape style="position:absolute;left:7186;top:3598;width:28;height:17" coordorigin="7186,3598" coordsize="28,17" path="m7188,3601l7198,3601,7213,3598,7214,3610,7206,3611,7195,3614,7187,3612,7187,3609,7186,3606,7187,3604e" filled="false" stroked="true" strokeweight=".361016pt" strokecolor="#231f20">
              <v:path arrowok="t"/>
            </v:shape>
            <v:shape style="position:absolute;left:7075;top:3405;width:52;height:41" coordorigin="7075,3405" coordsize="52,41" path="m7114,3422l7116,3416,7127,3414,7113,3407,7075,3438,7085,3446,7096,3446,7113,3446,7112,3436,7114,3422xe" filled="false" stroked="true" strokeweight=".361016pt" strokecolor="#231f20">
              <v:path arrowok="t"/>
            </v:shape>
            <v:line style="position:absolute" from="7098,3906" to="7098,3999" stroked="true" strokeweight="4.6708pt" strokecolor="#c9cacc"/>
            <v:line style="position:absolute" from="7101,4007" to="7101,4104" stroked="true" strokeweight="4.8419pt" strokecolor="#c9cacc"/>
            <v:shape style="position:absolute;left:7270;top:4180;width:43;height:26" coordorigin="7270,4180" coordsize="43,26" path="m7312,4189l7312,4189,7312,4191,7312,4192,7312,4193,7295,4205,7292,4205,7283,4206,7270,4189,7278,4182,7280,4180,7312,4192,7312,4189xe" filled="false" stroked="true" strokeweight=".361016pt" strokecolor="#231f20">
              <v:path arrowok="t"/>
            </v:shape>
            <v:shape style="position:absolute;left:7425;top:3844;width:21;height:18" coordorigin="7425,3844" coordsize="21,18" path="m7428,3861l7427,3860,7425,3856,7425,3855,7429,3850,7435,3848,7440,3844,7439,3850,7445,3848,7442,3855,7439,3860,7434,3862,7428,3861xe" filled="false" stroked="true" strokeweight=".361016pt" strokecolor="#231f20">
              <v:path arrowok="t"/>
            </v:shape>
            <v:shape style="position:absolute;left:6794;top:814;width:577;height:223" type="#_x0000_t202" filled="false" stroked="false">
              <v:textbox inset="0,0,0,0">
                <w:txbxContent>
                  <w:p>
                    <w:pPr>
                      <w:spacing w:line="98" w:lineRule="exact" w:before="0"/>
                      <w:ind w:left="-1" w:right="0" w:firstLine="0"/>
                      <w:jc w:val="center"/>
                      <w:rPr>
                        <w:sz w:val="10"/>
                      </w:rPr>
                    </w:pPr>
                    <w:r>
                      <w:rPr>
                        <w:color w:val="231F20"/>
                        <w:sz w:val="10"/>
                      </w:rPr>
                      <w:t>ESTADO</w:t>
                    </w:r>
                    <w:r>
                      <w:rPr>
                        <w:color w:val="231F20"/>
                        <w:spacing w:val="-3"/>
                        <w:sz w:val="10"/>
                      </w:rPr>
                      <w:t> </w:t>
                    </w:r>
                    <w:r>
                      <w:rPr>
                        <w:color w:val="231F20"/>
                        <w:sz w:val="10"/>
                      </w:rPr>
                      <w:t>DE</w:t>
                    </w:r>
                  </w:p>
                  <w:p>
                    <w:pPr>
                      <w:spacing w:before="6"/>
                      <w:ind w:left="28" w:right="0" w:firstLine="0"/>
                      <w:jc w:val="center"/>
                      <w:rPr>
                        <w:sz w:val="10"/>
                      </w:rPr>
                    </w:pPr>
                    <w:r>
                      <w:rPr>
                        <w:color w:val="231F20"/>
                        <w:sz w:val="10"/>
                      </w:rPr>
                      <w:t>MÉXICO</w:t>
                    </w:r>
                  </w:p>
                </w:txbxContent>
              </v:textbox>
              <w10:wrap type="none"/>
            </v:shape>
            <v:shape style="position:absolute;left:5141;top:1201;width:399;height:102" type="#_x0000_t202" filled="false" stroked="false">
              <v:textbox inset="0,0,0,0">
                <w:txbxContent>
                  <w:p>
                    <w:pPr>
                      <w:spacing w:line="98" w:lineRule="exact" w:before="0"/>
                      <w:ind w:left="0" w:right="-16" w:firstLine="0"/>
                      <w:jc w:val="left"/>
                      <w:rPr>
                        <w:sz w:val="10"/>
                      </w:rPr>
                    </w:pPr>
                    <w:r>
                      <w:rPr>
                        <w:color w:val="231F20"/>
                        <w:sz w:val="10"/>
                      </w:rPr>
                      <w:t>MÉXICO</w:t>
                    </w:r>
                  </w:p>
                </w:txbxContent>
              </v:textbox>
              <w10:wrap type="none"/>
            </v:shape>
            <v:shape style="position:absolute;left:6179;top:1562;width:382;height:223" type="#_x0000_t202" filled="false" stroked="false">
              <v:textbox inset="0,0,0,0">
                <w:txbxContent>
                  <w:p>
                    <w:pPr>
                      <w:spacing w:line="98" w:lineRule="exact" w:before="0"/>
                      <w:ind w:left="0" w:right="-17" w:firstLine="0"/>
                      <w:jc w:val="left"/>
                      <w:rPr>
                        <w:sz w:val="10"/>
                      </w:rPr>
                    </w:pPr>
                    <w:r>
                      <w:rPr>
                        <w:color w:val="231F20"/>
                        <w:sz w:val="10"/>
                      </w:rPr>
                      <w:t>Golfo de</w:t>
                    </w:r>
                  </w:p>
                  <w:p>
                    <w:pPr>
                      <w:spacing w:before="6"/>
                      <w:ind w:left="0" w:right="-17" w:firstLine="0"/>
                      <w:jc w:val="left"/>
                      <w:rPr>
                        <w:sz w:val="10"/>
                      </w:rPr>
                    </w:pPr>
                    <w:r>
                      <w:rPr>
                        <w:color w:val="231F20"/>
                        <w:sz w:val="10"/>
                      </w:rPr>
                      <w:t>México</w:t>
                    </w:r>
                  </w:p>
                </w:txbxContent>
              </v:textbox>
              <w10:wrap type="none"/>
            </v:shape>
            <v:shape style="position:absolute;left:4346;top:1871;width:742;height:102" type="#_x0000_t202" filled="false" stroked="false">
              <v:textbox inset="0,0,0,0">
                <w:txbxContent>
                  <w:p>
                    <w:pPr>
                      <w:spacing w:line="98" w:lineRule="exact" w:before="0"/>
                      <w:ind w:left="0" w:right="-12" w:firstLine="0"/>
                      <w:jc w:val="left"/>
                      <w:rPr>
                        <w:sz w:val="10"/>
                      </w:rPr>
                    </w:pPr>
                    <w:r>
                      <w:rPr>
                        <w:color w:val="231F20"/>
                        <w:sz w:val="10"/>
                      </w:rPr>
                      <w:t>Océano Pacífico</w:t>
                    </w:r>
                  </w:p>
                </w:txbxContent>
              </v:textbox>
              <w10:wrap type="none"/>
            </v:shape>
            <v:shape style="position:absolute;left:7072;top:3917;width:196;height:191" type="#_x0000_t202" filled="false" stroked="false">
              <v:textbox inset="0,0,0,0">
                <w:txbxContent>
                  <w:p>
                    <w:pPr>
                      <w:spacing w:line="87" w:lineRule="exact" w:before="0"/>
                      <w:ind w:left="1" w:right="0" w:firstLine="0"/>
                      <w:jc w:val="left"/>
                      <w:rPr>
                        <w:sz w:val="9"/>
                      </w:rPr>
                    </w:pPr>
                    <w:r>
                      <w:rPr>
                        <w:color w:val="231F20"/>
                        <w:w w:val="105"/>
                        <w:sz w:val="9"/>
                      </w:rPr>
                      <w:t>1  </w:t>
                    </w:r>
                    <w:r>
                      <w:rPr>
                        <w:color w:val="231F20"/>
                        <w:w w:val="105"/>
                        <w:sz w:val="9"/>
                        <w:shd w:fill="C9CACC" w:color="auto" w:val="clear"/>
                      </w:rPr>
                      <w:t>3</w:t>
                    </w:r>
                    <w:r>
                      <w:rPr>
                        <w:color w:val="231F20"/>
                        <w:sz w:val="9"/>
                        <w:shd w:fill="C9CACC" w:color="auto" w:val="clear"/>
                      </w:rPr>
                      <w:t> </w:t>
                    </w:r>
                  </w:p>
                  <w:p>
                    <w:pPr>
                      <w:spacing w:line="99" w:lineRule="exact" w:before="0"/>
                      <w:ind w:left="0" w:right="0" w:firstLine="0"/>
                      <w:jc w:val="left"/>
                      <w:rPr>
                        <w:sz w:val="9"/>
                      </w:rPr>
                    </w:pPr>
                    <w:r>
                      <w:rPr>
                        <w:color w:val="231F20"/>
                        <w:w w:val="107"/>
                        <w:sz w:val="9"/>
                      </w:rPr>
                      <w:t>2</w:t>
                    </w:r>
                  </w:p>
                </w:txbxContent>
              </v:textbox>
              <w10:wrap type="none"/>
            </v:shape>
            <v:shape style="position:absolute;left:6516;top:4179;width:527;height:344" type="#_x0000_t202" filled="false" stroked="false">
              <v:textbox inset="0,0,0,0">
                <w:txbxContent>
                  <w:p>
                    <w:pPr>
                      <w:numPr>
                        <w:ilvl w:val="0"/>
                        <w:numId w:val="14"/>
                      </w:numPr>
                      <w:tabs>
                        <w:tab w:pos="113" w:val="left" w:leader="none"/>
                      </w:tabs>
                      <w:spacing w:line="98" w:lineRule="exact" w:before="0"/>
                      <w:ind w:left="112" w:right="0" w:hanging="112"/>
                      <w:jc w:val="left"/>
                      <w:rPr>
                        <w:sz w:val="10"/>
                      </w:rPr>
                    </w:pPr>
                    <w:r>
                      <w:rPr>
                        <w:color w:val="231F20"/>
                        <w:sz w:val="10"/>
                      </w:rPr>
                      <w:t>Riego</w:t>
                    </w:r>
                  </w:p>
                  <w:p>
                    <w:pPr>
                      <w:numPr>
                        <w:ilvl w:val="0"/>
                        <w:numId w:val="14"/>
                      </w:numPr>
                      <w:tabs>
                        <w:tab w:pos="113" w:val="left" w:leader="none"/>
                      </w:tabs>
                      <w:spacing w:before="6"/>
                      <w:ind w:left="112" w:right="0" w:hanging="112"/>
                      <w:jc w:val="left"/>
                      <w:rPr>
                        <w:sz w:val="10"/>
                      </w:rPr>
                    </w:pPr>
                    <w:r>
                      <w:rPr>
                        <w:color w:val="231F20"/>
                        <w:sz w:val="10"/>
                      </w:rPr>
                      <w:t>Riego</w:t>
                    </w:r>
                  </w:p>
                  <w:p>
                    <w:pPr>
                      <w:numPr>
                        <w:ilvl w:val="0"/>
                        <w:numId w:val="14"/>
                      </w:numPr>
                      <w:tabs>
                        <w:tab w:pos="111" w:val="left" w:leader="none"/>
                      </w:tabs>
                      <w:spacing w:before="6"/>
                      <w:ind w:left="110" w:right="0" w:hanging="110"/>
                      <w:jc w:val="left"/>
                      <w:rPr>
                        <w:sz w:val="10"/>
                      </w:rPr>
                    </w:pPr>
                    <w:r>
                      <w:rPr>
                        <w:color w:val="231F20"/>
                        <w:spacing w:val="-2"/>
                        <w:sz w:val="10"/>
                      </w:rPr>
                      <w:t>Temporal</w:t>
                    </w:r>
                  </w:p>
                </w:txbxContent>
              </v:textbox>
              <w10:wrap type="none"/>
            </v:shape>
            <w10:wrap type="topAndBottom"/>
          </v:group>
        </w:pict>
      </w:r>
    </w:p>
    <w:p>
      <w:pPr>
        <w:spacing w:line="144" w:lineRule="exact" w:before="36"/>
        <w:ind w:left="2286" w:right="0" w:firstLine="0"/>
        <w:jc w:val="left"/>
        <w:rPr>
          <w:rFonts w:ascii="Times New Roman" w:hAnsi="Times New Roman"/>
          <w:sz w:val="13"/>
        </w:rPr>
      </w:pPr>
      <w:r>
        <w:rPr>
          <w:rFonts w:ascii="Times New Roman" w:hAnsi="Times New Roman"/>
          <w:b/>
          <w:color w:val="231F20"/>
          <w:sz w:val="13"/>
        </w:rPr>
        <w:t>Fig. 1.  </w:t>
      </w:r>
      <w:r>
        <w:rPr>
          <w:rFonts w:ascii="Times New Roman" w:hAnsi="Times New Roman"/>
          <w:color w:val="231F20"/>
          <w:sz w:val="13"/>
        </w:rPr>
        <w:t>Localización de los predios de papa estudiados. (Zinacantepec, Estado de  México.</w:t>
      </w:r>
    </w:p>
    <w:p>
      <w:pPr>
        <w:spacing w:line="144" w:lineRule="exact" w:before="0"/>
        <w:ind w:left="2696" w:right="0" w:firstLine="0"/>
        <w:jc w:val="left"/>
        <w:rPr>
          <w:rFonts w:ascii="Times New Roman" w:hAnsi="Times New Roman"/>
          <w:sz w:val="13"/>
        </w:rPr>
      </w:pPr>
      <w:r>
        <w:rPr/>
        <w:pict>
          <v:group style="position:absolute;margin-left:187.347824pt;margin-top:-105.558495pt;width:95.75pt;height:95.55pt;mso-position-horizontal-relative:page;mso-position-vertical-relative:paragraph;z-index:-107680" coordorigin="3747,-2111" coordsize="1915,1911">
            <v:shape style="position:absolute;left:3751;top:-2107;width:1907;height:1903" coordorigin="3751,-2107" coordsize="1907,1903" path="m4071,-206l3982,-233,3959,-274,3963,-298,3968,-321,3970,-344,3957,-369,3939,-365,3921,-350,3911,-343,3901,-353,3893,-367,3889,-382,3890,-397,3894,-408,3910,-415,3911,-428,3905,-452,3884,-446,3858,-430,3837,-423,3837,-442,3848,-458,3863,-472,3877,-487,3886,-506,3892,-527,3897,-549,3902,-570,3905,-587,3904,-605,3900,-622,3863,-678,3820,-689,3795,-696,3772,-707,3755,-721,3751,-735,3761,-745,3777,-753,3793,-765,3802,-780,3806,-797,3810,-813,3817,-828,3831,-841,3852,-855,3875,-866,3894,-872,3905,-886,3919,-896,3935,-906,3948,-919,3955,-939,3958,-960,3965,-978,3986,-986,3982,-997,3974,-1006,3978,-1019,4033,-1071,4041,-1092,4039,-1100,4034,-1114,4030,-1140,4033,-1166,4040,-1191,4050,-1216,4086,-1220,4117,-1234,4138,-1258,4147,-1290,4147,-1306,4148,-1326,4147,-1346,4143,-1361,4134,-1374,4121,-1382,4108,-1389,4098,-1399,4094,-1414,4095,-1432,4098,-1450,4096,-1467,4088,-1484,4079,-1495,4076,-1507,4108,-1561,4118,-1566,4134,-1560,4145,-1545,4157,-1533,4204,-1574,4210,-1633,4209,-1647,4211,-1662,4265,-1684,4259,-1705,4244,-1726,4227,-1746,4215,-1767,4207,-1796,4200,-1828,4197,-1861,4200,-1891,4214,-1884,4226,-1874,4237,-1863,4250,-1855,4268,-1849,4280,-1850,4290,-1858,4304,-1871,4316,-1881,4329,-1891,4343,-1898,4359,-1902,4371,-1901,4385,-1897,4398,-1895,4409,-1902,4412,-1912,4411,-1926,4409,-1940,4407,-1951,4406,-1964,4407,-1978,4407,-1992,4407,-2004,4398,-2030,4383,-2052,4368,-2076,4360,-2104,4373,-2097,4378,-2082,4384,-2068,4403,-2065,4408,-2077,4411,-2090,4415,-2100,4426,-2107,4434,-2107,4445,-2104,4456,-2101,4465,-2099,4478,-2097,4491,-2099,4503,-2098,4513,-2075,4536,-2054,4563,-2036,4585,-2021,4596,-2013,4607,-2006,4618,-2001,4632,-1999,4647,-1999,4662,-2000,4677,-2000,4692,-1996,4691,-2011,4684,-2021,4685,-2028,4705,-2033,4726,-2033,4736,-2026,4739,-2012,4739,-1994,4770,-1990,4789,-1982,4802,-1967,4815,-1942,4826,-1926,4838,-1911,4850,-1896,4861,-1879,4867,-1844,4862,-1805,4853,-1765,4849,-1726,4878,-1724,4901,-1716,4917,-1701,4925,-1675,4923,-1655,4915,-1634,4907,-1613,4902,-1592,4914,-1597,4926,-1601,4938,-1604,4952,-1604,4952,-1618,4956,-1631,4945,-1640,4961,-1645,4978,-1647,4994,-1650,5009,-1655,5020,-1660,5016,-1665,5025,-1672,5032,-1677,5044,-1681,5050,-1686,5064,-1714,5068,-1748,5073,-1777,5095,-1789,5105,-1822,5129,-1848,5162,-1860,5200,-1851,5213,-1838,5219,-1821,5226,-1806,5240,-1796,5243,-1808,5245,-1821,5251,-1829,5266,-1828,5259,-1821,5254,-1811,5257,-1800,5262,-1799,5269,-1799,5274,-1800,5278,-1819,5279,-1838,5280,-1857,5282,-1876,5294,-1878,5307,-1881,5319,-1883,5319,-1886,5319,-1888,5320,-1890,5337,-1883,5347,-1861,5349,-1835,5344,-1815,5329,-1802,5310,-1794,5296,-1782,5295,-1760,5310,-1755,5319,-1746,5323,-1733,5322,-1718,5296,-1706,5280,-1691,5277,-1672,5292,-1650,5316,-1633,5333,-1636,5346,-1654,5357,-1678,5364,-1697,5377,-1723,5393,-1743,5413,-1746,5422,-1736,5426,-1724,5429,-1710,5438,-1699,5454,-1693,5474,-1693,5495,-1696,5513,-1696,5513,-1694,5514,-1691,5514,-1689,5533,-1689,5552,-1690,5571,-1691,5591,-1691,5592,-1679,5587,-1668,5580,-1659,5573,-1649,5582,-1648,5595,-1648,5604,-1649,5604,-1651,5605,-1653,5605,-1655,5610,-1643,5615,-1632,5620,-1622,5628,-1613,5640,-1604,5650,-1600,5656,-1593,5658,-1578,5653,-1559,5641,-1540,5626,-1521,5614,-1504,5608,-1493,5602,-1482,5601,-1470,5601,-1461,5615,-1439,5614,-1435,5603,-1421,5584,-1410,5561,-1406,5542,-1407,5544,-1391,5553,-1372,5565,-1352,5574,-1336,5599,-1259,5602,-1207,5602,-1181,5601,-1154,5603,-1133,5608,-1116,5613,-1098,5617,-1080,5618,-1062,5617,-1042,5615,-1021,5614,-1003,5614,-991,5612,-979,5612,-969,5611,-953,5618,-941,5620,-932,5616,-856,5574,-794,5517,-765,5487,-763,5453,-764,5441,-763,5430,-760,5419,-758,5407,-758,5407,-764,5409,-775,5407,-781,5405,-786,5398,-799,5397,-801,5397,-811,5397,-824,5397,-837,5395,-846,5386,-853,5372,-858,5357,-861,5344,-865,5329,-873,5314,-879,5299,-885,5282,-889,5282,-900,5288,-904,5295,-907,5302,-913,5305,-922,5306,-932,5306,-943,5307,-954,5308,-973,5308,-992,5309,-1011,5310,-1031,5323,-1032,5333,-1039,5334,-1049,5323,-1054,5309,-1058,5300,-1066,5309,-1079,5315,-1095,5319,-1112,5319,-1128,5315,-1146,5306,-1159,5293,-1170,5279,-1183,5270,-1192,5269,-1199,5253,-1208,5243,-1212,5236,-1215,5230,-1219,5224,-1228,5221,-1243,5221,-1260,5223,-1277,5222,-1293,5215,-1307,5205,-1315,5192,-1321,5178,-1330,5168,-1344,5169,-1356,5174,-1369,5177,-1385,5173,-1402,5162,-1408,5149,-1404,5137,-1390,5132,-1376,5129,-1359,5129,-1342,5131,-1328,5118,-1327,5104,-1327,5092,-1330,5082,-1336,5081,-1326,5082,-1316,5082,-1306,5081,-1296,5077,-1285,5072,-1278,5066,-1271,5059,-1262,5055,-1252,5057,-1240,5053,-1231,4991,-1179,4962,-1155,4944,-1126,4947,-1091,4964,-1056,4984,-1021,5003,-985,5018,-949,5024,-913,5022,-878,4997,-809,4967,-756,4909,-712,4886,-707,4869,-696,4864,-681,4864,-663,4861,-642,4845,-600,4819,-560,4783,-529,4737,-516,4734,-526,4732,-538,4729,-548,4724,-557,4712,-563,4704,-559,4695,-553,4682,-550,4661,-561,4648,-584,4633,-606,4611,-615,4611,-595,4612,-577,4618,-561,4628,-544,4617,-543,4608,-546,4600,-553,4594,-561,4582,-551,4568,-535,4555,-518,4543,-505,4533,-492,4527,-478,4521,-464,4513,-451,4498,-441,4478,-437,4458,-436,4441,-434,4418,-428,4400,-419,4383,-409,4364,-399,4356,-394,4353,-390,4349,-389,4339,-393,4333,-398,4326,-408,4320,-418,4314,-426,4300,-435,4284,-443,4267,-446,4252,-439,4245,-424,4247,-405,4251,-387,4250,-371,4241,-360,4228,-354,4213,-348,4200,-341,4188,-331,4177,-320,4165,-308,4152,-298,4124,-280,4098,-260,4079,-237,4071,-206e" filled="false" stroked="true" strokeweight=".361016pt" strokecolor="#231f20">
              <v:path arrowok="t"/>
            </v:shape>
            <v:shape style="position:absolute;left:3839;top:-915;width:284;height:246" type="#_x0000_t75" stroked="false">
              <v:imagedata r:id="rId38" o:title=""/>
            </v:shape>
            <v:shape style="position:absolute;left:3886;top:-2075;width:1737;height:1695" type="#_x0000_t75" stroked="false">
              <v:imagedata r:id="rId39" o:title=""/>
            </v:shape>
            <v:shape style="position:absolute;left:4291;top:-370;width:1147;height:102" type="#_x0000_t202" filled="false" stroked="false">
              <v:textbox inset="0,0,0,0">
                <w:txbxContent>
                  <w:p>
                    <w:pPr>
                      <w:spacing w:line="98" w:lineRule="exact" w:before="0"/>
                      <w:ind w:left="0" w:right="-7" w:firstLine="0"/>
                      <w:jc w:val="left"/>
                      <w:rPr>
                        <w:sz w:val="10"/>
                      </w:rPr>
                    </w:pPr>
                    <w:r>
                      <w:rPr>
                        <w:color w:val="231F20"/>
                        <w:sz w:val="10"/>
                      </w:rPr>
                      <w:t>Municipio de Zinacatepec</w:t>
                    </w:r>
                  </w:p>
                </w:txbxContent>
              </v:textbox>
              <w10:wrap type="none"/>
            </v:shape>
            <w10:wrap type="none"/>
          </v:group>
        </w:pict>
      </w:r>
      <w:r>
        <w:rPr>
          <w:rFonts w:ascii="Times New Roman" w:hAnsi="Times New Roman"/>
          <w:color w:val="231F20"/>
          <w:sz w:val="13"/>
        </w:rPr>
        <w:t>México)</w:t>
      </w:r>
    </w:p>
    <w:p>
      <w:pPr>
        <w:spacing w:after="0" w:line="144" w:lineRule="exact"/>
        <w:jc w:val="left"/>
        <w:rPr>
          <w:rFonts w:ascii="Times New Roman" w:hAnsi="Times New Roman"/>
          <w:sz w:val="13"/>
        </w:rPr>
        <w:sectPr>
          <w:pgSz w:w="12240" w:h="15840"/>
          <w:pgMar w:header="719" w:footer="740" w:top="1260" w:bottom="920" w:left="1460" w:right="1440"/>
        </w:sectPr>
      </w:pPr>
    </w:p>
    <w:p>
      <w:pPr>
        <w:spacing w:line="179" w:lineRule="exact" w:before="94"/>
        <w:ind w:left="1182" w:right="0" w:firstLine="0"/>
        <w:jc w:val="left"/>
        <w:rPr>
          <w:rFonts w:ascii="Times New Roman"/>
          <w:b/>
          <w:sz w:val="16"/>
        </w:rPr>
      </w:pPr>
      <w:r>
        <w:rPr>
          <w:rFonts w:ascii="Times New Roman"/>
          <w:b/>
          <w:color w:val="231F20"/>
          <w:sz w:val="16"/>
        </w:rPr>
        <w:t>Cantidad de fungicidas utilizados</w:t>
      </w:r>
    </w:p>
    <w:p>
      <w:pPr>
        <w:spacing w:line="174" w:lineRule="exact" w:before="5"/>
        <w:ind w:left="1182" w:right="0" w:firstLine="204"/>
        <w:jc w:val="both"/>
        <w:rPr>
          <w:rFonts w:ascii="Times New Roman" w:hAnsi="Times New Roman"/>
          <w:sz w:val="16"/>
        </w:rPr>
      </w:pPr>
      <w:r>
        <w:rPr>
          <w:rFonts w:ascii="Times New Roman" w:hAnsi="Times New Roman"/>
          <w:color w:val="231F20"/>
          <w:sz w:val="16"/>
        </w:rPr>
        <w:t>Para determinar la cantidad anual y excedentes de ingredientes activos utilizados, se investigó la composición y concentración de cada fungicida en el catálogo oficial de plaguicidas (CICOPLAFEST 2004), y la dosis recomendada para cada uno de estos por el Comité de Acción para la Resistencia</w:t>
      </w:r>
      <w:r>
        <w:rPr>
          <w:rFonts w:ascii="Times New Roman" w:hAnsi="Times New Roman"/>
          <w:color w:val="231F20"/>
          <w:spacing w:val="-18"/>
          <w:sz w:val="16"/>
        </w:rPr>
        <w:t> </w:t>
      </w:r>
      <w:r>
        <w:rPr>
          <w:rFonts w:ascii="Times New Roman" w:hAnsi="Times New Roman"/>
          <w:color w:val="231F20"/>
          <w:sz w:val="16"/>
        </w:rPr>
        <w:t>a Fungicidas (FRAC 2011, por sus siglas en inglés), así como la superficie de siembra, la dosis de estos </w:t>
      </w:r>
      <w:r>
        <w:rPr>
          <w:rFonts w:ascii="Times New Roman" w:hAnsi="Times New Roman"/>
          <w:color w:val="231F20"/>
          <w:spacing w:val="2"/>
          <w:sz w:val="16"/>
        </w:rPr>
        <w:t>fungicidas utilizada </w:t>
      </w:r>
      <w:r>
        <w:rPr>
          <w:rFonts w:ascii="Times New Roman" w:hAnsi="Times New Roman"/>
          <w:color w:val="231F20"/>
          <w:sz w:val="16"/>
        </w:rPr>
        <w:t>en </w:t>
      </w:r>
      <w:r>
        <w:rPr>
          <w:rFonts w:ascii="Times New Roman" w:hAnsi="Times New Roman"/>
          <w:color w:val="231F20"/>
          <w:spacing w:val="2"/>
          <w:sz w:val="16"/>
        </w:rPr>
        <w:t>campo, </w:t>
      </w:r>
      <w:r>
        <w:rPr>
          <w:rFonts w:ascii="Times New Roman" w:hAnsi="Times New Roman"/>
          <w:color w:val="231F20"/>
          <w:sz w:val="16"/>
        </w:rPr>
        <w:t>la </w:t>
      </w:r>
      <w:r>
        <w:rPr>
          <w:rFonts w:ascii="Times New Roman" w:hAnsi="Times New Roman"/>
          <w:color w:val="231F20"/>
          <w:spacing w:val="2"/>
          <w:sz w:val="16"/>
        </w:rPr>
        <w:t>frecuencia </w:t>
      </w:r>
      <w:r>
        <w:rPr>
          <w:rFonts w:ascii="Times New Roman" w:hAnsi="Times New Roman"/>
          <w:color w:val="231F20"/>
          <w:sz w:val="16"/>
        </w:rPr>
        <w:t>de aplicación de los mismos y el sistema de produc- ción (riego o temporal). La acumulación y destino de los fungicidas se determinó por recopilación de información</w:t>
      </w:r>
      <w:r>
        <w:rPr>
          <w:rFonts w:ascii="Times New Roman" w:hAnsi="Times New Roman"/>
          <w:color w:val="231F20"/>
          <w:spacing w:val="-12"/>
          <w:sz w:val="16"/>
        </w:rPr>
        <w:t> </w:t>
      </w:r>
      <w:r>
        <w:rPr>
          <w:rFonts w:ascii="Times New Roman" w:hAnsi="Times New Roman"/>
          <w:color w:val="231F20"/>
          <w:sz w:val="16"/>
        </w:rPr>
        <w:t>de</w:t>
      </w:r>
      <w:r>
        <w:rPr>
          <w:rFonts w:ascii="Times New Roman" w:hAnsi="Times New Roman"/>
          <w:color w:val="231F20"/>
          <w:spacing w:val="-12"/>
          <w:sz w:val="16"/>
        </w:rPr>
        <w:t> </w:t>
      </w:r>
      <w:r>
        <w:rPr>
          <w:rFonts w:ascii="Times New Roman" w:hAnsi="Times New Roman"/>
          <w:color w:val="231F20"/>
          <w:sz w:val="16"/>
        </w:rPr>
        <w:t>las</w:t>
      </w:r>
      <w:r>
        <w:rPr>
          <w:rFonts w:ascii="Times New Roman" w:hAnsi="Times New Roman"/>
          <w:color w:val="231F20"/>
          <w:spacing w:val="-12"/>
          <w:sz w:val="16"/>
        </w:rPr>
        <w:t> </w:t>
      </w:r>
      <w:r>
        <w:rPr>
          <w:rFonts w:ascii="Times New Roman" w:hAnsi="Times New Roman"/>
          <w:color w:val="231F20"/>
          <w:sz w:val="16"/>
        </w:rPr>
        <w:t>siguientes</w:t>
      </w:r>
      <w:r>
        <w:rPr>
          <w:rFonts w:ascii="Times New Roman" w:hAnsi="Times New Roman"/>
          <w:color w:val="231F20"/>
          <w:spacing w:val="-11"/>
          <w:sz w:val="16"/>
        </w:rPr>
        <w:t> </w:t>
      </w:r>
      <w:r>
        <w:rPr>
          <w:rFonts w:ascii="Times New Roman" w:hAnsi="Times New Roman"/>
          <w:color w:val="231F20"/>
          <w:sz w:val="16"/>
        </w:rPr>
        <w:t>propiedades</w:t>
      </w:r>
      <w:r>
        <w:rPr>
          <w:rFonts w:ascii="Times New Roman" w:hAnsi="Times New Roman"/>
          <w:color w:val="231F20"/>
          <w:spacing w:val="-12"/>
          <w:sz w:val="16"/>
        </w:rPr>
        <w:t> </w:t>
      </w:r>
      <w:r>
        <w:rPr>
          <w:rFonts w:ascii="Times New Roman" w:hAnsi="Times New Roman"/>
          <w:color w:val="231F20"/>
          <w:sz w:val="16"/>
        </w:rPr>
        <w:t>para</w:t>
      </w:r>
      <w:r>
        <w:rPr>
          <w:rFonts w:ascii="Times New Roman" w:hAnsi="Times New Roman"/>
          <w:color w:val="231F20"/>
          <w:spacing w:val="-12"/>
          <w:sz w:val="16"/>
        </w:rPr>
        <w:t> </w:t>
      </w:r>
      <w:r>
        <w:rPr>
          <w:rFonts w:ascii="Times New Roman" w:hAnsi="Times New Roman"/>
          <w:color w:val="231F20"/>
          <w:sz w:val="16"/>
        </w:rPr>
        <w:t>cada grupo químico que conforma el ingrediente activo: coeficientes</w:t>
      </w:r>
      <w:r>
        <w:rPr>
          <w:rFonts w:ascii="Times New Roman" w:hAnsi="Times New Roman"/>
          <w:color w:val="231F20"/>
          <w:spacing w:val="-8"/>
          <w:sz w:val="16"/>
        </w:rPr>
        <w:t> </w:t>
      </w:r>
      <w:r>
        <w:rPr>
          <w:rFonts w:ascii="Times New Roman" w:hAnsi="Times New Roman"/>
          <w:color w:val="231F20"/>
          <w:sz w:val="16"/>
        </w:rPr>
        <w:t>de</w:t>
      </w:r>
      <w:r>
        <w:rPr>
          <w:rFonts w:ascii="Times New Roman" w:hAnsi="Times New Roman"/>
          <w:color w:val="231F20"/>
          <w:spacing w:val="-8"/>
          <w:sz w:val="16"/>
        </w:rPr>
        <w:t> </w:t>
      </w:r>
      <w:r>
        <w:rPr>
          <w:rFonts w:ascii="Times New Roman" w:hAnsi="Times New Roman"/>
          <w:color w:val="231F20"/>
          <w:sz w:val="16"/>
        </w:rPr>
        <w:t>partición</w:t>
      </w:r>
      <w:r>
        <w:rPr>
          <w:rFonts w:ascii="Times New Roman" w:hAnsi="Times New Roman"/>
          <w:color w:val="231F20"/>
          <w:spacing w:val="-8"/>
          <w:sz w:val="16"/>
        </w:rPr>
        <w:t> </w:t>
      </w:r>
      <w:r>
        <w:rPr>
          <w:rFonts w:ascii="Times New Roman" w:hAnsi="Times New Roman"/>
          <w:color w:val="231F20"/>
          <w:sz w:val="16"/>
        </w:rPr>
        <w:t>en</w:t>
      </w:r>
      <w:r>
        <w:rPr>
          <w:rFonts w:ascii="Times New Roman" w:hAnsi="Times New Roman"/>
          <w:color w:val="231F20"/>
          <w:spacing w:val="-8"/>
          <w:sz w:val="16"/>
        </w:rPr>
        <w:t> </w:t>
      </w:r>
      <w:r>
        <w:rPr>
          <w:rFonts w:ascii="Times New Roman" w:hAnsi="Times New Roman"/>
          <w:color w:val="231F20"/>
          <w:sz w:val="16"/>
        </w:rPr>
        <w:t>materia</w:t>
      </w:r>
      <w:r>
        <w:rPr>
          <w:rFonts w:ascii="Times New Roman" w:hAnsi="Times New Roman"/>
          <w:color w:val="231F20"/>
          <w:spacing w:val="-8"/>
          <w:sz w:val="16"/>
        </w:rPr>
        <w:t> </w:t>
      </w:r>
      <w:r>
        <w:rPr>
          <w:rFonts w:ascii="Times New Roman" w:hAnsi="Times New Roman"/>
          <w:color w:val="231F20"/>
          <w:sz w:val="16"/>
        </w:rPr>
        <w:t>orgánica</w:t>
      </w:r>
      <w:r>
        <w:rPr>
          <w:rFonts w:ascii="Times New Roman" w:hAnsi="Times New Roman"/>
          <w:color w:val="231F20"/>
          <w:spacing w:val="-8"/>
          <w:sz w:val="16"/>
        </w:rPr>
        <w:t> </w:t>
      </w:r>
      <w:r>
        <w:rPr>
          <w:rFonts w:ascii="Times New Roman" w:hAnsi="Times New Roman"/>
          <w:color w:val="231F20"/>
          <w:sz w:val="16"/>
        </w:rPr>
        <w:t>(K</w:t>
      </w:r>
      <w:r>
        <w:rPr>
          <w:rFonts w:ascii="Times New Roman" w:hAnsi="Times New Roman"/>
          <w:color w:val="231F20"/>
          <w:position w:val="-1"/>
          <w:sz w:val="11"/>
        </w:rPr>
        <w:t>OC</w:t>
      </w:r>
      <w:r>
        <w:rPr>
          <w:rFonts w:ascii="Times New Roman" w:hAnsi="Times New Roman"/>
          <w:color w:val="231F20"/>
          <w:sz w:val="16"/>
        </w:rPr>
        <w:t>), constantes de adsorción (K</w:t>
      </w:r>
      <w:r>
        <w:rPr>
          <w:rFonts w:ascii="Times New Roman" w:hAnsi="Times New Roman"/>
          <w:color w:val="231F20"/>
          <w:position w:val="-1"/>
          <w:sz w:val="11"/>
        </w:rPr>
        <w:t>d</w:t>
      </w:r>
      <w:r>
        <w:rPr>
          <w:rFonts w:ascii="Times New Roman" w:hAnsi="Times New Roman"/>
          <w:color w:val="231F20"/>
          <w:sz w:val="16"/>
        </w:rPr>
        <w:t>), vidas medias (t</w:t>
      </w:r>
      <w:r>
        <w:rPr>
          <w:rFonts w:ascii="Times New Roman" w:hAnsi="Times New Roman"/>
          <w:color w:val="231F20"/>
          <w:position w:val="-1"/>
          <w:sz w:val="11"/>
        </w:rPr>
        <w:t>1/2</w:t>
      </w:r>
      <w:r>
        <w:rPr>
          <w:rFonts w:ascii="Times New Roman" w:hAnsi="Times New Roman"/>
          <w:color w:val="231F20"/>
          <w:sz w:val="16"/>
        </w:rPr>
        <w:t>) y categoría</w:t>
      </w:r>
      <w:r>
        <w:rPr>
          <w:rFonts w:ascii="Times New Roman" w:hAnsi="Times New Roman"/>
          <w:color w:val="231F20"/>
          <w:spacing w:val="-12"/>
          <w:sz w:val="16"/>
        </w:rPr>
        <w:t> </w:t>
      </w:r>
      <w:r>
        <w:rPr>
          <w:rFonts w:ascii="Times New Roman" w:hAnsi="Times New Roman"/>
          <w:color w:val="231F20"/>
          <w:sz w:val="16"/>
        </w:rPr>
        <w:t>toxicológica.</w:t>
      </w:r>
    </w:p>
    <w:p>
      <w:pPr>
        <w:pStyle w:val="BodyText"/>
        <w:spacing w:before="1"/>
        <w:rPr>
          <w:rFonts w:ascii="Times New Roman"/>
          <w:sz w:val="14"/>
        </w:rPr>
      </w:pPr>
    </w:p>
    <w:p>
      <w:pPr>
        <w:spacing w:line="179" w:lineRule="exact" w:before="0"/>
        <w:ind w:left="1182" w:right="0" w:firstLine="0"/>
        <w:jc w:val="left"/>
        <w:rPr>
          <w:rFonts w:ascii="Times New Roman" w:hAnsi="Times New Roman"/>
          <w:b/>
          <w:sz w:val="16"/>
        </w:rPr>
      </w:pPr>
      <w:r>
        <w:rPr>
          <w:rFonts w:ascii="Times New Roman" w:hAnsi="Times New Roman"/>
          <w:b/>
          <w:color w:val="231F20"/>
          <w:sz w:val="16"/>
        </w:rPr>
        <w:t>Análisis estadístico</w:t>
      </w:r>
    </w:p>
    <w:p>
      <w:pPr>
        <w:spacing w:line="174" w:lineRule="exact" w:before="5"/>
        <w:ind w:left="1182" w:right="0" w:firstLine="204"/>
        <w:jc w:val="both"/>
        <w:rPr>
          <w:rFonts w:ascii="Times New Roman" w:hAnsi="Times New Roman"/>
          <w:sz w:val="16"/>
        </w:rPr>
      </w:pPr>
      <w:r>
        <w:rPr>
          <w:rFonts w:ascii="Times New Roman" w:hAnsi="Times New Roman"/>
          <w:color w:val="231F20"/>
          <w:sz w:val="16"/>
        </w:rPr>
        <w:t>Los datos fueron analizados mediante prueba</w:t>
      </w:r>
      <w:r>
        <w:rPr>
          <w:rFonts w:ascii="Times New Roman" w:hAnsi="Times New Roman"/>
          <w:color w:val="231F20"/>
          <w:spacing w:val="-20"/>
          <w:sz w:val="16"/>
        </w:rPr>
        <w:t> </w:t>
      </w:r>
      <w:r>
        <w:rPr>
          <w:rFonts w:ascii="Times New Roman" w:hAnsi="Times New Roman"/>
          <w:color w:val="231F20"/>
          <w:sz w:val="16"/>
        </w:rPr>
        <w:t>de Tukey</w:t>
      </w:r>
      <w:r>
        <w:rPr>
          <w:rFonts w:ascii="Times New Roman" w:hAnsi="Times New Roman"/>
          <w:color w:val="231F20"/>
          <w:spacing w:val="-6"/>
          <w:sz w:val="16"/>
        </w:rPr>
        <w:t> </w:t>
      </w:r>
      <w:r>
        <w:rPr>
          <w:rFonts w:ascii="Times New Roman" w:hAnsi="Times New Roman"/>
          <w:color w:val="231F20"/>
          <w:sz w:val="16"/>
        </w:rPr>
        <w:t>a</w:t>
      </w:r>
      <w:r>
        <w:rPr>
          <w:rFonts w:ascii="Times New Roman" w:hAnsi="Times New Roman"/>
          <w:color w:val="231F20"/>
          <w:spacing w:val="-6"/>
          <w:sz w:val="16"/>
        </w:rPr>
        <w:t> </w:t>
      </w:r>
      <w:r>
        <w:rPr>
          <w:rFonts w:ascii="Times New Roman" w:hAnsi="Times New Roman"/>
          <w:color w:val="231F20"/>
          <w:sz w:val="16"/>
        </w:rPr>
        <w:t>nivel</w:t>
      </w:r>
      <w:r>
        <w:rPr>
          <w:rFonts w:ascii="Times New Roman" w:hAnsi="Times New Roman"/>
          <w:color w:val="231F20"/>
          <w:spacing w:val="-6"/>
          <w:sz w:val="16"/>
        </w:rPr>
        <w:t> </w:t>
      </w:r>
      <w:r>
        <w:rPr>
          <w:rFonts w:ascii="Times New Roman" w:hAnsi="Times New Roman"/>
          <w:color w:val="231F20"/>
          <w:sz w:val="16"/>
        </w:rPr>
        <w:t>de</w:t>
      </w:r>
      <w:r>
        <w:rPr>
          <w:rFonts w:ascii="Times New Roman" w:hAnsi="Times New Roman"/>
          <w:color w:val="231F20"/>
          <w:spacing w:val="-6"/>
          <w:sz w:val="16"/>
        </w:rPr>
        <w:t> </w:t>
      </w:r>
      <w:r>
        <w:rPr>
          <w:rFonts w:ascii="Times New Roman" w:hAnsi="Times New Roman"/>
          <w:color w:val="231F20"/>
          <w:sz w:val="16"/>
        </w:rPr>
        <w:t>significancia</w:t>
      </w:r>
      <w:r>
        <w:rPr>
          <w:rFonts w:ascii="Times New Roman" w:hAnsi="Times New Roman"/>
          <w:color w:val="231F20"/>
          <w:spacing w:val="-6"/>
          <w:sz w:val="16"/>
        </w:rPr>
        <w:t> </w:t>
      </w:r>
      <w:r>
        <w:rPr>
          <w:rFonts w:ascii="Times New Roman" w:hAnsi="Times New Roman"/>
          <w:color w:val="231F20"/>
          <w:sz w:val="16"/>
        </w:rPr>
        <w:t>de</w:t>
      </w:r>
      <w:r>
        <w:rPr>
          <w:rFonts w:ascii="Times New Roman" w:hAnsi="Times New Roman"/>
          <w:color w:val="231F20"/>
          <w:spacing w:val="-6"/>
          <w:sz w:val="16"/>
        </w:rPr>
        <w:t> </w:t>
      </w:r>
      <w:r>
        <w:rPr>
          <w:rFonts w:ascii="Times New Roman" w:hAnsi="Times New Roman"/>
          <w:color w:val="231F20"/>
          <w:sz w:val="16"/>
        </w:rPr>
        <w:t>0.05,</w:t>
      </w:r>
      <w:r>
        <w:rPr>
          <w:rFonts w:ascii="Times New Roman" w:hAnsi="Times New Roman"/>
          <w:color w:val="231F20"/>
          <w:spacing w:val="-6"/>
          <w:sz w:val="16"/>
        </w:rPr>
        <w:t> </w:t>
      </w:r>
      <w:r>
        <w:rPr>
          <w:rFonts w:ascii="Times New Roman" w:hAnsi="Times New Roman"/>
          <w:color w:val="231F20"/>
          <w:sz w:val="16"/>
        </w:rPr>
        <w:t>utilizando</w:t>
      </w:r>
      <w:r>
        <w:rPr>
          <w:rFonts w:ascii="Times New Roman" w:hAnsi="Times New Roman"/>
          <w:color w:val="231F20"/>
          <w:spacing w:val="-6"/>
          <w:sz w:val="16"/>
        </w:rPr>
        <w:t> </w:t>
      </w:r>
      <w:r>
        <w:rPr>
          <w:rFonts w:ascii="Times New Roman" w:hAnsi="Times New Roman"/>
          <w:color w:val="231F20"/>
          <w:sz w:val="16"/>
        </w:rPr>
        <w:t>el paquete</w:t>
      </w:r>
      <w:r>
        <w:rPr>
          <w:rFonts w:ascii="Times New Roman" w:hAnsi="Times New Roman"/>
          <w:color w:val="231F20"/>
          <w:spacing w:val="-10"/>
          <w:sz w:val="16"/>
        </w:rPr>
        <w:t> </w:t>
      </w:r>
      <w:r>
        <w:rPr>
          <w:rFonts w:ascii="Times New Roman" w:hAnsi="Times New Roman"/>
          <w:color w:val="231F20"/>
          <w:sz w:val="16"/>
        </w:rPr>
        <w:t>estadístico</w:t>
      </w:r>
      <w:r>
        <w:rPr>
          <w:rFonts w:ascii="Times New Roman" w:hAnsi="Times New Roman"/>
          <w:color w:val="231F20"/>
          <w:spacing w:val="-11"/>
          <w:sz w:val="16"/>
        </w:rPr>
        <w:t> </w:t>
      </w:r>
      <w:r>
        <w:rPr>
          <w:rFonts w:ascii="Times New Roman" w:hAnsi="Times New Roman"/>
          <w:color w:val="231F20"/>
          <w:sz w:val="16"/>
        </w:rPr>
        <w:t>SAS</w:t>
      </w:r>
      <w:r>
        <w:rPr>
          <w:rFonts w:ascii="Times New Roman" w:hAnsi="Times New Roman"/>
          <w:color w:val="231F20"/>
          <w:spacing w:val="-10"/>
          <w:sz w:val="16"/>
        </w:rPr>
        <w:t> </w:t>
      </w:r>
      <w:r>
        <w:rPr>
          <w:rFonts w:ascii="Times New Roman" w:hAnsi="Times New Roman"/>
          <w:color w:val="231F20"/>
          <w:sz w:val="16"/>
        </w:rPr>
        <w:t>versión</w:t>
      </w:r>
      <w:r>
        <w:rPr>
          <w:rFonts w:ascii="Times New Roman" w:hAnsi="Times New Roman"/>
          <w:color w:val="231F20"/>
          <w:spacing w:val="-10"/>
          <w:sz w:val="16"/>
        </w:rPr>
        <w:t> </w:t>
      </w:r>
      <w:r>
        <w:rPr>
          <w:rFonts w:ascii="Times New Roman" w:hAnsi="Times New Roman"/>
          <w:color w:val="231F20"/>
          <w:sz w:val="16"/>
        </w:rPr>
        <w:t>6.12</w:t>
      </w:r>
      <w:r>
        <w:rPr>
          <w:rFonts w:ascii="Times New Roman" w:hAnsi="Times New Roman"/>
          <w:color w:val="231F20"/>
          <w:spacing w:val="-10"/>
          <w:sz w:val="16"/>
        </w:rPr>
        <w:t> </w:t>
      </w:r>
      <w:r>
        <w:rPr>
          <w:rFonts w:ascii="Times New Roman" w:hAnsi="Times New Roman"/>
          <w:color w:val="231F20"/>
          <w:sz w:val="16"/>
        </w:rPr>
        <w:t>(SAS</w:t>
      </w:r>
      <w:r>
        <w:rPr>
          <w:rFonts w:ascii="Times New Roman" w:hAnsi="Times New Roman"/>
          <w:color w:val="231F20"/>
          <w:spacing w:val="-10"/>
          <w:sz w:val="16"/>
        </w:rPr>
        <w:t> </w:t>
      </w:r>
      <w:r>
        <w:rPr>
          <w:rFonts w:ascii="Times New Roman" w:hAnsi="Times New Roman"/>
          <w:color w:val="231F20"/>
          <w:sz w:val="16"/>
        </w:rPr>
        <w:t>Institute 1998).</w:t>
      </w:r>
    </w:p>
    <w:p>
      <w:pPr>
        <w:spacing w:line="174" w:lineRule="exact" w:before="104"/>
        <w:ind w:left="366" w:right="854" w:firstLine="0"/>
        <w:jc w:val="left"/>
        <w:rPr>
          <w:rFonts w:ascii="Times New Roman" w:hAnsi="Times New Roman"/>
          <w:b/>
          <w:sz w:val="16"/>
        </w:rPr>
      </w:pPr>
      <w:r>
        <w:rPr/>
        <w:br w:type="column"/>
      </w:r>
      <w:r>
        <w:rPr>
          <w:rFonts w:ascii="Times New Roman" w:hAnsi="Times New Roman"/>
          <w:b/>
          <w:color w:val="231F20"/>
          <w:sz w:val="16"/>
        </w:rPr>
        <w:t>Análisis de costos por remoción de fungicidas en suelo</w:t>
      </w:r>
    </w:p>
    <w:p>
      <w:pPr>
        <w:spacing w:line="174" w:lineRule="exact" w:before="0"/>
        <w:ind w:left="366" w:right="1199" w:firstLine="204"/>
        <w:jc w:val="both"/>
        <w:rPr>
          <w:rFonts w:ascii="Times New Roman" w:hAnsi="Times New Roman"/>
          <w:sz w:val="16"/>
        </w:rPr>
      </w:pPr>
      <w:r>
        <w:rPr>
          <w:rFonts w:ascii="Times New Roman" w:hAnsi="Times New Roman"/>
          <w:color w:val="231F20"/>
          <w:sz w:val="16"/>
        </w:rPr>
        <w:t>La</w:t>
      </w:r>
      <w:r>
        <w:rPr>
          <w:rFonts w:ascii="Times New Roman" w:hAnsi="Times New Roman"/>
          <w:color w:val="231F20"/>
          <w:spacing w:val="-6"/>
          <w:sz w:val="16"/>
        </w:rPr>
        <w:t> </w:t>
      </w:r>
      <w:r>
        <w:rPr>
          <w:rFonts w:ascii="Times New Roman" w:hAnsi="Times New Roman"/>
          <w:color w:val="231F20"/>
          <w:sz w:val="16"/>
        </w:rPr>
        <w:t>estimación</w:t>
      </w:r>
      <w:r>
        <w:rPr>
          <w:rFonts w:ascii="Times New Roman" w:hAnsi="Times New Roman"/>
          <w:color w:val="231F20"/>
          <w:spacing w:val="-7"/>
          <w:sz w:val="16"/>
        </w:rPr>
        <w:t> </w:t>
      </w:r>
      <w:r>
        <w:rPr>
          <w:rFonts w:ascii="Times New Roman" w:hAnsi="Times New Roman"/>
          <w:color w:val="231F20"/>
          <w:sz w:val="16"/>
        </w:rPr>
        <w:t>de</w:t>
      </w:r>
      <w:r>
        <w:rPr>
          <w:rFonts w:ascii="Times New Roman" w:hAnsi="Times New Roman"/>
          <w:color w:val="231F20"/>
          <w:spacing w:val="-6"/>
          <w:sz w:val="16"/>
        </w:rPr>
        <w:t> </w:t>
      </w:r>
      <w:r>
        <w:rPr>
          <w:rFonts w:ascii="Times New Roman" w:hAnsi="Times New Roman"/>
          <w:color w:val="231F20"/>
          <w:sz w:val="16"/>
        </w:rPr>
        <w:t>los</w:t>
      </w:r>
      <w:r>
        <w:rPr>
          <w:rFonts w:ascii="Times New Roman" w:hAnsi="Times New Roman"/>
          <w:color w:val="231F20"/>
          <w:spacing w:val="-6"/>
          <w:sz w:val="16"/>
        </w:rPr>
        <w:t> </w:t>
      </w:r>
      <w:r>
        <w:rPr>
          <w:rFonts w:ascii="Times New Roman" w:hAnsi="Times New Roman"/>
          <w:color w:val="231F20"/>
          <w:sz w:val="16"/>
        </w:rPr>
        <w:t>costos</w:t>
      </w:r>
      <w:r>
        <w:rPr>
          <w:rFonts w:ascii="Times New Roman" w:hAnsi="Times New Roman"/>
          <w:color w:val="231F20"/>
          <w:spacing w:val="-7"/>
          <w:sz w:val="16"/>
        </w:rPr>
        <w:t> </w:t>
      </w:r>
      <w:r>
        <w:rPr>
          <w:rFonts w:ascii="Times New Roman" w:hAnsi="Times New Roman"/>
          <w:color w:val="231F20"/>
          <w:sz w:val="16"/>
        </w:rPr>
        <w:t>de</w:t>
      </w:r>
      <w:r>
        <w:rPr>
          <w:rFonts w:ascii="Times New Roman" w:hAnsi="Times New Roman"/>
          <w:color w:val="231F20"/>
          <w:spacing w:val="-6"/>
          <w:sz w:val="16"/>
        </w:rPr>
        <w:t> </w:t>
      </w:r>
      <w:r>
        <w:rPr>
          <w:rFonts w:ascii="Times New Roman" w:hAnsi="Times New Roman"/>
          <w:color w:val="231F20"/>
          <w:sz w:val="16"/>
        </w:rPr>
        <w:t>remoción</w:t>
      </w:r>
      <w:r>
        <w:rPr>
          <w:rFonts w:ascii="Times New Roman" w:hAnsi="Times New Roman"/>
          <w:color w:val="231F20"/>
          <w:spacing w:val="-6"/>
          <w:sz w:val="16"/>
        </w:rPr>
        <w:t> </w:t>
      </w:r>
      <w:r>
        <w:rPr>
          <w:rFonts w:ascii="Times New Roman" w:hAnsi="Times New Roman"/>
          <w:color w:val="231F20"/>
          <w:sz w:val="16"/>
        </w:rPr>
        <w:t>de</w:t>
      </w:r>
      <w:r>
        <w:rPr>
          <w:rFonts w:ascii="Times New Roman" w:hAnsi="Times New Roman"/>
          <w:color w:val="231F20"/>
          <w:spacing w:val="-6"/>
          <w:sz w:val="16"/>
        </w:rPr>
        <w:t> </w:t>
      </w:r>
      <w:r>
        <w:rPr>
          <w:rFonts w:ascii="Times New Roman" w:hAnsi="Times New Roman"/>
          <w:color w:val="231F20"/>
          <w:sz w:val="16"/>
        </w:rPr>
        <w:t>con- taminantes</w:t>
      </w:r>
      <w:r>
        <w:rPr>
          <w:rFonts w:ascii="Times New Roman" w:hAnsi="Times New Roman"/>
          <w:color w:val="231F20"/>
          <w:spacing w:val="-10"/>
          <w:sz w:val="16"/>
        </w:rPr>
        <w:t> </w:t>
      </w:r>
      <w:r>
        <w:rPr>
          <w:rFonts w:ascii="Times New Roman" w:hAnsi="Times New Roman"/>
          <w:color w:val="231F20"/>
          <w:sz w:val="16"/>
        </w:rPr>
        <w:t>se</w:t>
      </w:r>
      <w:r>
        <w:rPr>
          <w:rFonts w:ascii="Times New Roman" w:hAnsi="Times New Roman"/>
          <w:color w:val="231F20"/>
          <w:spacing w:val="-9"/>
          <w:sz w:val="16"/>
        </w:rPr>
        <w:t> </w:t>
      </w:r>
      <w:r>
        <w:rPr>
          <w:rFonts w:ascii="Times New Roman" w:hAnsi="Times New Roman"/>
          <w:color w:val="231F20"/>
          <w:sz w:val="16"/>
        </w:rPr>
        <w:t>determinó</w:t>
      </w:r>
      <w:r>
        <w:rPr>
          <w:rFonts w:ascii="Times New Roman" w:hAnsi="Times New Roman"/>
          <w:color w:val="231F20"/>
          <w:spacing w:val="-9"/>
          <w:sz w:val="16"/>
        </w:rPr>
        <w:t> </w:t>
      </w:r>
      <w:r>
        <w:rPr>
          <w:rFonts w:ascii="Times New Roman" w:hAnsi="Times New Roman"/>
          <w:color w:val="231F20"/>
          <w:sz w:val="16"/>
        </w:rPr>
        <w:t>por</w:t>
      </w:r>
      <w:r>
        <w:rPr>
          <w:rFonts w:ascii="Times New Roman" w:hAnsi="Times New Roman"/>
          <w:color w:val="231F20"/>
          <w:spacing w:val="-9"/>
          <w:sz w:val="16"/>
        </w:rPr>
        <w:t> </w:t>
      </w:r>
      <w:r>
        <w:rPr>
          <w:rFonts w:ascii="Times New Roman" w:hAnsi="Times New Roman"/>
          <w:color w:val="231F20"/>
          <w:sz w:val="16"/>
        </w:rPr>
        <w:t>analogía</w:t>
      </w:r>
      <w:r>
        <w:rPr>
          <w:rFonts w:ascii="Times New Roman" w:hAnsi="Times New Roman"/>
          <w:color w:val="231F20"/>
          <w:spacing w:val="-10"/>
          <w:sz w:val="16"/>
        </w:rPr>
        <w:t> </w:t>
      </w:r>
      <w:r>
        <w:rPr>
          <w:rFonts w:ascii="Times New Roman" w:hAnsi="Times New Roman"/>
          <w:color w:val="231F20"/>
          <w:sz w:val="16"/>
        </w:rPr>
        <w:t>con</w:t>
      </w:r>
      <w:r>
        <w:rPr>
          <w:rFonts w:ascii="Times New Roman" w:hAnsi="Times New Roman"/>
          <w:color w:val="231F20"/>
          <w:spacing w:val="-9"/>
          <w:sz w:val="16"/>
        </w:rPr>
        <w:t> </w:t>
      </w:r>
      <w:r>
        <w:rPr>
          <w:rFonts w:ascii="Times New Roman" w:hAnsi="Times New Roman"/>
          <w:color w:val="231F20"/>
          <w:sz w:val="16"/>
        </w:rPr>
        <w:t>los</w:t>
      </w:r>
      <w:r>
        <w:rPr>
          <w:rFonts w:ascii="Times New Roman" w:hAnsi="Times New Roman"/>
          <w:color w:val="231F20"/>
          <w:spacing w:val="-9"/>
          <w:sz w:val="16"/>
        </w:rPr>
        <w:t> </w:t>
      </w:r>
      <w:r>
        <w:rPr>
          <w:rFonts w:ascii="Times New Roman" w:hAnsi="Times New Roman"/>
          <w:color w:val="231F20"/>
          <w:sz w:val="16"/>
        </w:rPr>
        <w:t>costos reportados en el proceso de electrorremediación de suelos aplicado por la empresa Environmental &amp; </w:t>
      </w:r>
      <w:r>
        <w:rPr>
          <w:rFonts w:ascii="Times New Roman" w:hAnsi="Times New Roman"/>
          <w:color w:val="231F20"/>
          <w:spacing w:val="-3"/>
          <w:sz w:val="16"/>
        </w:rPr>
        <w:t>Technology</w:t>
      </w:r>
      <w:r>
        <w:rPr>
          <w:rFonts w:ascii="Times New Roman" w:hAnsi="Times New Roman"/>
          <w:color w:val="231F20"/>
          <w:spacing w:val="-25"/>
          <w:sz w:val="16"/>
        </w:rPr>
        <w:t> </w:t>
      </w:r>
      <w:r>
        <w:rPr>
          <w:rFonts w:ascii="Times New Roman" w:hAnsi="Times New Roman"/>
          <w:color w:val="231F20"/>
          <w:sz w:val="16"/>
        </w:rPr>
        <w:t>Services</w:t>
      </w:r>
      <w:r>
        <w:rPr>
          <w:rFonts w:ascii="Times New Roman" w:hAnsi="Times New Roman"/>
          <w:color w:val="231F20"/>
          <w:spacing w:val="-25"/>
          <w:sz w:val="16"/>
        </w:rPr>
        <w:t> </w:t>
      </w:r>
      <w:r>
        <w:rPr>
          <w:rFonts w:ascii="Times New Roman" w:hAnsi="Times New Roman"/>
          <w:color w:val="231F20"/>
          <w:sz w:val="16"/>
        </w:rPr>
        <w:t>en</w:t>
      </w:r>
      <w:r>
        <w:rPr>
          <w:rFonts w:ascii="Times New Roman" w:hAnsi="Times New Roman"/>
          <w:color w:val="231F20"/>
          <w:spacing w:val="-25"/>
          <w:sz w:val="16"/>
        </w:rPr>
        <w:t> </w:t>
      </w:r>
      <w:r>
        <w:rPr>
          <w:rFonts w:ascii="Times New Roman" w:hAnsi="Times New Roman"/>
          <w:color w:val="231F20"/>
          <w:sz w:val="16"/>
        </w:rPr>
        <w:t>1997</w:t>
      </w:r>
      <w:r>
        <w:rPr>
          <w:rFonts w:ascii="Times New Roman" w:hAnsi="Times New Roman"/>
          <w:color w:val="231F20"/>
          <w:spacing w:val="-25"/>
          <w:sz w:val="16"/>
        </w:rPr>
        <w:t> </w:t>
      </w:r>
      <w:r>
        <w:rPr>
          <w:rFonts w:ascii="Times New Roman" w:hAnsi="Times New Roman"/>
          <w:color w:val="231F20"/>
          <w:sz w:val="16"/>
        </w:rPr>
        <w:t>(Loo</w:t>
      </w:r>
      <w:r>
        <w:rPr>
          <w:rFonts w:ascii="Times New Roman" w:hAnsi="Times New Roman"/>
          <w:color w:val="231F20"/>
          <w:spacing w:val="-25"/>
          <w:sz w:val="16"/>
        </w:rPr>
        <w:t> </w:t>
      </w:r>
      <w:r>
        <w:rPr>
          <w:rFonts w:ascii="Times New Roman" w:hAnsi="Times New Roman"/>
          <w:color w:val="231F20"/>
          <w:sz w:val="16"/>
        </w:rPr>
        <w:t>y</w:t>
      </w:r>
      <w:r>
        <w:rPr>
          <w:rFonts w:ascii="Times New Roman" w:hAnsi="Times New Roman"/>
          <w:color w:val="231F20"/>
          <w:spacing w:val="-25"/>
          <w:sz w:val="16"/>
        </w:rPr>
        <w:t> </w:t>
      </w:r>
      <w:r>
        <w:rPr>
          <w:rFonts w:ascii="Times New Roman" w:hAnsi="Times New Roman"/>
          <w:color w:val="231F20"/>
          <w:sz w:val="16"/>
        </w:rPr>
        <w:t>Chilingar</w:t>
      </w:r>
      <w:r>
        <w:rPr>
          <w:rFonts w:ascii="Times New Roman" w:hAnsi="Times New Roman"/>
          <w:color w:val="231F20"/>
          <w:spacing w:val="-25"/>
          <w:sz w:val="16"/>
        </w:rPr>
        <w:t> </w:t>
      </w:r>
      <w:r>
        <w:rPr>
          <w:rFonts w:ascii="Times New Roman" w:hAnsi="Times New Roman"/>
          <w:color w:val="231F20"/>
          <w:sz w:val="16"/>
        </w:rPr>
        <w:t>1997), actualizados</w:t>
      </w:r>
      <w:r>
        <w:rPr>
          <w:rFonts w:ascii="Times New Roman" w:hAnsi="Times New Roman"/>
          <w:color w:val="231F20"/>
          <w:spacing w:val="-19"/>
          <w:sz w:val="16"/>
        </w:rPr>
        <w:t> </w:t>
      </w:r>
      <w:r>
        <w:rPr>
          <w:rFonts w:ascii="Times New Roman" w:hAnsi="Times New Roman"/>
          <w:color w:val="231F20"/>
          <w:sz w:val="16"/>
        </w:rPr>
        <w:t>a</w:t>
      </w:r>
      <w:r>
        <w:rPr>
          <w:rFonts w:ascii="Times New Roman" w:hAnsi="Times New Roman"/>
          <w:color w:val="231F20"/>
          <w:spacing w:val="-19"/>
          <w:sz w:val="16"/>
        </w:rPr>
        <w:t> </w:t>
      </w:r>
      <w:r>
        <w:rPr>
          <w:rFonts w:ascii="Times New Roman" w:hAnsi="Times New Roman"/>
          <w:color w:val="231F20"/>
          <w:sz w:val="16"/>
        </w:rPr>
        <w:t>valor</w:t>
      </w:r>
      <w:r>
        <w:rPr>
          <w:rFonts w:ascii="Times New Roman" w:hAnsi="Times New Roman"/>
          <w:color w:val="231F20"/>
          <w:spacing w:val="-19"/>
          <w:sz w:val="16"/>
        </w:rPr>
        <w:t> </w:t>
      </w:r>
      <w:r>
        <w:rPr>
          <w:rFonts w:ascii="Times New Roman" w:hAnsi="Times New Roman"/>
          <w:color w:val="231F20"/>
          <w:sz w:val="16"/>
        </w:rPr>
        <w:t>presente</w:t>
      </w:r>
      <w:r>
        <w:rPr>
          <w:rFonts w:ascii="Times New Roman" w:hAnsi="Times New Roman"/>
          <w:color w:val="231F20"/>
          <w:spacing w:val="-19"/>
          <w:sz w:val="16"/>
        </w:rPr>
        <w:t> </w:t>
      </w:r>
      <w:r>
        <w:rPr>
          <w:rFonts w:ascii="Times New Roman" w:hAnsi="Times New Roman"/>
          <w:color w:val="231F20"/>
          <w:sz w:val="16"/>
        </w:rPr>
        <w:t>de</w:t>
      </w:r>
      <w:r>
        <w:rPr>
          <w:rFonts w:ascii="Times New Roman" w:hAnsi="Times New Roman"/>
          <w:color w:val="231F20"/>
          <w:spacing w:val="-19"/>
          <w:sz w:val="16"/>
        </w:rPr>
        <w:t> </w:t>
      </w:r>
      <w:r>
        <w:rPr>
          <w:rFonts w:ascii="Times New Roman" w:hAnsi="Times New Roman"/>
          <w:color w:val="231F20"/>
          <w:sz w:val="16"/>
        </w:rPr>
        <w:t>acuerdo</w:t>
      </w:r>
      <w:r>
        <w:rPr>
          <w:rFonts w:ascii="Times New Roman" w:hAnsi="Times New Roman"/>
          <w:color w:val="231F20"/>
          <w:spacing w:val="-19"/>
          <w:sz w:val="16"/>
        </w:rPr>
        <w:t> </w:t>
      </w:r>
      <w:r>
        <w:rPr>
          <w:rFonts w:ascii="Times New Roman" w:hAnsi="Times New Roman"/>
          <w:color w:val="231F20"/>
          <w:sz w:val="16"/>
        </w:rPr>
        <w:t>con</w:t>
      </w:r>
      <w:r>
        <w:rPr>
          <w:rFonts w:ascii="Times New Roman" w:hAnsi="Times New Roman"/>
          <w:color w:val="231F20"/>
          <w:spacing w:val="-19"/>
          <w:sz w:val="16"/>
        </w:rPr>
        <w:t> </w:t>
      </w:r>
      <w:r>
        <w:rPr>
          <w:rFonts w:ascii="Times New Roman" w:hAnsi="Times New Roman"/>
          <w:color w:val="231F20"/>
          <w:sz w:val="16"/>
        </w:rPr>
        <w:t>la</w:t>
      </w:r>
      <w:r>
        <w:rPr>
          <w:rFonts w:ascii="Times New Roman" w:hAnsi="Times New Roman"/>
          <w:color w:val="231F20"/>
          <w:spacing w:val="-19"/>
          <w:sz w:val="16"/>
        </w:rPr>
        <w:t> </w:t>
      </w:r>
      <w:r>
        <w:rPr>
          <w:rFonts w:ascii="Times New Roman" w:hAnsi="Times New Roman"/>
          <w:color w:val="231F20"/>
          <w:sz w:val="16"/>
        </w:rPr>
        <w:t>infla- ción</w:t>
      </w:r>
      <w:r>
        <w:rPr>
          <w:rFonts w:ascii="Times New Roman" w:hAnsi="Times New Roman"/>
          <w:color w:val="231F20"/>
          <w:spacing w:val="-26"/>
          <w:sz w:val="16"/>
        </w:rPr>
        <w:t> </w:t>
      </w:r>
      <w:r>
        <w:rPr>
          <w:rFonts w:ascii="Times New Roman" w:hAnsi="Times New Roman"/>
          <w:color w:val="231F20"/>
          <w:sz w:val="16"/>
        </w:rPr>
        <w:t>reportada</w:t>
      </w:r>
      <w:r>
        <w:rPr>
          <w:rFonts w:ascii="Times New Roman" w:hAnsi="Times New Roman"/>
          <w:color w:val="231F20"/>
          <w:spacing w:val="-26"/>
          <w:sz w:val="16"/>
        </w:rPr>
        <w:t> </w:t>
      </w:r>
      <w:r>
        <w:rPr>
          <w:rFonts w:ascii="Times New Roman" w:hAnsi="Times New Roman"/>
          <w:color w:val="231F20"/>
          <w:sz w:val="16"/>
        </w:rPr>
        <w:t>por</w:t>
      </w:r>
      <w:r>
        <w:rPr>
          <w:rFonts w:ascii="Times New Roman" w:hAnsi="Times New Roman"/>
          <w:color w:val="231F20"/>
          <w:spacing w:val="-26"/>
          <w:sz w:val="16"/>
        </w:rPr>
        <w:t> </w:t>
      </w:r>
      <w:r>
        <w:rPr>
          <w:rFonts w:ascii="Times New Roman" w:hAnsi="Times New Roman"/>
          <w:color w:val="231F20"/>
          <w:sz w:val="16"/>
        </w:rPr>
        <w:t>el</w:t>
      </w:r>
      <w:r>
        <w:rPr>
          <w:rFonts w:ascii="Times New Roman" w:hAnsi="Times New Roman"/>
          <w:color w:val="231F20"/>
          <w:spacing w:val="-26"/>
          <w:sz w:val="16"/>
        </w:rPr>
        <w:t> </w:t>
      </w:r>
      <w:r>
        <w:rPr>
          <w:rFonts w:ascii="Times New Roman" w:hAnsi="Times New Roman"/>
          <w:color w:val="231F20"/>
          <w:sz w:val="16"/>
        </w:rPr>
        <w:t>Instituto</w:t>
      </w:r>
      <w:r>
        <w:rPr>
          <w:rFonts w:ascii="Times New Roman" w:hAnsi="Times New Roman"/>
          <w:color w:val="231F20"/>
          <w:spacing w:val="-26"/>
          <w:sz w:val="16"/>
        </w:rPr>
        <w:t> </w:t>
      </w:r>
      <w:r>
        <w:rPr>
          <w:rFonts w:ascii="Times New Roman" w:hAnsi="Times New Roman"/>
          <w:color w:val="231F20"/>
          <w:sz w:val="16"/>
        </w:rPr>
        <w:t>Nacional</w:t>
      </w:r>
      <w:r>
        <w:rPr>
          <w:rFonts w:ascii="Times New Roman" w:hAnsi="Times New Roman"/>
          <w:color w:val="231F20"/>
          <w:spacing w:val="-26"/>
          <w:sz w:val="16"/>
        </w:rPr>
        <w:t> </w:t>
      </w:r>
      <w:r>
        <w:rPr>
          <w:rFonts w:ascii="Times New Roman" w:hAnsi="Times New Roman"/>
          <w:color w:val="231F20"/>
          <w:sz w:val="16"/>
        </w:rPr>
        <w:t>de</w:t>
      </w:r>
      <w:r>
        <w:rPr>
          <w:rFonts w:ascii="Times New Roman" w:hAnsi="Times New Roman"/>
          <w:color w:val="231F20"/>
          <w:spacing w:val="-26"/>
          <w:sz w:val="16"/>
        </w:rPr>
        <w:t> </w:t>
      </w:r>
      <w:r>
        <w:rPr>
          <w:rFonts w:ascii="Times New Roman" w:hAnsi="Times New Roman"/>
          <w:color w:val="231F20"/>
          <w:sz w:val="16"/>
        </w:rPr>
        <w:t>Estadística y</w:t>
      </w:r>
      <w:r>
        <w:rPr>
          <w:rFonts w:ascii="Times New Roman" w:hAnsi="Times New Roman"/>
          <w:color w:val="231F20"/>
          <w:spacing w:val="-15"/>
          <w:sz w:val="16"/>
        </w:rPr>
        <w:t> </w:t>
      </w:r>
      <w:r>
        <w:rPr>
          <w:rFonts w:ascii="Times New Roman" w:hAnsi="Times New Roman"/>
          <w:color w:val="231F20"/>
          <w:sz w:val="16"/>
        </w:rPr>
        <w:t>Geografía</w:t>
      </w:r>
      <w:r>
        <w:rPr>
          <w:rFonts w:ascii="Times New Roman" w:hAnsi="Times New Roman"/>
          <w:color w:val="231F20"/>
          <w:spacing w:val="-15"/>
          <w:sz w:val="16"/>
        </w:rPr>
        <w:t> </w:t>
      </w:r>
      <w:r>
        <w:rPr>
          <w:rFonts w:ascii="Times New Roman" w:hAnsi="Times New Roman"/>
          <w:color w:val="231F20"/>
          <w:sz w:val="16"/>
        </w:rPr>
        <w:t>(INEGI</w:t>
      </w:r>
      <w:r>
        <w:rPr>
          <w:rFonts w:ascii="Times New Roman" w:hAnsi="Times New Roman"/>
          <w:color w:val="231F20"/>
          <w:spacing w:val="-15"/>
          <w:sz w:val="16"/>
        </w:rPr>
        <w:t> </w:t>
      </w:r>
      <w:r>
        <w:rPr>
          <w:rFonts w:ascii="Times New Roman" w:hAnsi="Times New Roman"/>
          <w:color w:val="231F20"/>
          <w:sz w:val="16"/>
        </w:rPr>
        <w:t>2011),</w:t>
      </w:r>
      <w:r>
        <w:rPr>
          <w:rFonts w:ascii="Times New Roman" w:hAnsi="Times New Roman"/>
          <w:color w:val="231F20"/>
          <w:spacing w:val="-15"/>
          <w:sz w:val="16"/>
        </w:rPr>
        <w:t> </w:t>
      </w:r>
      <w:r>
        <w:rPr>
          <w:rFonts w:ascii="Times New Roman" w:hAnsi="Times New Roman"/>
          <w:color w:val="231F20"/>
          <w:sz w:val="16"/>
        </w:rPr>
        <w:t>considerando</w:t>
      </w:r>
      <w:r>
        <w:rPr>
          <w:rFonts w:ascii="Times New Roman" w:hAnsi="Times New Roman"/>
          <w:color w:val="231F20"/>
          <w:spacing w:val="-16"/>
          <w:sz w:val="16"/>
        </w:rPr>
        <w:t> </w:t>
      </w:r>
      <w:r>
        <w:rPr>
          <w:rFonts w:ascii="Times New Roman" w:hAnsi="Times New Roman"/>
          <w:color w:val="231F20"/>
          <w:sz w:val="16"/>
        </w:rPr>
        <w:t>un</w:t>
      </w:r>
      <w:r>
        <w:rPr>
          <w:rFonts w:ascii="Times New Roman" w:hAnsi="Times New Roman"/>
          <w:color w:val="231F20"/>
          <w:spacing w:val="-15"/>
          <w:sz w:val="16"/>
        </w:rPr>
        <w:t> </w:t>
      </w:r>
      <w:r>
        <w:rPr>
          <w:rFonts w:ascii="Times New Roman" w:hAnsi="Times New Roman"/>
          <w:color w:val="231F20"/>
          <w:sz w:val="16"/>
        </w:rPr>
        <w:t>alcance de</w:t>
      </w:r>
      <w:r>
        <w:rPr>
          <w:rFonts w:ascii="Times New Roman" w:hAnsi="Times New Roman"/>
          <w:color w:val="231F20"/>
          <w:spacing w:val="-10"/>
          <w:sz w:val="16"/>
        </w:rPr>
        <w:t> </w:t>
      </w:r>
      <w:r>
        <w:rPr>
          <w:rFonts w:ascii="Times New Roman" w:hAnsi="Times New Roman"/>
          <w:color w:val="231F20"/>
          <w:sz w:val="16"/>
        </w:rPr>
        <w:t>acumulación</w:t>
      </w:r>
      <w:r>
        <w:rPr>
          <w:rFonts w:ascii="Times New Roman" w:hAnsi="Times New Roman"/>
          <w:color w:val="231F20"/>
          <w:spacing w:val="-10"/>
          <w:sz w:val="16"/>
        </w:rPr>
        <w:t> </w:t>
      </w:r>
      <w:r>
        <w:rPr>
          <w:rFonts w:ascii="Times New Roman" w:hAnsi="Times New Roman"/>
          <w:color w:val="231F20"/>
          <w:sz w:val="16"/>
        </w:rPr>
        <w:t>de</w:t>
      </w:r>
      <w:r>
        <w:rPr>
          <w:rFonts w:ascii="Times New Roman" w:hAnsi="Times New Roman"/>
          <w:color w:val="231F20"/>
          <w:spacing w:val="-10"/>
          <w:sz w:val="16"/>
        </w:rPr>
        <w:t> </w:t>
      </w:r>
      <w:r>
        <w:rPr>
          <w:rFonts w:ascii="Times New Roman" w:hAnsi="Times New Roman"/>
          <w:color w:val="231F20"/>
          <w:sz w:val="16"/>
        </w:rPr>
        <w:t>los</w:t>
      </w:r>
      <w:r>
        <w:rPr>
          <w:rFonts w:ascii="Times New Roman" w:hAnsi="Times New Roman"/>
          <w:color w:val="231F20"/>
          <w:spacing w:val="-11"/>
          <w:sz w:val="16"/>
        </w:rPr>
        <w:t> </w:t>
      </w:r>
      <w:r>
        <w:rPr>
          <w:rFonts w:ascii="Times New Roman" w:hAnsi="Times New Roman"/>
          <w:color w:val="231F20"/>
          <w:sz w:val="16"/>
        </w:rPr>
        <w:t>fungicidas</w:t>
      </w:r>
      <w:r>
        <w:rPr>
          <w:rFonts w:ascii="Times New Roman" w:hAnsi="Times New Roman"/>
          <w:color w:val="231F20"/>
          <w:spacing w:val="-10"/>
          <w:sz w:val="16"/>
        </w:rPr>
        <w:t> </w:t>
      </w:r>
      <w:r>
        <w:rPr>
          <w:rFonts w:ascii="Times New Roman" w:hAnsi="Times New Roman"/>
          <w:color w:val="231F20"/>
          <w:sz w:val="16"/>
        </w:rPr>
        <w:t>durante</w:t>
      </w:r>
      <w:r>
        <w:rPr>
          <w:rFonts w:ascii="Times New Roman" w:hAnsi="Times New Roman"/>
          <w:color w:val="231F20"/>
          <w:spacing w:val="-10"/>
          <w:sz w:val="16"/>
        </w:rPr>
        <w:t> </w:t>
      </w:r>
      <w:r>
        <w:rPr>
          <w:rFonts w:ascii="Times New Roman" w:hAnsi="Times New Roman"/>
          <w:color w:val="231F20"/>
          <w:sz w:val="16"/>
        </w:rPr>
        <w:t>el</w:t>
      </w:r>
      <w:r>
        <w:rPr>
          <w:rFonts w:ascii="Times New Roman" w:hAnsi="Times New Roman"/>
          <w:color w:val="231F20"/>
          <w:spacing w:val="-10"/>
          <w:sz w:val="16"/>
        </w:rPr>
        <w:t> </w:t>
      </w:r>
      <w:r>
        <w:rPr>
          <w:rFonts w:ascii="Times New Roman" w:hAnsi="Times New Roman"/>
          <w:color w:val="231F20"/>
          <w:sz w:val="16"/>
        </w:rPr>
        <w:t>ciclo</w:t>
      </w:r>
      <w:r>
        <w:rPr>
          <w:rFonts w:ascii="Times New Roman" w:hAnsi="Times New Roman"/>
          <w:color w:val="231F20"/>
          <w:spacing w:val="-11"/>
          <w:sz w:val="16"/>
        </w:rPr>
        <w:t> </w:t>
      </w:r>
      <w:r>
        <w:rPr>
          <w:rFonts w:ascii="Times New Roman" w:hAnsi="Times New Roman"/>
          <w:color w:val="231F20"/>
          <w:sz w:val="16"/>
        </w:rPr>
        <w:t>de vida</w:t>
      </w:r>
      <w:r>
        <w:rPr>
          <w:rFonts w:ascii="Times New Roman" w:hAnsi="Times New Roman"/>
          <w:color w:val="231F20"/>
          <w:spacing w:val="-4"/>
          <w:sz w:val="16"/>
        </w:rPr>
        <w:t> </w:t>
      </w:r>
      <w:r>
        <w:rPr>
          <w:rFonts w:ascii="Times New Roman" w:hAnsi="Times New Roman"/>
          <w:color w:val="231F20"/>
          <w:sz w:val="16"/>
        </w:rPr>
        <w:t>de</w:t>
      </w:r>
      <w:r>
        <w:rPr>
          <w:rFonts w:ascii="Times New Roman" w:hAnsi="Times New Roman"/>
          <w:color w:val="231F20"/>
          <w:spacing w:val="-4"/>
          <w:sz w:val="16"/>
        </w:rPr>
        <w:t> </w:t>
      </w:r>
      <w:r>
        <w:rPr>
          <w:rFonts w:ascii="Times New Roman" w:hAnsi="Times New Roman"/>
          <w:color w:val="231F20"/>
          <w:sz w:val="16"/>
        </w:rPr>
        <w:t>la</w:t>
      </w:r>
      <w:r>
        <w:rPr>
          <w:rFonts w:ascii="Times New Roman" w:hAnsi="Times New Roman"/>
          <w:color w:val="231F20"/>
          <w:spacing w:val="-4"/>
          <w:sz w:val="16"/>
        </w:rPr>
        <w:t> </w:t>
      </w:r>
      <w:r>
        <w:rPr>
          <w:rFonts w:ascii="Times New Roman" w:hAnsi="Times New Roman"/>
          <w:color w:val="231F20"/>
          <w:sz w:val="16"/>
        </w:rPr>
        <w:t>parcela</w:t>
      </w:r>
      <w:r>
        <w:rPr>
          <w:rFonts w:ascii="Times New Roman" w:hAnsi="Times New Roman"/>
          <w:color w:val="231F20"/>
          <w:spacing w:val="-4"/>
          <w:sz w:val="16"/>
        </w:rPr>
        <w:t> </w:t>
      </w:r>
      <w:r>
        <w:rPr>
          <w:rFonts w:ascii="Times New Roman" w:hAnsi="Times New Roman"/>
          <w:color w:val="231F20"/>
          <w:sz w:val="16"/>
        </w:rPr>
        <w:t>de</w:t>
      </w:r>
      <w:r>
        <w:rPr>
          <w:rFonts w:ascii="Times New Roman" w:hAnsi="Times New Roman"/>
          <w:color w:val="231F20"/>
          <w:spacing w:val="-4"/>
          <w:sz w:val="16"/>
        </w:rPr>
        <w:t> </w:t>
      </w:r>
      <w:r>
        <w:rPr>
          <w:rFonts w:ascii="Times New Roman" w:hAnsi="Times New Roman"/>
          <w:color w:val="231F20"/>
          <w:sz w:val="16"/>
        </w:rPr>
        <w:t>medio</w:t>
      </w:r>
      <w:r>
        <w:rPr>
          <w:rFonts w:ascii="Times New Roman" w:hAnsi="Times New Roman"/>
          <w:color w:val="231F20"/>
          <w:spacing w:val="-4"/>
          <w:sz w:val="16"/>
        </w:rPr>
        <w:t> </w:t>
      </w:r>
      <w:r>
        <w:rPr>
          <w:rFonts w:ascii="Times New Roman" w:hAnsi="Times New Roman"/>
          <w:color w:val="231F20"/>
          <w:sz w:val="16"/>
        </w:rPr>
        <w:t>metro</w:t>
      </w:r>
      <w:r>
        <w:rPr>
          <w:rFonts w:ascii="Times New Roman" w:hAnsi="Times New Roman"/>
          <w:color w:val="231F20"/>
          <w:spacing w:val="-4"/>
          <w:sz w:val="16"/>
        </w:rPr>
        <w:t> </w:t>
      </w:r>
      <w:r>
        <w:rPr>
          <w:rFonts w:ascii="Times New Roman" w:hAnsi="Times New Roman"/>
          <w:color w:val="231F20"/>
          <w:sz w:val="16"/>
        </w:rPr>
        <w:t>de</w:t>
      </w:r>
      <w:r>
        <w:rPr>
          <w:rFonts w:ascii="Times New Roman" w:hAnsi="Times New Roman"/>
          <w:color w:val="231F20"/>
          <w:spacing w:val="-4"/>
          <w:sz w:val="16"/>
        </w:rPr>
        <w:t> </w:t>
      </w:r>
      <w:r>
        <w:rPr>
          <w:rFonts w:ascii="Times New Roman" w:hAnsi="Times New Roman"/>
          <w:color w:val="231F20"/>
          <w:sz w:val="16"/>
        </w:rPr>
        <w:t>profundidad</w:t>
      </w:r>
      <w:r>
        <w:rPr>
          <w:rFonts w:ascii="Times New Roman" w:hAnsi="Times New Roman"/>
          <w:color w:val="231F20"/>
          <w:spacing w:val="-4"/>
          <w:sz w:val="16"/>
        </w:rPr>
        <w:t> </w:t>
      </w:r>
      <w:r>
        <w:rPr>
          <w:rFonts w:ascii="Times New Roman" w:hAnsi="Times New Roman"/>
          <w:color w:val="231F20"/>
          <w:sz w:val="16"/>
        </w:rPr>
        <w:t>y una</w:t>
      </w:r>
      <w:r>
        <w:rPr>
          <w:rFonts w:ascii="Times New Roman" w:hAnsi="Times New Roman"/>
          <w:color w:val="231F20"/>
          <w:spacing w:val="-19"/>
          <w:sz w:val="16"/>
        </w:rPr>
        <w:t> </w:t>
      </w:r>
      <w:r>
        <w:rPr>
          <w:rFonts w:ascii="Times New Roman" w:hAnsi="Times New Roman"/>
          <w:color w:val="231F20"/>
          <w:sz w:val="16"/>
        </w:rPr>
        <w:t>densidad</w:t>
      </w:r>
      <w:r>
        <w:rPr>
          <w:rFonts w:ascii="Times New Roman" w:hAnsi="Times New Roman"/>
          <w:color w:val="231F20"/>
          <w:spacing w:val="-19"/>
          <w:sz w:val="16"/>
        </w:rPr>
        <w:t> </w:t>
      </w:r>
      <w:r>
        <w:rPr>
          <w:rFonts w:ascii="Times New Roman" w:hAnsi="Times New Roman"/>
          <w:color w:val="231F20"/>
          <w:sz w:val="16"/>
        </w:rPr>
        <w:t>real</w:t>
      </w:r>
      <w:r>
        <w:rPr>
          <w:rFonts w:ascii="Times New Roman" w:hAnsi="Times New Roman"/>
          <w:color w:val="231F20"/>
          <w:spacing w:val="-19"/>
          <w:sz w:val="16"/>
        </w:rPr>
        <w:t> </w:t>
      </w:r>
      <w:r>
        <w:rPr>
          <w:rFonts w:ascii="Times New Roman" w:hAnsi="Times New Roman"/>
          <w:color w:val="231F20"/>
          <w:sz w:val="16"/>
        </w:rPr>
        <w:t>del</w:t>
      </w:r>
      <w:r>
        <w:rPr>
          <w:rFonts w:ascii="Times New Roman" w:hAnsi="Times New Roman"/>
          <w:color w:val="231F20"/>
          <w:spacing w:val="-19"/>
          <w:sz w:val="16"/>
        </w:rPr>
        <w:t> </w:t>
      </w:r>
      <w:r>
        <w:rPr>
          <w:rFonts w:ascii="Times New Roman" w:hAnsi="Times New Roman"/>
          <w:color w:val="231F20"/>
          <w:sz w:val="16"/>
        </w:rPr>
        <w:t>suelo</w:t>
      </w:r>
      <w:r>
        <w:rPr>
          <w:rFonts w:ascii="Times New Roman" w:hAnsi="Times New Roman"/>
          <w:color w:val="231F20"/>
          <w:spacing w:val="-19"/>
          <w:sz w:val="16"/>
        </w:rPr>
        <w:t> </w:t>
      </w:r>
      <w:r>
        <w:rPr>
          <w:rFonts w:ascii="Times New Roman" w:hAnsi="Times New Roman"/>
          <w:color w:val="231F20"/>
          <w:sz w:val="16"/>
        </w:rPr>
        <w:t>de</w:t>
      </w:r>
      <w:r>
        <w:rPr>
          <w:rFonts w:ascii="Times New Roman" w:hAnsi="Times New Roman"/>
          <w:color w:val="231F20"/>
          <w:spacing w:val="-19"/>
          <w:sz w:val="16"/>
        </w:rPr>
        <w:t> </w:t>
      </w:r>
      <w:r>
        <w:rPr>
          <w:rFonts w:ascii="Times New Roman" w:hAnsi="Times New Roman"/>
          <w:color w:val="231F20"/>
          <w:sz w:val="16"/>
        </w:rPr>
        <w:t>1.33</w:t>
      </w:r>
      <w:r>
        <w:rPr>
          <w:rFonts w:ascii="Times New Roman" w:hAnsi="Times New Roman"/>
          <w:color w:val="231F20"/>
          <w:spacing w:val="-19"/>
          <w:sz w:val="16"/>
        </w:rPr>
        <w:t> </w:t>
      </w:r>
      <w:r>
        <w:rPr>
          <w:rFonts w:ascii="Times New Roman" w:hAnsi="Times New Roman"/>
          <w:color w:val="231F20"/>
          <w:sz w:val="16"/>
        </w:rPr>
        <w:t>kg/L</w:t>
      </w:r>
      <w:r>
        <w:rPr>
          <w:rFonts w:ascii="Times New Roman" w:hAnsi="Times New Roman"/>
          <w:color w:val="231F20"/>
          <w:spacing w:val="-24"/>
          <w:sz w:val="16"/>
        </w:rPr>
        <w:t> </w:t>
      </w:r>
      <w:r>
        <w:rPr>
          <w:rFonts w:ascii="Times New Roman" w:hAnsi="Times New Roman"/>
          <w:color w:val="231F20"/>
          <w:sz w:val="16"/>
        </w:rPr>
        <w:t>(equivalente a</w:t>
      </w:r>
      <w:r>
        <w:rPr>
          <w:rFonts w:ascii="Times New Roman" w:hAnsi="Times New Roman"/>
          <w:color w:val="231F20"/>
          <w:spacing w:val="-21"/>
          <w:sz w:val="16"/>
        </w:rPr>
        <w:t> </w:t>
      </w:r>
      <w:r>
        <w:rPr>
          <w:rFonts w:ascii="Times New Roman" w:hAnsi="Times New Roman"/>
          <w:color w:val="231F20"/>
          <w:sz w:val="16"/>
        </w:rPr>
        <w:t>6.65</w:t>
      </w:r>
      <w:r>
        <w:rPr>
          <w:rFonts w:ascii="Times New Roman" w:hAnsi="Times New Roman"/>
          <w:color w:val="231F20"/>
          <w:spacing w:val="-21"/>
          <w:sz w:val="16"/>
        </w:rPr>
        <w:t> </w:t>
      </w:r>
      <w:r>
        <w:rPr>
          <w:rFonts w:ascii="Times New Roman" w:hAnsi="Times New Roman"/>
          <w:color w:val="231F20"/>
          <w:sz w:val="16"/>
        </w:rPr>
        <w:t>toneladas</w:t>
      </w:r>
      <w:r>
        <w:rPr>
          <w:rFonts w:ascii="Times New Roman" w:hAnsi="Times New Roman"/>
          <w:color w:val="231F20"/>
          <w:spacing w:val="-21"/>
          <w:sz w:val="16"/>
        </w:rPr>
        <w:t> </w:t>
      </w:r>
      <w:r>
        <w:rPr>
          <w:rFonts w:ascii="Times New Roman" w:hAnsi="Times New Roman"/>
          <w:color w:val="231F20"/>
          <w:sz w:val="16"/>
        </w:rPr>
        <w:t>de</w:t>
      </w:r>
      <w:r>
        <w:rPr>
          <w:rFonts w:ascii="Times New Roman" w:hAnsi="Times New Roman"/>
          <w:color w:val="231F20"/>
          <w:spacing w:val="-21"/>
          <w:sz w:val="16"/>
        </w:rPr>
        <w:t> </w:t>
      </w:r>
      <w:r>
        <w:rPr>
          <w:rFonts w:ascii="Times New Roman" w:hAnsi="Times New Roman"/>
          <w:color w:val="231F20"/>
          <w:sz w:val="16"/>
        </w:rPr>
        <w:t>suelo</w:t>
      </w:r>
      <w:r>
        <w:rPr>
          <w:rFonts w:ascii="Times New Roman" w:hAnsi="Times New Roman"/>
          <w:color w:val="231F20"/>
          <w:spacing w:val="-21"/>
          <w:sz w:val="16"/>
        </w:rPr>
        <w:t> </w:t>
      </w:r>
      <w:r>
        <w:rPr>
          <w:rFonts w:ascii="Times New Roman" w:hAnsi="Times New Roman"/>
          <w:color w:val="231F20"/>
          <w:sz w:val="16"/>
        </w:rPr>
        <w:t>contaminado</w:t>
      </w:r>
      <w:r>
        <w:rPr>
          <w:rFonts w:ascii="Times New Roman" w:hAnsi="Times New Roman"/>
          <w:color w:val="231F20"/>
          <w:spacing w:val="-21"/>
          <w:sz w:val="16"/>
        </w:rPr>
        <w:t> </w:t>
      </w:r>
      <w:r>
        <w:rPr>
          <w:rFonts w:ascii="Times New Roman" w:hAnsi="Times New Roman"/>
          <w:color w:val="231F20"/>
          <w:sz w:val="16"/>
        </w:rPr>
        <w:t>por</w:t>
      </w:r>
      <w:r>
        <w:rPr>
          <w:rFonts w:ascii="Times New Roman" w:hAnsi="Times New Roman"/>
          <w:color w:val="231F20"/>
          <w:spacing w:val="-21"/>
          <w:sz w:val="16"/>
        </w:rPr>
        <w:t> </w:t>
      </w:r>
      <w:r>
        <w:rPr>
          <w:rFonts w:ascii="Times New Roman" w:hAnsi="Times New Roman"/>
          <w:color w:val="231F20"/>
          <w:sz w:val="16"/>
        </w:rPr>
        <w:t>hectárea).</w:t>
      </w:r>
    </w:p>
    <w:p>
      <w:pPr>
        <w:pStyle w:val="BodyText"/>
        <w:rPr>
          <w:rFonts w:ascii="Times New Roman"/>
          <w:sz w:val="16"/>
        </w:rPr>
      </w:pPr>
    </w:p>
    <w:p>
      <w:pPr>
        <w:pStyle w:val="BodyText"/>
        <w:spacing w:before="2"/>
        <w:rPr>
          <w:rFonts w:ascii="Times New Roman"/>
          <w:sz w:val="13"/>
        </w:rPr>
      </w:pPr>
    </w:p>
    <w:p>
      <w:pPr>
        <w:spacing w:before="0"/>
        <w:ind w:left="945" w:right="854" w:firstLine="0"/>
        <w:jc w:val="left"/>
        <w:rPr>
          <w:rFonts w:ascii="Times New Roman" w:hAnsi="Times New Roman"/>
          <w:b/>
          <w:sz w:val="16"/>
        </w:rPr>
      </w:pPr>
      <w:r>
        <w:rPr>
          <w:rFonts w:ascii="Times New Roman" w:hAnsi="Times New Roman"/>
          <w:b/>
          <w:color w:val="231F20"/>
          <w:sz w:val="16"/>
        </w:rPr>
        <w:t>RESULTADOS Y DISCUSIÓN</w:t>
      </w:r>
    </w:p>
    <w:p>
      <w:pPr>
        <w:pStyle w:val="BodyText"/>
        <w:rPr>
          <w:rFonts w:ascii="Times New Roman"/>
          <w:b/>
          <w:sz w:val="15"/>
        </w:rPr>
      </w:pPr>
    </w:p>
    <w:p>
      <w:pPr>
        <w:spacing w:line="174" w:lineRule="exact" w:before="0"/>
        <w:ind w:left="366" w:right="1200" w:firstLine="204"/>
        <w:jc w:val="both"/>
        <w:rPr>
          <w:rFonts w:ascii="Times New Roman" w:hAnsi="Times New Roman"/>
          <w:sz w:val="16"/>
        </w:rPr>
      </w:pPr>
      <w:r>
        <w:rPr>
          <w:rFonts w:ascii="Times New Roman" w:hAnsi="Times New Roman"/>
          <w:color w:val="231F20"/>
          <w:sz w:val="16"/>
        </w:rPr>
        <w:t>Los</w:t>
      </w:r>
      <w:r>
        <w:rPr>
          <w:rFonts w:ascii="Times New Roman" w:hAnsi="Times New Roman"/>
          <w:color w:val="231F20"/>
          <w:spacing w:val="-30"/>
          <w:sz w:val="16"/>
        </w:rPr>
        <w:t> </w:t>
      </w:r>
      <w:r>
        <w:rPr>
          <w:rFonts w:ascii="Times New Roman" w:hAnsi="Times New Roman"/>
          <w:color w:val="231F20"/>
          <w:sz w:val="16"/>
        </w:rPr>
        <w:t>43</w:t>
      </w:r>
      <w:r>
        <w:rPr>
          <w:rFonts w:ascii="Times New Roman" w:hAnsi="Times New Roman"/>
          <w:color w:val="231F20"/>
          <w:spacing w:val="-30"/>
          <w:sz w:val="16"/>
        </w:rPr>
        <w:t> </w:t>
      </w:r>
      <w:r>
        <w:rPr>
          <w:rFonts w:ascii="Times New Roman" w:hAnsi="Times New Roman"/>
          <w:color w:val="231F20"/>
          <w:sz w:val="16"/>
        </w:rPr>
        <w:t>productores</w:t>
      </w:r>
      <w:r>
        <w:rPr>
          <w:rFonts w:ascii="Times New Roman" w:hAnsi="Times New Roman"/>
          <w:color w:val="231F20"/>
          <w:spacing w:val="-30"/>
          <w:sz w:val="16"/>
        </w:rPr>
        <w:t> </w:t>
      </w:r>
      <w:r>
        <w:rPr>
          <w:rFonts w:ascii="Times New Roman" w:hAnsi="Times New Roman"/>
          <w:color w:val="231F20"/>
          <w:sz w:val="16"/>
        </w:rPr>
        <w:t>entrevistados</w:t>
      </w:r>
      <w:r>
        <w:rPr>
          <w:rFonts w:ascii="Times New Roman" w:hAnsi="Times New Roman"/>
          <w:color w:val="231F20"/>
          <w:spacing w:val="-30"/>
          <w:sz w:val="16"/>
        </w:rPr>
        <w:t> </w:t>
      </w:r>
      <w:r>
        <w:rPr>
          <w:rFonts w:ascii="Times New Roman" w:hAnsi="Times New Roman"/>
          <w:color w:val="231F20"/>
          <w:sz w:val="16"/>
        </w:rPr>
        <w:t>fueron</w:t>
      </w:r>
      <w:r>
        <w:rPr>
          <w:rFonts w:ascii="Times New Roman" w:hAnsi="Times New Roman"/>
          <w:color w:val="231F20"/>
          <w:spacing w:val="-30"/>
          <w:sz w:val="16"/>
        </w:rPr>
        <w:t> </w:t>
      </w:r>
      <w:r>
        <w:rPr>
          <w:rFonts w:ascii="Times New Roman" w:hAnsi="Times New Roman"/>
          <w:color w:val="231F20"/>
          <w:sz w:val="16"/>
        </w:rPr>
        <w:t>hombres, con</w:t>
      </w:r>
      <w:r>
        <w:rPr>
          <w:rFonts w:ascii="Times New Roman" w:hAnsi="Times New Roman"/>
          <w:color w:val="231F20"/>
          <w:spacing w:val="-19"/>
          <w:sz w:val="16"/>
        </w:rPr>
        <w:t> </w:t>
      </w:r>
      <w:r>
        <w:rPr>
          <w:rFonts w:ascii="Times New Roman" w:hAnsi="Times New Roman"/>
          <w:color w:val="231F20"/>
          <w:sz w:val="16"/>
        </w:rPr>
        <w:t>un</w:t>
      </w:r>
      <w:r>
        <w:rPr>
          <w:rFonts w:ascii="Times New Roman" w:hAnsi="Times New Roman"/>
          <w:color w:val="231F20"/>
          <w:spacing w:val="-19"/>
          <w:sz w:val="16"/>
        </w:rPr>
        <w:t> </w:t>
      </w:r>
      <w:r>
        <w:rPr>
          <w:rFonts w:ascii="Times New Roman" w:hAnsi="Times New Roman"/>
          <w:color w:val="231F20"/>
          <w:sz w:val="16"/>
        </w:rPr>
        <w:t>rango</w:t>
      </w:r>
      <w:r>
        <w:rPr>
          <w:rFonts w:ascii="Times New Roman" w:hAnsi="Times New Roman"/>
          <w:color w:val="231F20"/>
          <w:spacing w:val="-19"/>
          <w:sz w:val="16"/>
        </w:rPr>
        <w:t> </w:t>
      </w:r>
      <w:r>
        <w:rPr>
          <w:rFonts w:ascii="Times New Roman" w:hAnsi="Times New Roman"/>
          <w:color w:val="231F20"/>
          <w:sz w:val="16"/>
        </w:rPr>
        <w:t>de</w:t>
      </w:r>
      <w:r>
        <w:rPr>
          <w:rFonts w:ascii="Times New Roman" w:hAnsi="Times New Roman"/>
          <w:color w:val="231F20"/>
          <w:spacing w:val="-19"/>
          <w:sz w:val="16"/>
        </w:rPr>
        <w:t> </w:t>
      </w:r>
      <w:r>
        <w:rPr>
          <w:rFonts w:ascii="Times New Roman" w:hAnsi="Times New Roman"/>
          <w:color w:val="231F20"/>
          <w:sz w:val="16"/>
        </w:rPr>
        <w:t>edad</w:t>
      </w:r>
      <w:r>
        <w:rPr>
          <w:rFonts w:ascii="Times New Roman" w:hAnsi="Times New Roman"/>
          <w:color w:val="231F20"/>
          <w:spacing w:val="-19"/>
          <w:sz w:val="16"/>
        </w:rPr>
        <w:t> </w:t>
      </w:r>
      <w:r>
        <w:rPr>
          <w:rFonts w:ascii="Times New Roman" w:hAnsi="Times New Roman"/>
          <w:color w:val="231F20"/>
          <w:sz w:val="16"/>
        </w:rPr>
        <w:t>entre</w:t>
      </w:r>
      <w:r>
        <w:rPr>
          <w:rFonts w:ascii="Times New Roman" w:hAnsi="Times New Roman"/>
          <w:color w:val="231F20"/>
          <w:spacing w:val="-19"/>
          <w:sz w:val="16"/>
        </w:rPr>
        <w:t> </w:t>
      </w:r>
      <w:r>
        <w:rPr>
          <w:rFonts w:ascii="Times New Roman" w:hAnsi="Times New Roman"/>
          <w:color w:val="231F20"/>
          <w:sz w:val="16"/>
        </w:rPr>
        <w:t>40</w:t>
      </w:r>
      <w:r>
        <w:rPr>
          <w:rFonts w:ascii="Times New Roman" w:hAnsi="Times New Roman"/>
          <w:color w:val="231F20"/>
          <w:spacing w:val="-19"/>
          <w:sz w:val="16"/>
        </w:rPr>
        <w:t> </w:t>
      </w:r>
      <w:r>
        <w:rPr>
          <w:rFonts w:ascii="Times New Roman" w:hAnsi="Times New Roman"/>
          <w:color w:val="231F20"/>
          <w:sz w:val="16"/>
        </w:rPr>
        <w:t>y</w:t>
      </w:r>
      <w:r>
        <w:rPr>
          <w:rFonts w:ascii="Times New Roman" w:hAnsi="Times New Roman"/>
          <w:color w:val="231F20"/>
          <w:spacing w:val="-19"/>
          <w:sz w:val="16"/>
        </w:rPr>
        <w:t> </w:t>
      </w:r>
      <w:r>
        <w:rPr>
          <w:rFonts w:ascii="Times New Roman" w:hAnsi="Times New Roman"/>
          <w:color w:val="231F20"/>
          <w:sz w:val="16"/>
        </w:rPr>
        <w:t>65</w:t>
      </w:r>
      <w:r>
        <w:rPr>
          <w:rFonts w:ascii="Times New Roman" w:hAnsi="Times New Roman"/>
          <w:color w:val="231F20"/>
          <w:spacing w:val="-19"/>
          <w:sz w:val="16"/>
        </w:rPr>
        <w:t> </w:t>
      </w:r>
      <w:r>
        <w:rPr>
          <w:rFonts w:ascii="Times New Roman" w:hAnsi="Times New Roman"/>
          <w:color w:val="231F20"/>
          <w:sz w:val="16"/>
        </w:rPr>
        <w:t>años,</w:t>
      </w:r>
      <w:r>
        <w:rPr>
          <w:rFonts w:ascii="Times New Roman" w:hAnsi="Times New Roman"/>
          <w:color w:val="231F20"/>
          <w:spacing w:val="-19"/>
          <w:sz w:val="16"/>
        </w:rPr>
        <w:t> </w:t>
      </w:r>
      <w:r>
        <w:rPr>
          <w:rFonts w:ascii="Times New Roman" w:hAnsi="Times New Roman"/>
          <w:color w:val="231F20"/>
          <w:sz w:val="16"/>
        </w:rPr>
        <w:t>y</w:t>
      </w:r>
      <w:r>
        <w:rPr>
          <w:rFonts w:ascii="Times New Roman" w:hAnsi="Times New Roman"/>
          <w:color w:val="231F20"/>
          <w:spacing w:val="-19"/>
          <w:sz w:val="16"/>
        </w:rPr>
        <w:t> </w:t>
      </w:r>
      <w:r>
        <w:rPr>
          <w:rFonts w:ascii="Times New Roman" w:hAnsi="Times New Roman"/>
          <w:color w:val="231F20"/>
          <w:sz w:val="16"/>
        </w:rPr>
        <w:t>un</w:t>
      </w:r>
      <w:r>
        <w:rPr>
          <w:rFonts w:ascii="Times New Roman" w:hAnsi="Times New Roman"/>
          <w:color w:val="231F20"/>
          <w:spacing w:val="-19"/>
          <w:sz w:val="16"/>
        </w:rPr>
        <w:t> </w:t>
      </w:r>
      <w:r>
        <w:rPr>
          <w:rFonts w:ascii="Times New Roman" w:hAnsi="Times New Roman"/>
          <w:color w:val="231F20"/>
          <w:sz w:val="16"/>
        </w:rPr>
        <w:t>mínimo de 1.0 ha destinada para la producción de papa. El análisis de las encuestas demostró que del total de las</w:t>
      </w:r>
      <w:r>
        <w:rPr>
          <w:rFonts w:ascii="Times New Roman" w:hAnsi="Times New Roman"/>
          <w:color w:val="231F20"/>
          <w:spacing w:val="-6"/>
          <w:sz w:val="16"/>
        </w:rPr>
        <w:t> </w:t>
      </w:r>
      <w:r>
        <w:rPr>
          <w:rFonts w:ascii="Times New Roman" w:hAnsi="Times New Roman"/>
          <w:color w:val="231F20"/>
          <w:sz w:val="16"/>
        </w:rPr>
        <w:t>227</w:t>
      </w:r>
      <w:r>
        <w:rPr>
          <w:rFonts w:ascii="Times New Roman" w:hAnsi="Times New Roman"/>
          <w:color w:val="231F20"/>
          <w:spacing w:val="-5"/>
          <w:sz w:val="16"/>
        </w:rPr>
        <w:t> </w:t>
      </w:r>
      <w:r>
        <w:rPr>
          <w:rFonts w:ascii="Times New Roman" w:hAnsi="Times New Roman"/>
          <w:color w:val="231F20"/>
          <w:sz w:val="16"/>
        </w:rPr>
        <w:t>hectáreas</w:t>
      </w:r>
      <w:r>
        <w:rPr>
          <w:rFonts w:ascii="Times New Roman" w:hAnsi="Times New Roman"/>
          <w:color w:val="231F20"/>
          <w:spacing w:val="-5"/>
          <w:sz w:val="16"/>
        </w:rPr>
        <w:t> </w:t>
      </w:r>
      <w:r>
        <w:rPr>
          <w:rFonts w:ascii="Times New Roman" w:hAnsi="Times New Roman"/>
          <w:color w:val="231F20"/>
          <w:sz w:val="16"/>
        </w:rPr>
        <w:t>analizadas,</w:t>
      </w:r>
      <w:r>
        <w:rPr>
          <w:rFonts w:ascii="Times New Roman" w:hAnsi="Times New Roman"/>
          <w:color w:val="231F20"/>
          <w:spacing w:val="-6"/>
          <w:sz w:val="16"/>
        </w:rPr>
        <w:t> </w:t>
      </w:r>
      <w:r>
        <w:rPr>
          <w:rFonts w:ascii="Times New Roman" w:hAnsi="Times New Roman"/>
          <w:color w:val="231F20"/>
          <w:sz w:val="16"/>
        </w:rPr>
        <w:t>en</w:t>
      </w:r>
      <w:r>
        <w:rPr>
          <w:rFonts w:ascii="Times New Roman" w:hAnsi="Times New Roman"/>
          <w:color w:val="231F20"/>
          <w:spacing w:val="-5"/>
          <w:sz w:val="16"/>
        </w:rPr>
        <w:t> </w:t>
      </w:r>
      <w:r>
        <w:rPr>
          <w:rFonts w:ascii="Times New Roman" w:hAnsi="Times New Roman"/>
          <w:color w:val="231F20"/>
          <w:sz w:val="16"/>
        </w:rPr>
        <w:t>136</w:t>
      </w:r>
      <w:r>
        <w:rPr>
          <w:rFonts w:ascii="Times New Roman" w:hAnsi="Times New Roman"/>
          <w:color w:val="231F20"/>
          <w:spacing w:val="-5"/>
          <w:sz w:val="16"/>
        </w:rPr>
        <w:t> </w:t>
      </w:r>
      <w:r>
        <w:rPr>
          <w:rFonts w:ascii="Times New Roman" w:hAnsi="Times New Roman"/>
          <w:color w:val="231F20"/>
          <w:sz w:val="16"/>
        </w:rPr>
        <w:t>ha</w:t>
      </w:r>
      <w:r>
        <w:rPr>
          <w:rFonts w:ascii="Times New Roman" w:hAnsi="Times New Roman"/>
          <w:color w:val="231F20"/>
          <w:spacing w:val="-5"/>
          <w:sz w:val="16"/>
        </w:rPr>
        <w:t> </w:t>
      </w:r>
      <w:r>
        <w:rPr>
          <w:rFonts w:ascii="Times New Roman" w:hAnsi="Times New Roman"/>
          <w:color w:val="231F20"/>
          <w:sz w:val="16"/>
        </w:rPr>
        <w:t>se</w:t>
      </w:r>
      <w:r>
        <w:rPr>
          <w:rFonts w:ascii="Times New Roman" w:hAnsi="Times New Roman"/>
          <w:color w:val="231F20"/>
          <w:spacing w:val="-5"/>
          <w:sz w:val="16"/>
        </w:rPr>
        <w:t> </w:t>
      </w:r>
      <w:r>
        <w:rPr>
          <w:rFonts w:ascii="Times New Roman" w:hAnsi="Times New Roman"/>
          <w:color w:val="231F20"/>
          <w:sz w:val="16"/>
        </w:rPr>
        <w:t>aplicaron los fungicidas en dosis arriba de lo</w:t>
      </w:r>
      <w:r>
        <w:rPr>
          <w:rFonts w:ascii="Times New Roman" w:hAnsi="Times New Roman"/>
          <w:color w:val="231F20"/>
          <w:spacing w:val="27"/>
          <w:sz w:val="16"/>
        </w:rPr>
        <w:t> </w:t>
      </w:r>
      <w:r>
        <w:rPr>
          <w:rFonts w:ascii="Times New Roman" w:hAnsi="Times New Roman"/>
          <w:color w:val="231F20"/>
          <w:sz w:val="16"/>
        </w:rPr>
        <w:t>recomendando,</w:t>
      </w:r>
    </w:p>
    <w:p>
      <w:pPr>
        <w:spacing w:after="0" w:line="174" w:lineRule="exact"/>
        <w:jc w:val="both"/>
        <w:rPr>
          <w:rFonts w:ascii="Times New Roman" w:hAnsi="Times New Roman"/>
          <w:sz w:val="16"/>
        </w:rPr>
        <w:sectPr>
          <w:type w:val="continuous"/>
          <w:pgSz w:w="12240" w:h="15840"/>
          <w:pgMar w:top="1500" w:bottom="1820" w:left="1460" w:right="1440"/>
          <w:cols w:num="2" w:equalWidth="0">
            <w:col w:w="4459" w:space="40"/>
            <w:col w:w="4841"/>
          </w:cols>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28"/>
        </w:rPr>
      </w:pPr>
    </w:p>
    <w:p>
      <w:pPr>
        <w:tabs>
          <w:tab w:pos="4033" w:val="left" w:leader="none"/>
        </w:tabs>
        <w:spacing w:before="81"/>
        <w:ind w:left="1182" w:right="0" w:firstLine="0"/>
        <w:jc w:val="left"/>
        <w:rPr>
          <w:rFonts w:ascii="Times New Roman" w:hAnsi="Times New Roman"/>
          <w:i/>
          <w:sz w:val="13"/>
        </w:rPr>
      </w:pPr>
      <w:r>
        <w:rPr>
          <w:rFonts w:ascii="Times New Roman" w:hAnsi="Times New Roman"/>
          <w:color w:val="231F20"/>
          <w:position w:val="1"/>
          <w:sz w:val="14"/>
        </w:rPr>
        <w:t>298</w:t>
        <w:tab/>
      </w:r>
      <w:r>
        <w:rPr>
          <w:rFonts w:ascii="Times New Roman" w:hAnsi="Times New Roman"/>
          <w:color w:val="231F20"/>
          <w:sz w:val="13"/>
        </w:rPr>
        <w:t>C.A. López Orona </w:t>
      </w:r>
      <w:r>
        <w:rPr>
          <w:rFonts w:ascii="Times New Roman" w:hAnsi="Times New Roman"/>
          <w:i/>
          <w:color w:val="231F20"/>
          <w:sz w:val="13"/>
        </w:rPr>
        <w:t>et</w:t>
      </w:r>
      <w:r>
        <w:rPr>
          <w:rFonts w:ascii="Times New Roman" w:hAnsi="Times New Roman"/>
          <w:i/>
          <w:color w:val="231F20"/>
          <w:spacing w:val="-6"/>
          <w:sz w:val="13"/>
        </w:rPr>
        <w:t> </w:t>
      </w:r>
      <w:r>
        <w:rPr>
          <w:rFonts w:ascii="Times New Roman" w:hAnsi="Times New Roman"/>
          <w:i/>
          <w:color w:val="231F20"/>
          <w:sz w:val="13"/>
        </w:rPr>
        <w:t>al.</w:t>
      </w:r>
    </w:p>
    <w:p>
      <w:pPr>
        <w:pStyle w:val="BodyText"/>
        <w:rPr>
          <w:rFonts w:ascii="Times New Roman"/>
          <w:i/>
          <w:sz w:val="22"/>
        </w:rPr>
      </w:pPr>
    </w:p>
    <w:p>
      <w:pPr>
        <w:spacing w:line="138" w:lineRule="exact" w:before="94"/>
        <w:ind w:left="3257" w:right="2173" w:hanging="737"/>
        <w:jc w:val="left"/>
        <w:rPr>
          <w:rFonts w:ascii="Times New Roman"/>
          <w:sz w:val="13"/>
        </w:rPr>
      </w:pPr>
      <w:r>
        <w:rPr/>
        <w:pict>
          <v:group style="position:absolute;margin-left:199.007706pt;margin-top:23.091633pt;width:214pt;height:.4pt;mso-position-horizontal-relative:page;mso-position-vertical-relative:paragraph;z-index:1408" coordorigin="3980,462" coordsize="4280,8">
            <v:line style="position:absolute" from="3984,466" to="5290,466" stroked="true" strokeweight=".361016pt" strokecolor="#231f20"/>
            <v:line style="position:absolute" from="5290,466" to="5941,466" stroked="true" strokeweight=".361016pt" strokecolor="#231f20"/>
            <v:line style="position:absolute" from="5941,466" to="6780,466" stroked="true" strokeweight=".361016pt" strokecolor="#231f20"/>
            <v:line style="position:absolute" from="6780,466" to="7409,466" stroked="true" strokeweight=".361016pt" strokecolor="#231f20"/>
            <v:line style="position:absolute" from="7409,466" to="8256,466" stroked="true" strokeweight=".361016pt" strokecolor="#231f20"/>
            <w10:wrap type="none"/>
          </v:group>
        </w:pict>
      </w:r>
      <w:r>
        <w:rPr>
          <w:rFonts w:ascii="Times New Roman"/>
          <w:b/>
          <w:color w:val="231F20"/>
          <w:sz w:val="13"/>
        </w:rPr>
        <w:t>CUADRO I. </w:t>
      </w:r>
      <w:r>
        <w:rPr>
          <w:rFonts w:ascii="Times New Roman"/>
          <w:color w:val="231F20"/>
          <w:sz w:val="13"/>
        </w:rPr>
        <w:t>PROPIEDADES DE LOS FUNGICIDAS UTILIZADOS EN EL CULTIVO DE PAPA.</w:t>
      </w:r>
    </w:p>
    <w:p>
      <w:pPr>
        <w:spacing w:after="0" w:line="138" w:lineRule="exact"/>
        <w:jc w:val="left"/>
        <w:rPr>
          <w:rFonts w:ascii="Times New Roman"/>
          <w:sz w:val="13"/>
        </w:rPr>
        <w:sectPr>
          <w:footerReference w:type="default" r:id="rId40"/>
          <w:pgSz w:w="12240" w:h="15840"/>
          <w:pgMar w:footer="740" w:header="719" w:top="1260" w:bottom="920" w:left="1460" w:right="1440"/>
        </w:sectPr>
      </w:pPr>
    </w:p>
    <w:p>
      <w:pPr>
        <w:pStyle w:val="BodyText"/>
        <w:spacing w:before="7"/>
        <w:rPr>
          <w:rFonts w:ascii="Times New Roman"/>
          <w:sz w:val="12"/>
        </w:rPr>
      </w:pPr>
    </w:p>
    <w:p>
      <w:pPr>
        <w:tabs>
          <w:tab w:pos="1498" w:val="left" w:leader="none"/>
        </w:tabs>
        <w:spacing w:line="143" w:lineRule="exact" w:before="1"/>
        <w:ind w:left="0" w:right="86" w:firstLine="0"/>
        <w:jc w:val="right"/>
        <w:rPr>
          <w:rFonts w:ascii="Times New Roman"/>
          <w:sz w:val="13"/>
        </w:rPr>
      </w:pPr>
      <w:r>
        <w:rPr>
          <w:rFonts w:ascii="Times New Roman"/>
          <w:color w:val="231F20"/>
          <w:sz w:val="13"/>
        </w:rPr>
        <w:t>Grupo</w:t>
        <w:tab/>
      </w:r>
      <w:r>
        <w:rPr>
          <w:rFonts w:ascii="Times New Roman"/>
          <w:color w:val="231F20"/>
          <w:spacing w:val="-1"/>
          <w:sz w:val="13"/>
        </w:rPr>
        <w:t>KOC</w:t>
      </w:r>
    </w:p>
    <w:p>
      <w:pPr>
        <w:spacing w:line="145" w:lineRule="exact" w:before="0"/>
        <w:ind w:left="0" w:right="0" w:firstLine="0"/>
        <w:jc w:val="right"/>
        <w:rPr>
          <w:rFonts w:ascii="Times New Roman" w:hAnsi="Times New Roman"/>
          <w:sz w:val="13"/>
        </w:rPr>
      </w:pPr>
      <w:r>
        <w:rPr/>
        <w:pict>
          <v:group style="position:absolute;margin-left:199.007706pt;margin-top:9.7568pt;width:214pt;height:.4pt;mso-position-horizontal-relative:page;mso-position-vertical-relative:paragraph;z-index:1432" coordorigin="3980,195" coordsize="4280,8">
            <v:line style="position:absolute" from="3984,199" to="5290,199" stroked="true" strokeweight=".361016pt" strokecolor="#231f20"/>
            <v:line style="position:absolute" from="5290,199" to="5941,199" stroked="true" strokeweight=".361016pt" strokecolor="#231f20"/>
            <v:line style="position:absolute" from="5941,199" to="6780,199" stroked="true" strokeweight=".361016pt" strokecolor="#231f20"/>
            <v:line style="position:absolute" from="6780,199" to="7409,199" stroked="true" strokeweight=".361016pt" strokecolor="#231f20"/>
            <v:line style="position:absolute" from="7409,199" to="8256,199" stroked="true" strokeweight=".361016pt" strokecolor="#231f20"/>
            <w10:wrap type="none"/>
          </v:group>
        </w:pict>
      </w:r>
      <w:r>
        <w:rPr>
          <w:rFonts w:ascii="Times New Roman" w:hAnsi="Times New Roman"/>
          <w:color w:val="231F20"/>
          <w:sz w:val="13"/>
        </w:rPr>
        <w:t>(mL g</w:t>
      </w:r>
      <w:r>
        <w:rPr>
          <w:rFonts w:ascii="Times New Roman" w:hAnsi="Times New Roman"/>
          <w:color w:val="231F20"/>
          <w:position w:val="4"/>
          <w:sz w:val="9"/>
        </w:rPr>
        <w:t>–1</w:t>
      </w:r>
      <w:r>
        <w:rPr>
          <w:rFonts w:ascii="Times New Roman" w:hAnsi="Times New Roman"/>
          <w:color w:val="231F20"/>
          <w:sz w:val="13"/>
        </w:rPr>
        <w:t>)</w:t>
      </w:r>
    </w:p>
    <w:p>
      <w:pPr>
        <w:pStyle w:val="BodyText"/>
        <w:spacing w:before="7"/>
        <w:rPr>
          <w:rFonts w:ascii="Times New Roman"/>
          <w:sz w:val="13"/>
        </w:rPr>
      </w:pPr>
      <w:r>
        <w:rPr/>
        <w:br w:type="column"/>
      </w:r>
      <w:r>
        <w:rPr>
          <w:rFonts w:ascii="Times New Roman"/>
          <w:sz w:val="13"/>
        </w:rPr>
      </w:r>
    </w:p>
    <w:p>
      <w:pPr>
        <w:spacing w:line="138" w:lineRule="exact" w:before="0"/>
        <w:ind w:left="254" w:right="-19" w:firstLine="145"/>
        <w:jc w:val="left"/>
        <w:rPr>
          <w:rFonts w:ascii="Times New Roman" w:hAnsi="Times New Roman"/>
          <w:sz w:val="13"/>
        </w:rPr>
      </w:pPr>
      <w:r>
        <w:rPr>
          <w:rFonts w:ascii="Times New Roman" w:hAnsi="Times New Roman"/>
          <w:color w:val="231F20"/>
          <w:sz w:val="13"/>
        </w:rPr>
        <w:t>Kd (mL</w:t>
      </w:r>
      <w:r>
        <w:rPr>
          <w:rFonts w:ascii="Times New Roman" w:hAnsi="Times New Roman"/>
          <w:color w:val="231F20"/>
          <w:spacing w:val="-5"/>
          <w:sz w:val="13"/>
        </w:rPr>
        <w:t> </w:t>
      </w:r>
      <w:r>
        <w:rPr>
          <w:rFonts w:ascii="Times New Roman" w:hAnsi="Times New Roman"/>
          <w:color w:val="231F20"/>
          <w:sz w:val="13"/>
        </w:rPr>
        <w:t>g</w:t>
      </w:r>
      <w:r>
        <w:rPr>
          <w:rFonts w:ascii="Times New Roman" w:hAnsi="Times New Roman"/>
          <w:color w:val="231F20"/>
          <w:position w:val="4"/>
          <w:sz w:val="9"/>
        </w:rPr>
        <w:t>–1</w:t>
      </w:r>
      <w:r>
        <w:rPr>
          <w:rFonts w:ascii="Times New Roman" w:hAnsi="Times New Roman"/>
          <w:color w:val="231F20"/>
          <w:sz w:val="13"/>
        </w:rPr>
        <w:t>)</w:t>
      </w:r>
    </w:p>
    <w:p>
      <w:pPr>
        <w:pStyle w:val="BodyText"/>
        <w:spacing w:before="7"/>
        <w:rPr>
          <w:rFonts w:ascii="Times New Roman"/>
          <w:sz w:val="13"/>
        </w:rPr>
      </w:pPr>
      <w:r>
        <w:rPr/>
        <w:br w:type="column"/>
      </w:r>
      <w:r>
        <w:rPr>
          <w:rFonts w:ascii="Times New Roman"/>
          <w:sz w:val="13"/>
        </w:rPr>
      </w:r>
    </w:p>
    <w:p>
      <w:pPr>
        <w:tabs>
          <w:tab w:pos="956" w:val="left" w:leader="none"/>
        </w:tabs>
        <w:spacing w:line="138" w:lineRule="exact" w:before="0"/>
        <w:ind w:left="868" w:right="2620" w:hanging="593"/>
        <w:jc w:val="left"/>
        <w:rPr>
          <w:rFonts w:ascii="Times New Roman" w:hAnsi="Times New Roman"/>
          <w:sz w:val="9"/>
        </w:rPr>
      </w:pPr>
      <w:r>
        <w:rPr>
          <w:rFonts w:ascii="Times New Roman" w:hAnsi="Times New Roman"/>
          <w:color w:val="231F20"/>
          <w:sz w:val="13"/>
        </w:rPr>
        <w:t>t1/2 (d)</w:t>
        <w:tab/>
        <w:tab/>
        <w:t>Categoría toxicológica</w:t>
      </w:r>
      <w:r>
        <w:rPr>
          <w:rFonts w:ascii="Times New Roman" w:hAnsi="Times New Roman"/>
          <w:color w:val="231F20"/>
          <w:position w:val="4"/>
          <w:sz w:val="9"/>
        </w:rPr>
        <w:t>a</w:t>
      </w:r>
    </w:p>
    <w:p>
      <w:pPr>
        <w:spacing w:after="0" w:line="138" w:lineRule="exact"/>
        <w:jc w:val="left"/>
        <w:rPr>
          <w:rFonts w:ascii="Times New Roman" w:hAnsi="Times New Roman"/>
          <w:sz w:val="9"/>
        </w:rPr>
        <w:sectPr>
          <w:type w:val="continuous"/>
          <w:pgSz w:w="12240" w:h="15840"/>
          <w:pgMar w:top="1500" w:bottom="1820" w:left="1460" w:right="1440"/>
          <w:cols w:num="3" w:equalWidth="0">
            <w:col w:w="4382" w:space="40"/>
            <w:col w:w="705" w:space="40"/>
            <w:col w:w="4173"/>
          </w:cols>
        </w:sectPr>
      </w:pPr>
    </w:p>
    <w:p>
      <w:pPr>
        <w:tabs>
          <w:tab w:pos="4038" w:val="left" w:leader="none"/>
          <w:tab w:pos="4815" w:val="left" w:leader="none"/>
          <w:tab w:pos="5419" w:val="left" w:leader="none"/>
          <w:tab w:pos="6445" w:val="right" w:leader="none"/>
        </w:tabs>
        <w:spacing w:line="152" w:lineRule="exact" w:before="101"/>
        <w:ind w:left="2520" w:right="0" w:firstLine="0"/>
        <w:jc w:val="left"/>
        <w:rPr>
          <w:rFonts w:ascii="Times New Roman" w:hAnsi="Times New Roman"/>
          <w:sz w:val="13"/>
        </w:rPr>
      </w:pPr>
      <w:r>
        <w:rPr>
          <w:rFonts w:ascii="Times New Roman" w:hAnsi="Times New Roman"/>
          <w:color w:val="231F20"/>
          <w:sz w:val="13"/>
        </w:rPr>
        <w:t>Aromático</w:t>
      </w:r>
      <w:r>
        <w:rPr>
          <w:rFonts w:ascii="Times New Roman" w:hAnsi="Times New Roman"/>
          <w:color w:val="231F20"/>
          <w:spacing w:val="-3"/>
          <w:sz w:val="13"/>
        </w:rPr>
        <w:t> </w:t>
      </w:r>
      <w:r>
        <w:rPr>
          <w:rFonts w:ascii="Times New Roman" w:hAnsi="Times New Roman"/>
          <w:color w:val="231F20"/>
          <w:sz w:val="13"/>
        </w:rPr>
        <w:t>policlorados</w:t>
        <w:tab/>
        <w:t>980</w:t>
      </w:r>
      <w:r>
        <w:rPr>
          <w:rFonts w:ascii="Times New Roman" w:hAnsi="Times New Roman"/>
          <w:color w:val="231F20"/>
          <w:position w:val="4"/>
          <w:sz w:val="9"/>
        </w:rPr>
        <w:t>c</w:t>
        <w:tab/>
      </w:r>
      <w:r>
        <w:rPr>
          <w:rFonts w:ascii="Times New Roman" w:hAnsi="Times New Roman"/>
          <w:color w:val="231F20"/>
          <w:sz w:val="13"/>
        </w:rPr>
        <w:t>25</w:t>
      </w:r>
      <w:r>
        <w:rPr>
          <w:rFonts w:ascii="Times New Roman" w:hAnsi="Times New Roman"/>
          <w:color w:val="231F20"/>
          <w:position w:val="4"/>
          <w:sz w:val="9"/>
        </w:rPr>
        <w:t>c</w:t>
        <w:tab/>
      </w:r>
      <w:r>
        <w:rPr>
          <w:rFonts w:ascii="Times New Roman" w:hAnsi="Times New Roman"/>
          <w:color w:val="231F20"/>
          <w:sz w:val="13"/>
        </w:rPr>
        <w:t>45 – 90</w:t>
      </w:r>
      <w:r>
        <w:rPr>
          <w:rFonts w:ascii="Times New Roman" w:hAnsi="Times New Roman"/>
          <w:color w:val="231F20"/>
          <w:position w:val="4"/>
          <w:sz w:val="9"/>
        </w:rPr>
        <w:t>c</w:t>
      </w:r>
      <w:r>
        <w:rPr>
          <w:rFonts w:ascii="Times New Roman" w:hAnsi="Times New Roman"/>
          <w:color w:val="231F20"/>
          <w:sz w:val="13"/>
        </w:rPr>
        <w:tab/>
        <w:t>IV</w:t>
      </w:r>
    </w:p>
    <w:p>
      <w:pPr>
        <w:tabs>
          <w:tab w:pos="4021" w:val="left" w:leader="none"/>
          <w:tab w:pos="4533" w:val="left" w:leader="none"/>
          <w:tab w:pos="6445" w:val="right" w:leader="none"/>
        </w:tabs>
        <w:spacing w:line="152" w:lineRule="exact" w:before="0"/>
        <w:ind w:left="2520" w:right="0" w:firstLine="0"/>
        <w:jc w:val="left"/>
        <w:rPr>
          <w:rFonts w:ascii="Times New Roman" w:hAnsi="Times New Roman"/>
          <w:sz w:val="13"/>
        </w:rPr>
      </w:pPr>
      <w:r>
        <w:rPr>
          <w:rFonts w:ascii="Times New Roman" w:hAnsi="Times New Roman"/>
          <w:color w:val="231F20"/>
          <w:sz w:val="13"/>
        </w:rPr>
        <w:t>Fenilamidas</w:t>
        <w:tab/>
        <w:t>0.42</w:t>
      </w:r>
      <w:r>
        <w:rPr>
          <w:rFonts w:ascii="Times New Roman" w:hAnsi="Times New Roman"/>
          <w:color w:val="231F20"/>
          <w:position w:val="4"/>
          <w:sz w:val="9"/>
        </w:rPr>
        <w:t>c</w:t>
        <w:tab/>
      </w:r>
      <w:r>
        <w:rPr>
          <w:rFonts w:ascii="Times New Roman" w:hAnsi="Times New Roman"/>
          <w:color w:val="231F20"/>
          <w:sz w:val="13"/>
        </w:rPr>
        <w:t>0.177 - 0.843</w:t>
      </w:r>
      <w:r>
        <w:rPr>
          <w:rFonts w:ascii="Times New Roman" w:hAnsi="Times New Roman"/>
          <w:color w:val="231F20"/>
          <w:position w:val="4"/>
          <w:sz w:val="9"/>
        </w:rPr>
        <w:t>c     </w:t>
      </w:r>
      <w:r>
        <w:rPr>
          <w:rFonts w:ascii="Times New Roman" w:hAnsi="Times New Roman"/>
          <w:color w:val="231F20"/>
          <w:sz w:val="13"/>
        </w:rPr>
        <w:t>48</w:t>
      </w:r>
      <w:r>
        <w:rPr>
          <w:rFonts w:ascii="Times New Roman" w:hAnsi="Times New Roman"/>
          <w:color w:val="231F20"/>
          <w:spacing w:val="6"/>
          <w:sz w:val="13"/>
        </w:rPr>
        <w:t> </w:t>
      </w:r>
      <w:r>
        <w:rPr>
          <w:rFonts w:ascii="Times New Roman" w:hAnsi="Times New Roman"/>
          <w:color w:val="231F20"/>
          <w:sz w:val="13"/>
        </w:rPr>
        <w:t>– 100</w:t>
      </w:r>
      <w:r>
        <w:rPr>
          <w:rFonts w:ascii="Times New Roman" w:hAnsi="Times New Roman"/>
          <w:color w:val="231F20"/>
          <w:position w:val="4"/>
          <w:sz w:val="9"/>
        </w:rPr>
        <w:t>c</w:t>
      </w:r>
      <w:r>
        <w:rPr>
          <w:rFonts w:ascii="Times New Roman" w:hAnsi="Times New Roman"/>
          <w:color w:val="231F20"/>
          <w:sz w:val="13"/>
        </w:rPr>
        <w:tab/>
        <w:t>IV</w:t>
      </w:r>
    </w:p>
    <w:p>
      <w:pPr>
        <w:tabs>
          <w:tab w:pos="3908" w:val="left" w:leader="none"/>
          <w:tab w:pos="5546" w:val="left" w:leader="none"/>
          <w:tab w:pos="6418" w:val="right" w:leader="none"/>
        </w:tabs>
        <w:spacing w:line="152" w:lineRule="exact" w:before="0"/>
        <w:ind w:left="2520" w:right="0" w:firstLine="0"/>
        <w:jc w:val="left"/>
        <w:rPr>
          <w:rFonts w:ascii="Times New Roman" w:hAnsi="Times New Roman"/>
          <w:sz w:val="13"/>
        </w:rPr>
      </w:pPr>
      <w:r>
        <w:rPr>
          <w:rFonts w:ascii="Times New Roman" w:hAnsi="Times New Roman"/>
          <w:color w:val="231F20"/>
          <w:sz w:val="13"/>
        </w:rPr>
        <w:t>Carbamatos</w:t>
        <w:tab/>
        <w:t>10 – 160</w:t>
      </w:r>
      <w:r>
        <w:rPr>
          <w:rFonts w:ascii="Times New Roman" w:hAnsi="Times New Roman"/>
          <w:color w:val="231F20"/>
          <w:position w:val="4"/>
          <w:sz w:val="9"/>
        </w:rPr>
        <w:t>c         </w:t>
      </w:r>
      <w:r>
        <w:rPr>
          <w:rFonts w:ascii="Times New Roman" w:hAnsi="Times New Roman"/>
          <w:color w:val="231F20"/>
          <w:sz w:val="13"/>
        </w:rPr>
        <w:t>0.07</w:t>
      </w:r>
      <w:r>
        <w:rPr>
          <w:rFonts w:ascii="Times New Roman" w:hAnsi="Times New Roman"/>
          <w:color w:val="231F20"/>
          <w:spacing w:val="-7"/>
          <w:sz w:val="13"/>
        </w:rPr>
        <w:t> </w:t>
      </w:r>
      <w:r>
        <w:rPr>
          <w:rFonts w:ascii="Times New Roman" w:hAnsi="Times New Roman"/>
          <w:color w:val="231F20"/>
          <w:sz w:val="13"/>
        </w:rPr>
        <w:t>- 8.74</w:t>
      </w:r>
      <w:r>
        <w:rPr>
          <w:rFonts w:ascii="Times New Roman" w:hAnsi="Times New Roman"/>
          <w:color w:val="231F20"/>
          <w:position w:val="4"/>
          <w:sz w:val="9"/>
        </w:rPr>
        <w:t>c</w:t>
        <w:tab/>
      </w:r>
      <w:r>
        <w:rPr>
          <w:rFonts w:ascii="Times New Roman" w:hAnsi="Times New Roman"/>
          <w:color w:val="231F20"/>
          <w:sz w:val="13"/>
        </w:rPr>
        <w:t>29</w:t>
      </w:r>
      <w:r>
        <w:rPr>
          <w:rFonts w:ascii="Times New Roman" w:hAnsi="Times New Roman"/>
          <w:color w:val="231F20"/>
          <w:position w:val="4"/>
          <w:sz w:val="9"/>
        </w:rPr>
        <w:t>b</w:t>
      </w:r>
      <w:r>
        <w:rPr>
          <w:rFonts w:ascii="Times New Roman" w:hAnsi="Times New Roman"/>
          <w:color w:val="231F20"/>
          <w:sz w:val="13"/>
        </w:rPr>
        <w:tab/>
        <w:t>II</w:t>
      </w:r>
    </w:p>
    <w:p>
      <w:pPr>
        <w:tabs>
          <w:tab w:pos="4068" w:val="left" w:leader="none"/>
          <w:tab w:pos="4814" w:val="left" w:leader="none"/>
          <w:tab w:pos="5549" w:val="left" w:leader="none"/>
          <w:tab w:pos="6445" w:val="right" w:leader="none"/>
        </w:tabs>
        <w:spacing w:line="152" w:lineRule="exact" w:before="0"/>
        <w:ind w:left="2520" w:right="0" w:firstLine="0"/>
        <w:jc w:val="left"/>
        <w:rPr>
          <w:rFonts w:ascii="Times New Roman"/>
          <w:sz w:val="13"/>
        </w:rPr>
      </w:pPr>
      <w:r>
        <w:rPr>
          <w:rFonts w:ascii="Times New Roman"/>
          <w:color w:val="231F20"/>
          <w:sz w:val="13"/>
        </w:rPr>
        <w:t>Carboxamidas</w:t>
        <w:tab/>
        <w:t>97</w:t>
      </w:r>
      <w:r>
        <w:rPr>
          <w:rFonts w:ascii="Times New Roman"/>
          <w:color w:val="231F20"/>
          <w:position w:val="4"/>
          <w:sz w:val="9"/>
        </w:rPr>
        <w:t>b</w:t>
        <w:tab/>
      </w:r>
      <w:r>
        <w:rPr>
          <w:rFonts w:ascii="Times New Roman"/>
          <w:color w:val="231F20"/>
          <w:sz w:val="13"/>
        </w:rPr>
        <w:t>Ind</w:t>
        <w:tab/>
        <w:t>14</w:t>
      </w:r>
      <w:r>
        <w:rPr>
          <w:rFonts w:ascii="Times New Roman"/>
          <w:color w:val="231F20"/>
          <w:position w:val="4"/>
          <w:sz w:val="9"/>
        </w:rPr>
        <w:t>c</w:t>
      </w:r>
      <w:r>
        <w:rPr>
          <w:rFonts w:ascii="Times New Roman"/>
          <w:color w:val="231F20"/>
          <w:sz w:val="13"/>
        </w:rPr>
        <w:tab/>
        <w:t>IV</w:t>
      </w:r>
    </w:p>
    <w:p>
      <w:pPr>
        <w:tabs>
          <w:tab w:pos="4035" w:val="left" w:leader="none"/>
          <w:tab w:pos="4796" w:val="left" w:leader="none"/>
          <w:tab w:pos="5484" w:val="left" w:leader="none"/>
          <w:tab w:pos="6445" w:val="right" w:leader="none"/>
        </w:tabs>
        <w:spacing w:line="152" w:lineRule="exact" w:before="0"/>
        <w:ind w:left="2520" w:right="0" w:firstLine="0"/>
        <w:jc w:val="left"/>
        <w:rPr>
          <w:rFonts w:ascii="Times New Roman" w:hAnsi="Times New Roman"/>
          <w:sz w:val="13"/>
        </w:rPr>
      </w:pPr>
      <w:r>
        <w:rPr>
          <w:rFonts w:ascii="Times New Roman" w:hAnsi="Times New Roman"/>
          <w:color w:val="231F20"/>
          <w:sz w:val="13"/>
        </w:rPr>
        <w:t>Ditiocarbamato</w:t>
        <w:tab/>
        <w:t>998</w:t>
      </w:r>
      <w:r>
        <w:rPr>
          <w:rFonts w:ascii="Times New Roman" w:hAnsi="Times New Roman"/>
          <w:color w:val="231F20"/>
          <w:position w:val="4"/>
          <w:sz w:val="9"/>
        </w:rPr>
        <w:t>b</w:t>
        <w:tab/>
      </w:r>
      <w:r>
        <w:rPr>
          <w:rFonts w:ascii="Times New Roman" w:hAnsi="Times New Roman"/>
          <w:color w:val="231F20"/>
          <w:sz w:val="13"/>
        </w:rPr>
        <w:t>9.7</w:t>
      </w:r>
      <w:r>
        <w:rPr>
          <w:rFonts w:ascii="Times New Roman" w:hAnsi="Times New Roman"/>
          <w:color w:val="231F20"/>
          <w:position w:val="4"/>
          <w:sz w:val="9"/>
        </w:rPr>
        <w:t>b</w:t>
        <w:tab/>
      </w:r>
      <w:r>
        <w:rPr>
          <w:rFonts w:ascii="Times New Roman" w:hAnsi="Times New Roman"/>
          <w:color w:val="231F20"/>
          <w:sz w:val="13"/>
        </w:rPr>
        <w:t>1 – 7</w:t>
      </w:r>
      <w:r>
        <w:rPr>
          <w:rFonts w:ascii="Times New Roman" w:hAnsi="Times New Roman"/>
          <w:color w:val="231F20"/>
          <w:position w:val="4"/>
          <w:sz w:val="9"/>
        </w:rPr>
        <w:t>c</w:t>
      </w:r>
      <w:r>
        <w:rPr>
          <w:rFonts w:ascii="Times New Roman" w:hAnsi="Times New Roman"/>
          <w:color w:val="231F20"/>
          <w:sz w:val="13"/>
        </w:rPr>
        <w:tab/>
        <w:t>IV</w:t>
      </w:r>
    </w:p>
    <w:p>
      <w:pPr>
        <w:tabs>
          <w:tab w:pos="4068" w:val="left" w:leader="none"/>
          <w:tab w:pos="4814" w:val="left" w:leader="none"/>
          <w:tab w:pos="5546" w:val="left" w:leader="none"/>
          <w:tab w:pos="6445" w:val="right" w:leader="none"/>
        </w:tabs>
        <w:spacing w:line="152" w:lineRule="exact" w:before="0"/>
        <w:ind w:left="2520" w:right="0" w:firstLine="0"/>
        <w:jc w:val="left"/>
        <w:rPr>
          <w:rFonts w:ascii="Times New Roman"/>
          <w:sz w:val="13"/>
        </w:rPr>
      </w:pPr>
      <w:r>
        <w:rPr/>
        <w:pict>
          <v:group style="position:absolute;margin-left:199.007706pt;margin-top:10.078779pt;width:214pt;height:.4pt;mso-position-horizontal-relative:page;mso-position-vertical-relative:paragraph;z-index:1456" coordorigin="3980,202" coordsize="4280,8">
            <v:line style="position:absolute" from="3984,206" to="5290,206" stroked="true" strokeweight=".361016pt" strokecolor="#231f20"/>
            <v:line style="position:absolute" from="5290,206" to="5941,206" stroked="true" strokeweight=".361016pt" strokecolor="#231f20"/>
            <v:line style="position:absolute" from="5941,206" to="6780,206" stroked="true" strokeweight=".361016pt" strokecolor="#231f20"/>
            <v:line style="position:absolute" from="6780,206" to="7409,206" stroked="true" strokeweight=".361016pt" strokecolor="#231f20"/>
            <v:line style="position:absolute" from="7409,206" to="8256,206" stroked="true" strokeweight=".361016pt" strokecolor="#231f20"/>
            <w10:wrap type="none"/>
          </v:group>
        </w:pict>
      </w:r>
      <w:r>
        <w:rPr>
          <w:rFonts w:ascii="Times New Roman"/>
          <w:color w:val="231F20"/>
          <w:sz w:val="13"/>
        </w:rPr>
        <w:t>Imidazolinona</w:t>
        <w:tab/>
        <w:t>52</w:t>
      </w:r>
      <w:r>
        <w:rPr>
          <w:rFonts w:ascii="Times New Roman"/>
          <w:color w:val="231F20"/>
          <w:position w:val="4"/>
          <w:sz w:val="9"/>
        </w:rPr>
        <w:t>b</w:t>
        <w:tab/>
      </w:r>
      <w:r>
        <w:rPr>
          <w:rFonts w:ascii="Times New Roman"/>
          <w:color w:val="231F20"/>
          <w:sz w:val="13"/>
        </w:rPr>
        <w:t>Ind</w:t>
        <w:tab/>
        <w:t>90</w:t>
      </w:r>
      <w:r>
        <w:rPr>
          <w:rFonts w:ascii="Times New Roman"/>
          <w:color w:val="231F20"/>
          <w:position w:val="4"/>
          <w:sz w:val="9"/>
        </w:rPr>
        <w:t>b</w:t>
      </w:r>
      <w:r>
        <w:rPr>
          <w:rFonts w:ascii="Times New Roman"/>
          <w:color w:val="231F20"/>
          <w:sz w:val="13"/>
        </w:rPr>
        <w:tab/>
        <w:t>IV</w:t>
      </w:r>
    </w:p>
    <w:p>
      <w:pPr>
        <w:spacing w:after="0" w:line="152" w:lineRule="exact"/>
        <w:jc w:val="left"/>
        <w:rPr>
          <w:rFonts w:ascii="Times New Roman"/>
          <w:sz w:val="13"/>
        </w:rPr>
        <w:sectPr>
          <w:type w:val="continuous"/>
          <w:pgSz w:w="12240" w:h="15840"/>
          <w:pgMar w:top="1500" w:bottom="1820" w:left="1460" w:right="1440"/>
        </w:sectPr>
      </w:pPr>
    </w:p>
    <w:p>
      <w:pPr>
        <w:pStyle w:val="BodyText"/>
        <w:spacing w:before="4"/>
        <w:rPr>
          <w:rFonts w:ascii="Times New Roman"/>
          <w:sz w:val="12"/>
        </w:rPr>
      </w:pPr>
    </w:p>
    <w:p>
      <w:pPr>
        <w:spacing w:line="145" w:lineRule="exact" w:before="0"/>
        <w:ind w:left="2520" w:right="0" w:firstLine="0"/>
        <w:jc w:val="left"/>
        <w:rPr>
          <w:rFonts w:ascii="Times New Roman"/>
          <w:sz w:val="13"/>
        </w:rPr>
      </w:pPr>
      <w:r>
        <w:rPr>
          <w:rFonts w:ascii="Times New Roman"/>
          <w:color w:val="231F20"/>
          <w:position w:val="4"/>
          <w:sz w:val="9"/>
        </w:rPr>
        <w:t>a</w:t>
      </w:r>
      <w:r>
        <w:rPr>
          <w:rFonts w:ascii="Times New Roman"/>
          <w:color w:val="231F20"/>
          <w:sz w:val="13"/>
        </w:rPr>
        <w:t>WHO (2009)</w:t>
      </w:r>
    </w:p>
    <w:p>
      <w:pPr>
        <w:spacing w:line="139" w:lineRule="exact" w:before="0"/>
        <w:ind w:left="2520" w:right="0" w:firstLine="0"/>
        <w:jc w:val="left"/>
        <w:rPr>
          <w:rFonts w:ascii="Times New Roman"/>
          <w:sz w:val="13"/>
        </w:rPr>
      </w:pPr>
      <w:r>
        <w:rPr>
          <w:rFonts w:ascii="Times New Roman"/>
          <w:color w:val="231F20"/>
          <w:position w:val="4"/>
          <w:sz w:val="9"/>
        </w:rPr>
        <w:t>b</w:t>
      </w:r>
      <w:r>
        <w:rPr>
          <w:rFonts w:ascii="Times New Roman"/>
          <w:color w:val="231F20"/>
          <w:sz w:val="13"/>
        </w:rPr>
        <w:t>University of Hertfordshire (2007)</w:t>
      </w:r>
    </w:p>
    <w:p>
      <w:pPr>
        <w:spacing w:line="140" w:lineRule="exact" w:before="0"/>
        <w:ind w:left="2520" w:right="0" w:firstLine="0"/>
        <w:jc w:val="left"/>
        <w:rPr>
          <w:rFonts w:ascii="Times New Roman"/>
          <w:sz w:val="13"/>
        </w:rPr>
      </w:pPr>
      <w:r>
        <w:rPr>
          <w:rFonts w:ascii="Times New Roman"/>
          <w:color w:val="231F20"/>
          <w:position w:val="4"/>
          <w:sz w:val="9"/>
        </w:rPr>
        <w:t>c</w:t>
      </w:r>
      <w:r>
        <w:rPr>
          <w:rFonts w:ascii="Times New Roman"/>
          <w:color w:val="231F20"/>
          <w:sz w:val="13"/>
        </w:rPr>
        <w:t>Montgomery (1997)</w:t>
      </w:r>
    </w:p>
    <w:p>
      <w:pPr>
        <w:spacing w:line="144" w:lineRule="exact" w:before="0"/>
        <w:ind w:left="2520" w:right="0" w:firstLine="0"/>
        <w:jc w:val="left"/>
        <w:rPr>
          <w:rFonts w:ascii="Times New Roman" w:hAnsi="Times New Roman"/>
          <w:sz w:val="13"/>
        </w:rPr>
      </w:pPr>
      <w:r>
        <w:rPr>
          <w:rFonts w:ascii="Times New Roman" w:hAnsi="Times New Roman"/>
          <w:color w:val="231F20"/>
          <w:sz w:val="13"/>
        </w:rPr>
        <w:t>Ind = Información no disponible</w:t>
      </w:r>
    </w:p>
    <w:p>
      <w:pPr>
        <w:pStyle w:val="BodyText"/>
        <w:spacing w:before="9"/>
        <w:rPr>
          <w:rFonts w:ascii="Times New Roman"/>
          <w:sz w:val="12"/>
        </w:rPr>
      </w:pPr>
    </w:p>
    <w:p>
      <w:pPr>
        <w:spacing w:line="174" w:lineRule="exact" w:before="0"/>
        <w:ind w:left="1182" w:right="1" w:firstLine="0"/>
        <w:jc w:val="both"/>
        <w:rPr>
          <w:rFonts w:ascii="Times New Roman" w:hAnsi="Times New Roman"/>
          <w:sz w:val="16"/>
        </w:rPr>
      </w:pPr>
      <w:r>
        <w:rPr>
          <w:rFonts w:ascii="Times New Roman" w:hAnsi="Times New Roman"/>
          <w:color w:val="231F20"/>
          <w:sz w:val="16"/>
        </w:rPr>
        <w:t>lo que representa el 60 % de la superficie agrícola analizada,</w:t>
      </w:r>
      <w:r>
        <w:rPr>
          <w:rFonts w:ascii="Times New Roman" w:hAnsi="Times New Roman"/>
          <w:color w:val="231F20"/>
          <w:spacing w:val="-23"/>
          <w:sz w:val="16"/>
        </w:rPr>
        <w:t> </w:t>
      </w:r>
      <w:r>
        <w:rPr>
          <w:rFonts w:ascii="Times New Roman" w:hAnsi="Times New Roman"/>
          <w:color w:val="231F20"/>
          <w:sz w:val="16"/>
        </w:rPr>
        <w:t>en</w:t>
      </w:r>
      <w:r>
        <w:rPr>
          <w:rFonts w:ascii="Times New Roman" w:hAnsi="Times New Roman"/>
          <w:color w:val="231F20"/>
          <w:spacing w:val="-23"/>
          <w:sz w:val="16"/>
        </w:rPr>
        <w:t> </w:t>
      </w:r>
      <w:r>
        <w:rPr>
          <w:rFonts w:ascii="Times New Roman" w:hAnsi="Times New Roman"/>
          <w:color w:val="231F20"/>
          <w:sz w:val="16"/>
        </w:rPr>
        <w:t>el</w:t>
      </w:r>
      <w:r>
        <w:rPr>
          <w:rFonts w:ascii="Times New Roman" w:hAnsi="Times New Roman"/>
          <w:color w:val="231F20"/>
          <w:spacing w:val="-23"/>
          <w:sz w:val="16"/>
        </w:rPr>
        <w:t> </w:t>
      </w:r>
      <w:r>
        <w:rPr>
          <w:rFonts w:ascii="Times New Roman" w:hAnsi="Times New Roman"/>
          <w:color w:val="231F20"/>
          <w:sz w:val="16"/>
        </w:rPr>
        <w:t>28.24</w:t>
      </w:r>
      <w:r>
        <w:rPr>
          <w:rFonts w:ascii="Times New Roman" w:hAnsi="Times New Roman"/>
          <w:color w:val="231F20"/>
          <w:spacing w:val="-23"/>
          <w:sz w:val="16"/>
        </w:rPr>
        <w:t> </w:t>
      </w:r>
      <w:r>
        <w:rPr>
          <w:rFonts w:ascii="Times New Roman" w:hAnsi="Times New Roman"/>
          <w:color w:val="231F20"/>
          <w:sz w:val="16"/>
        </w:rPr>
        <w:t>%</w:t>
      </w:r>
      <w:r>
        <w:rPr>
          <w:rFonts w:ascii="Times New Roman" w:hAnsi="Times New Roman"/>
          <w:color w:val="231F20"/>
          <w:spacing w:val="-23"/>
          <w:sz w:val="16"/>
        </w:rPr>
        <w:t> </w:t>
      </w:r>
      <w:r>
        <w:rPr>
          <w:rFonts w:ascii="Times New Roman" w:hAnsi="Times New Roman"/>
          <w:color w:val="231F20"/>
          <w:sz w:val="16"/>
        </w:rPr>
        <w:t>de</w:t>
      </w:r>
      <w:r>
        <w:rPr>
          <w:rFonts w:ascii="Times New Roman" w:hAnsi="Times New Roman"/>
          <w:color w:val="231F20"/>
          <w:spacing w:val="-23"/>
          <w:sz w:val="16"/>
        </w:rPr>
        <w:t> </w:t>
      </w:r>
      <w:r>
        <w:rPr>
          <w:rFonts w:ascii="Times New Roman" w:hAnsi="Times New Roman"/>
          <w:color w:val="231F20"/>
          <w:sz w:val="16"/>
        </w:rPr>
        <w:t>la</w:t>
      </w:r>
      <w:r>
        <w:rPr>
          <w:rFonts w:ascii="Times New Roman" w:hAnsi="Times New Roman"/>
          <w:color w:val="231F20"/>
          <w:spacing w:val="-23"/>
          <w:sz w:val="16"/>
        </w:rPr>
        <w:t> </w:t>
      </w:r>
      <w:r>
        <w:rPr>
          <w:rFonts w:ascii="Times New Roman" w:hAnsi="Times New Roman"/>
          <w:color w:val="231F20"/>
          <w:sz w:val="16"/>
        </w:rPr>
        <w:t>superficie</w:t>
      </w:r>
      <w:r>
        <w:rPr>
          <w:rFonts w:ascii="Times New Roman" w:hAnsi="Times New Roman"/>
          <w:color w:val="231F20"/>
          <w:spacing w:val="-23"/>
          <w:sz w:val="16"/>
        </w:rPr>
        <w:t> </w:t>
      </w:r>
      <w:r>
        <w:rPr>
          <w:rFonts w:ascii="Times New Roman" w:hAnsi="Times New Roman"/>
          <w:color w:val="231F20"/>
          <w:sz w:val="16"/>
        </w:rPr>
        <w:t>se</w:t>
      </w:r>
      <w:r>
        <w:rPr>
          <w:rFonts w:ascii="Times New Roman" w:hAnsi="Times New Roman"/>
          <w:color w:val="231F20"/>
          <w:spacing w:val="-23"/>
          <w:sz w:val="16"/>
        </w:rPr>
        <w:t> </w:t>
      </w:r>
      <w:r>
        <w:rPr>
          <w:rFonts w:ascii="Times New Roman" w:hAnsi="Times New Roman"/>
          <w:color w:val="231F20"/>
          <w:sz w:val="16"/>
        </w:rPr>
        <w:t>aplican</w:t>
      </w:r>
      <w:r>
        <w:rPr>
          <w:rFonts w:ascii="Times New Roman" w:hAnsi="Times New Roman"/>
          <w:color w:val="231F20"/>
          <w:spacing w:val="-23"/>
          <w:sz w:val="16"/>
        </w:rPr>
        <w:t> </w:t>
      </w:r>
      <w:r>
        <w:rPr>
          <w:rFonts w:ascii="Times New Roman" w:hAnsi="Times New Roman"/>
          <w:color w:val="231F20"/>
          <w:sz w:val="16"/>
        </w:rPr>
        <w:t>los fungicidas en la dosis recomendada y en el</w:t>
      </w:r>
      <w:r>
        <w:rPr>
          <w:rFonts w:ascii="Times New Roman" w:hAnsi="Times New Roman"/>
          <w:color w:val="231F20"/>
          <w:spacing w:val="-4"/>
          <w:sz w:val="16"/>
        </w:rPr>
        <w:t> </w:t>
      </w:r>
      <w:r>
        <w:rPr>
          <w:rFonts w:ascii="Times New Roman" w:hAnsi="Times New Roman"/>
          <w:color w:val="231F20"/>
          <w:sz w:val="16"/>
        </w:rPr>
        <w:t>11.76% se emplean dosis debajo de lo</w:t>
      </w:r>
      <w:r>
        <w:rPr>
          <w:rFonts w:ascii="Times New Roman" w:hAnsi="Times New Roman"/>
          <w:color w:val="231F20"/>
          <w:spacing w:val="-26"/>
          <w:sz w:val="16"/>
        </w:rPr>
        <w:t> </w:t>
      </w:r>
      <w:r>
        <w:rPr>
          <w:rFonts w:ascii="Times New Roman" w:hAnsi="Times New Roman"/>
          <w:color w:val="231F20"/>
          <w:sz w:val="16"/>
        </w:rPr>
        <w:t>recomendado.</w:t>
      </w:r>
    </w:p>
    <w:p>
      <w:pPr>
        <w:spacing w:line="174" w:lineRule="exact" w:before="0"/>
        <w:ind w:left="1182" w:right="0" w:firstLine="204"/>
        <w:jc w:val="both"/>
        <w:rPr>
          <w:rFonts w:ascii="Times New Roman" w:hAnsi="Times New Roman"/>
          <w:sz w:val="16"/>
        </w:rPr>
      </w:pPr>
      <w:r>
        <w:rPr>
          <w:rFonts w:ascii="Times New Roman" w:hAnsi="Times New Roman"/>
          <w:color w:val="231F20"/>
          <w:sz w:val="16"/>
        </w:rPr>
        <w:t>En</w:t>
      </w:r>
      <w:r>
        <w:rPr>
          <w:rFonts w:ascii="Times New Roman" w:hAnsi="Times New Roman"/>
          <w:color w:val="231F20"/>
          <w:spacing w:val="-12"/>
          <w:sz w:val="16"/>
        </w:rPr>
        <w:t> </w:t>
      </w:r>
      <w:r>
        <w:rPr>
          <w:rFonts w:ascii="Times New Roman" w:hAnsi="Times New Roman"/>
          <w:color w:val="231F20"/>
          <w:sz w:val="16"/>
        </w:rPr>
        <w:t>41.4</w:t>
      </w:r>
      <w:r>
        <w:rPr>
          <w:rFonts w:ascii="Times New Roman" w:hAnsi="Times New Roman"/>
          <w:color w:val="231F20"/>
          <w:spacing w:val="-12"/>
          <w:sz w:val="16"/>
        </w:rPr>
        <w:t> </w:t>
      </w:r>
      <w:r>
        <w:rPr>
          <w:rFonts w:ascii="Times New Roman" w:hAnsi="Times New Roman"/>
          <w:color w:val="231F20"/>
          <w:sz w:val="16"/>
        </w:rPr>
        <w:t>ha</w:t>
      </w:r>
      <w:r>
        <w:rPr>
          <w:rFonts w:ascii="Times New Roman" w:hAnsi="Times New Roman"/>
          <w:color w:val="231F20"/>
          <w:spacing w:val="-12"/>
          <w:sz w:val="16"/>
        </w:rPr>
        <w:t> </w:t>
      </w:r>
      <w:r>
        <w:rPr>
          <w:rFonts w:ascii="Times New Roman" w:hAnsi="Times New Roman"/>
          <w:color w:val="231F20"/>
          <w:sz w:val="16"/>
        </w:rPr>
        <w:t>de</w:t>
      </w:r>
      <w:r>
        <w:rPr>
          <w:rFonts w:ascii="Times New Roman" w:hAnsi="Times New Roman"/>
          <w:color w:val="231F20"/>
          <w:spacing w:val="-12"/>
          <w:sz w:val="16"/>
        </w:rPr>
        <w:t> </w:t>
      </w:r>
      <w:r>
        <w:rPr>
          <w:rFonts w:ascii="Times New Roman" w:hAnsi="Times New Roman"/>
          <w:color w:val="231F20"/>
          <w:sz w:val="16"/>
        </w:rPr>
        <w:t>riego</w:t>
      </w:r>
      <w:r>
        <w:rPr>
          <w:rFonts w:ascii="Times New Roman" w:hAnsi="Times New Roman"/>
          <w:color w:val="231F20"/>
          <w:spacing w:val="-12"/>
          <w:sz w:val="16"/>
        </w:rPr>
        <w:t> </w:t>
      </w:r>
      <w:r>
        <w:rPr>
          <w:rFonts w:ascii="Times New Roman" w:hAnsi="Times New Roman"/>
          <w:color w:val="231F20"/>
          <w:sz w:val="16"/>
        </w:rPr>
        <w:t>destinada</w:t>
      </w:r>
      <w:r>
        <w:rPr>
          <w:rFonts w:ascii="Times New Roman" w:hAnsi="Times New Roman"/>
          <w:color w:val="231F20"/>
          <w:spacing w:val="-12"/>
          <w:sz w:val="16"/>
        </w:rPr>
        <w:t> </w:t>
      </w:r>
      <w:r>
        <w:rPr>
          <w:rFonts w:ascii="Times New Roman" w:hAnsi="Times New Roman"/>
          <w:color w:val="231F20"/>
          <w:sz w:val="16"/>
        </w:rPr>
        <w:t>para</w:t>
      </w:r>
      <w:r>
        <w:rPr>
          <w:rFonts w:ascii="Times New Roman" w:hAnsi="Times New Roman"/>
          <w:color w:val="231F20"/>
          <w:spacing w:val="-12"/>
          <w:sz w:val="16"/>
        </w:rPr>
        <w:t> </w:t>
      </w:r>
      <w:r>
        <w:rPr>
          <w:rFonts w:ascii="Times New Roman" w:hAnsi="Times New Roman"/>
          <w:color w:val="231F20"/>
          <w:sz w:val="16"/>
        </w:rPr>
        <w:t>la</w:t>
      </w:r>
      <w:r>
        <w:rPr>
          <w:rFonts w:ascii="Times New Roman" w:hAnsi="Times New Roman"/>
          <w:color w:val="231F20"/>
          <w:spacing w:val="-12"/>
          <w:sz w:val="16"/>
        </w:rPr>
        <w:t> </w:t>
      </w:r>
      <w:r>
        <w:rPr>
          <w:rFonts w:ascii="Times New Roman" w:hAnsi="Times New Roman"/>
          <w:color w:val="231F20"/>
          <w:sz w:val="16"/>
        </w:rPr>
        <w:t>producción de papa (90 % de la superficie de riego analizada), se aplicaron fungicidas sistémicos directamente en el</w:t>
      </w:r>
      <w:r>
        <w:rPr>
          <w:rFonts w:ascii="Times New Roman" w:hAnsi="Times New Roman"/>
          <w:color w:val="231F20"/>
          <w:spacing w:val="-12"/>
          <w:sz w:val="16"/>
        </w:rPr>
        <w:t> </w:t>
      </w:r>
      <w:r>
        <w:rPr>
          <w:rFonts w:ascii="Times New Roman" w:hAnsi="Times New Roman"/>
          <w:color w:val="231F20"/>
          <w:sz w:val="16"/>
        </w:rPr>
        <w:t>suelo</w:t>
      </w:r>
      <w:r>
        <w:rPr>
          <w:rFonts w:ascii="Times New Roman" w:hAnsi="Times New Roman"/>
          <w:color w:val="231F20"/>
          <w:spacing w:val="-12"/>
          <w:sz w:val="16"/>
        </w:rPr>
        <w:t> </w:t>
      </w:r>
      <w:r>
        <w:rPr>
          <w:rFonts w:ascii="Times New Roman" w:hAnsi="Times New Roman"/>
          <w:color w:val="231F20"/>
          <w:sz w:val="16"/>
        </w:rPr>
        <w:t>para</w:t>
      </w:r>
      <w:r>
        <w:rPr>
          <w:rFonts w:ascii="Times New Roman" w:hAnsi="Times New Roman"/>
          <w:color w:val="231F20"/>
          <w:spacing w:val="-12"/>
          <w:sz w:val="16"/>
        </w:rPr>
        <w:t> </w:t>
      </w:r>
      <w:r>
        <w:rPr>
          <w:rFonts w:ascii="Times New Roman" w:hAnsi="Times New Roman"/>
          <w:color w:val="231F20"/>
          <w:sz w:val="16"/>
        </w:rPr>
        <w:t>el</w:t>
      </w:r>
      <w:r>
        <w:rPr>
          <w:rFonts w:ascii="Times New Roman" w:hAnsi="Times New Roman"/>
          <w:color w:val="231F20"/>
          <w:spacing w:val="-12"/>
          <w:sz w:val="16"/>
        </w:rPr>
        <w:t> </w:t>
      </w:r>
      <w:r>
        <w:rPr>
          <w:rFonts w:ascii="Times New Roman" w:hAnsi="Times New Roman"/>
          <w:color w:val="231F20"/>
          <w:sz w:val="16"/>
        </w:rPr>
        <w:t>control</w:t>
      </w:r>
      <w:r>
        <w:rPr>
          <w:rFonts w:ascii="Times New Roman" w:hAnsi="Times New Roman"/>
          <w:color w:val="231F20"/>
          <w:spacing w:val="-12"/>
          <w:sz w:val="16"/>
        </w:rPr>
        <w:t> </w:t>
      </w:r>
      <w:r>
        <w:rPr>
          <w:rFonts w:ascii="Times New Roman" w:hAnsi="Times New Roman"/>
          <w:color w:val="231F20"/>
          <w:sz w:val="16"/>
        </w:rPr>
        <w:t>de</w:t>
      </w:r>
      <w:r>
        <w:rPr>
          <w:rFonts w:ascii="Times New Roman" w:hAnsi="Times New Roman"/>
          <w:color w:val="231F20"/>
          <w:spacing w:val="-12"/>
          <w:sz w:val="16"/>
        </w:rPr>
        <w:t> </w:t>
      </w:r>
      <w:r>
        <w:rPr>
          <w:rFonts w:ascii="Times New Roman" w:hAnsi="Times New Roman"/>
          <w:i/>
          <w:color w:val="231F20"/>
          <w:sz w:val="16"/>
        </w:rPr>
        <w:t>Phytophthora</w:t>
      </w:r>
      <w:r>
        <w:rPr>
          <w:rFonts w:ascii="Times New Roman" w:hAnsi="Times New Roman"/>
          <w:i/>
          <w:color w:val="231F20"/>
          <w:spacing w:val="-12"/>
          <w:sz w:val="16"/>
        </w:rPr>
        <w:t> </w:t>
      </w:r>
      <w:r>
        <w:rPr>
          <w:rFonts w:ascii="Times New Roman" w:hAnsi="Times New Roman"/>
          <w:i/>
          <w:color w:val="231F20"/>
          <w:sz w:val="16"/>
        </w:rPr>
        <w:t>infestans</w:t>
      </w:r>
      <w:r>
        <w:rPr>
          <w:rFonts w:ascii="Times New Roman" w:hAnsi="Times New Roman"/>
          <w:color w:val="231F20"/>
          <w:sz w:val="16"/>
        </w:rPr>
        <w:t>,</w:t>
      </w:r>
      <w:r>
        <w:rPr>
          <w:rFonts w:ascii="Times New Roman" w:hAnsi="Times New Roman"/>
          <w:color w:val="231F20"/>
          <w:spacing w:val="-12"/>
          <w:sz w:val="16"/>
        </w:rPr>
        <w:t> </w:t>
      </w:r>
      <w:r>
        <w:rPr>
          <w:rFonts w:ascii="Times New Roman" w:hAnsi="Times New Roman"/>
          <w:color w:val="231F20"/>
          <w:sz w:val="16"/>
        </w:rPr>
        <w:t>y en</w:t>
      </w:r>
      <w:r>
        <w:rPr>
          <w:rFonts w:ascii="Times New Roman" w:hAnsi="Times New Roman"/>
          <w:color w:val="231F20"/>
          <w:spacing w:val="-7"/>
          <w:sz w:val="16"/>
        </w:rPr>
        <w:t> </w:t>
      </w:r>
      <w:r>
        <w:rPr>
          <w:rFonts w:ascii="Times New Roman" w:hAnsi="Times New Roman"/>
          <w:color w:val="231F20"/>
          <w:sz w:val="16"/>
        </w:rPr>
        <w:t>el</w:t>
      </w:r>
      <w:r>
        <w:rPr>
          <w:rFonts w:ascii="Times New Roman" w:hAnsi="Times New Roman"/>
          <w:color w:val="231F20"/>
          <w:spacing w:val="-7"/>
          <w:sz w:val="16"/>
        </w:rPr>
        <w:t> </w:t>
      </w:r>
      <w:r>
        <w:rPr>
          <w:rFonts w:ascii="Times New Roman" w:hAnsi="Times New Roman"/>
          <w:color w:val="231F20"/>
          <w:sz w:val="16"/>
        </w:rPr>
        <w:t>60</w:t>
      </w:r>
      <w:r>
        <w:rPr>
          <w:rFonts w:ascii="Times New Roman" w:hAnsi="Times New Roman"/>
          <w:color w:val="231F20"/>
          <w:spacing w:val="-7"/>
          <w:sz w:val="16"/>
        </w:rPr>
        <w:t> </w:t>
      </w:r>
      <w:r>
        <w:rPr>
          <w:rFonts w:ascii="Times New Roman" w:hAnsi="Times New Roman"/>
          <w:color w:val="231F20"/>
          <w:sz w:val="16"/>
        </w:rPr>
        <w:t>%</w:t>
      </w:r>
      <w:r>
        <w:rPr>
          <w:rFonts w:ascii="Times New Roman" w:hAnsi="Times New Roman"/>
          <w:color w:val="231F20"/>
          <w:spacing w:val="-7"/>
          <w:sz w:val="16"/>
        </w:rPr>
        <w:t> </w:t>
      </w:r>
      <w:r>
        <w:rPr>
          <w:rFonts w:ascii="Times New Roman" w:hAnsi="Times New Roman"/>
          <w:color w:val="231F20"/>
          <w:sz w:val="16"/>
        </w:rPr>
        <w:t>de</w:t>
      </w:r>
      <w:r>
        <w:rPr>
          <w:rFonts w:ascii="Times New Roman" w:hAnsi="Times New Roman"/>
          <w:color w:val="231F20"/>
          <w:spacing w:val="-7"/>
          <w:sz w:val="16"/>
        </w:rPr>
        <w:t> </w:t>
      </w:r>
      <w:r>
        <w:rPr>
          <w:rFonts w:ascii="Times New Roman" w:hAnsi="Times New Roman"/>
          <w:color w:val="231F20"/>
          <w:sz w:val="16"/>
        </w:rPr>
        <w:t>la</w:t>
      </w:r>
      <w:r>
        <w:rPr>
          <w:rFonts w:ascii="Times New Roman" w:hAnsi="Times New Roman"/>
          <w:color w:val="231F20"/>
          <w:spacing w:val="-7"/>
          <w:sz w:val="16"/>
        </w:rPr>
        <w:t> </w:t>
      </w:r>
      <w:r>
        <w:rPr>
          <w:rFonts w:ascii="Times New Roman" w:hAnsi="Times New Roman"/>
          <w:color w:val="231F20"/>
          <w:sz w:val="16"/>
        </w:rPr>
        <w:t>superficie</w:t>
      </w:r>
      <w:r>
        <w:rPr>
          <w:rFonts w:ascii="Times New Roman" w:hAnsi="Times New Roman"/>
          <w:color w:val="231F20"/>
          <w:spacing w:val="-7"/>
          <w:sz w:val="16"/>
        </w:rPr>
        <w:t> </w:t>
      </w:r>
      <w:r>
        <w:rPr>
          <w:rFonts w:ascii="Times New Roman" w:hAnsi="Times New Roman"/>
          <w:color w:val="231F20"/>
          <w:sz w:val="16"/>
        </w:rPr>
        <w:t>de</w:t>
      </w:r>
      <w:r>
        <w:rPr>
          <w:rFonts w:ascii="Times New Roman" w:hAnsi="Times New Roman"/>
          <w:color w:val="231F20"/>
          <w:spacing w:val="-7"/>
          <w:sz w:val="16"/>
        </w:rPr>
        <w:t> </w:t>
      </w:r>
      <w:r>
        <w:rPr>
          <w:rFonts w:ascii="Times New Roman" w:hAnsi="Times New Roman"/>
          <w:color w:val="231F20"/>
          <w:sz w:val="16"/>
        </w:rPr>
        <w:t>temporal,</w:t>
      </w:r>
      <w:r>
        <w:rPr>
          <w:rFonts w:ascii="Times New Roman" w:hAnsi="Times New Roman"/>
          <w:color w:val="231F20"/>
          <w:spacing w:val="-7"/>
          <w:sz w:val="16"/>
        </w:rPr>
        <w:t> </w:t>
      </w:r>
      <w:r>
        <w:rPr>
          <w:rFonts w:ascii="Times New Roman" w:hAnsi="Times New Roman"/>
          <w:color w:val="231F20"/>
          <w:sz w:val="16"/>
        </w:rPr>
        <w:t>aún</w:t>
      </w:r>
      <w:r>
        <w:rPr>
          <w:rFonts w:ascii="Times New Roman" w:hAnsi="Times New Roman"/>
          <w:color w:val="231F20"/>
          <w:spacing w:val="-7"/>
          <w:sz w:val="16"/>
        </w:rPr>
        <w:t> </w:t>
      </w:r>
      <w:r>
        <w:rPr>
          <w:rFonts w:ascii="Times New Roman" w:hAnsi="Times New Roman"/>
          <w:color w:val="231F20"/>
          <w:sz w:val="16"/>
        </w:rPr>
        <w:t>cuando el</w:t>
      </w:r>
      <w:r>
        <w:rPr>
          <w:rFonts w:ascii="Times New Roman" w:hAnsi="Times New Roman"/>
          <w:color w:val="231F20"/>
          <w:spacing w:val="-6"/>
          <w:sz w:val="16"/>
        </w:rPr>
        <w:t> </w:t>
      </w:r>
      <w:r>
        <w:rPr>
          <w:rFonts w:ascii="Times New Roman" w:hAnsi="Times New Roman"/>
          <w:color w:val="231F20"/>
          <w:sz w:val="16"/>
        </w:rPr>
        <w:t>FRAC</w:t>
      </w:r>
      <w:r>
        <w:rPr>
          <w:rFonts w:ascii="Times New Roman" w:hAnsi="Times New Roman"/>
          <w:color w:val="231F20"/>
          <w:spacing w:val="-6"/>
          <w:sz w:val="16"/>
        </w:rPr>
        <w:t> </w:t>
      </w:r>
      <w:r>
        <w:rPr>
          <w:rFonts w:ascii="Times New Roman" w:hAnsi="Times New Roman"/>
          <w:color w:val="231F20"/>
          <w:sz w:val="16"/>
        </w:rPr>
        <w:t>(2011)</w:t>
      </w:r>
      <w:r>
        <w:rPr>
          <w:rFonts w:ascii="Times New Roman" w:hAnsi="Times New Roman"/>
          <w:color w:val="231F20"/>
          <w:spacing w:val="-6"/>
          <w:sz w:val="16"/>
        </w:rPr>
        <w:t> </w:t>
      </w:r>
      <w:r>
        <w:rPr>
          <w:rFonts w:ascii="Times New Roman" w:hAnsi="Times New Roman"/>
          <w:color w:val="231F20"/>
          <w:sz w:val="16"/>
        </w:rPr>
        <w:t>sugiere</w:t>
      </w:r>
      <w:r>
        <w:rPr>
          <w:rFonts w:ascii="Times New Roman" w:hAnsi="Times New Roman"/>
          <w:color w:val="231F20"/>
          <w:spacing w:val="-6"/>
          <w:sz w:val="16"/>
        </w:rPr>
        <w:t> </w:t>
      </w:r>
      <w:r>
        <w:rPr>
          <w:rFonts w:ascii="Times New Roman" w:hAnsi="Times New Roman"/>
          <w:color w:val="231F20"/>
          <w:sz w:val="16"/>
        </w:rPr>
        <w:t>no</w:t>
      </w:r>
      <w:r>
        <w:rPr>
          <w:rFonts w:ascii="Times New Roman" w:hAnsi="Times New Roman"/>
          <w:color w:val="231F20"/>
          <w:spacing w:val="-6"/>
          <w:sz w:val="16"/>
        </w:rPr>
        <w:t> </w:t>
      </w:r>
      <w:r>
        <w:rPr>
          <w:rFonts w:ascii="Times New Roman" w:hAnsi="Times New Roman"/>
          <w:color w:val="231F20"/>
          <w:sz w:val="16"/>
        </w:rPr>
        <w:t>realizar</w:t>
      </w:r>
      <w:r>
        <w:rPr>
          <w:rFonts w:ascii="Times New Roman" w:hAnsi="Times New Roman"/>
          <w:color w:val="231F20"/>
          <w:spacing w:val="-6"/>
          <w:sz w:val="16"/>
        </w:rPr>
        <w:t> </w:t>
      </w:r>
      <w:r>
        <w:rPr>
          <w:rFonts w:ascii="Times New Roman" w:hAnsi="Times New Roman"/>
          <w:color w:val="231F20"/>
          <w:sz w:val="16"/>
        </w:rPr>
        <w:t>aplicaciones</w:t>
      </w:r>
      <w:r>
        <w:rPr>
          <w:rFonts w:ascii="Times New Roman" w:hAnsi="Times New Roman"/>
          <w:color w:val="231F20"/>
          <w:spacing w:val="-6"/>
          <w:sz w:val="16"/>
        </w:rPr>
        <w:t> </w:t>
      </w:r>
      <w:r>
        <w:rPr>
          <w:rFonts w:ascii="Times New Roman" w:hAnsi="Times New Roman"/>
          <w:color w:val="231F20"/>
          <w:sz w:val="16"/>
        </w:rPr>
        <w:t>de fungicidas</w:t>
      </w:r>
      <w:r>
        <w:rPr>
          <w:rFonts w:ascii="Times New Roman" w:hAnsi="Times New Roman"/>
          <w:color w:val="231F20"/>
          <w:spacing w:val="-6"/>
          <w:sz w:val="16"/>
        </w:rPr>
        <w:t> </w:t>
      </w:r>
      <w:r>
        <w:rPr>
          <w:rFonts w:ascii="Times New Roman" w:hAnsi="Times New Roman"/>
          <w:color w:val="231F20"/>
          <w:sz w:val="16"/>
        </w:rPr>
        <w:t>de</w:t>
      </w:r>
      <w:r>
        <w:rPr>
          <w:rFonts w:ascii="Times New Roman" w:hAnsi="Times New Roman"/>
          <w:color w:val="231F20"/>
          <w:spacing w:val="-6"/>
          <w:sz w:val="16"/>
        </w:rPr>
        <w:t> </w:t>
      </w:r>
      <w:r>
        <w:rPr>
          <w:rFonts w:ascii="Times New Roman" w:hAnsi="Times New Roman"/>
          <w:color w:val="231F20"/>
          <w:sz w:val="16"/>
        </w:rPr>
        <w:t>acción</w:t>
      </w:r>
      <w:r>
        <w:rPr>
          <w:rFonts w:ascii="Times New Roman" w:hAnsi="Times New Roman"/>
          <w:color w:val="231F20"/>
          <w:spacing w:val="-6"/>
          <w:sz w:val="16"/>
        </w:rPr>
        <w:t> </w:t>
      </w:r>
      <w:r>
        <w:rPr>
          <w:rFonts w:ascii="Times New Roman" w:hAnsi="Times New Roman"/>
          <w:color w:val="231F20"/>
          <w:sz w:val="16"/>
        </w:rPr>
        <w:t>sistémica</w:t>
      </w:r>
      <w:r>
        <w:rPr>
          <w:rFonts w:ascii="Times New Roman" w:hAnsi="Times New Roman"/>
          <w:color w:val="231F20"/>
          <w:spacing w:val="-5"/>
          <w:sz w:val="16"/>
        </w:rPr>
        <w:t> </w:t>
      </w:r>
      <w:r>
        <w:rPr>
          <w:rFonts w:ascii="Times New Roman" w:hAnsi="Times New Roman"/>
          <w:color w:val="231F20"/>
          <w:sz w:val="16"/>
        </w:rPr>
        <w:t>en</w:t>
      </w:r>
      <w:r>
        <w:rPr>
          <w:rFonts w:ascii="Times New Roman" w:hAnsi="Times New Roman"/>
          <w:color w:val="231F20"/>
          <w:spacing w:val="-6"/>
          <w:sz w:val="16"/>
        </w:rPr>
        <w:t> </w:t>
      </w:r>
      <w:r>
        <w:rPr>
          <w:rFonts w:ascii="Times New Roman" w:hAnsi="Times New Roman"/>
          <w:color w:val="231F20"/>
          <w:sz w:val="16"/>
        </w:rPr>
        <w:t>suelos</w:t>
      </w:r>
      <w:r>
        <w:rPr>
          <w:rFonts w:ascii="Times New Roman" w:hAnsi="Times New Roman"/>
          <w:color w:val="231F20"/>
          <w:spacing w:val="-5"/>
          <w:sz w:val="16"/>
        </w:rPr>
        <w:t> </w:t>
      </w:r>
      <w:r>
        <w:rPr>
          <w:rFonts w:ascii="Times New Roman" w:hAnsi="Times New Roman"/>
          <w:color w:val="231F20"/>
          <w:sz w:val="16"/>
        </w:rPr>
        <w:t>por</w:t>
      </w:r>
      <w:r>
        <w:rPr>
          <w:rFonts w:ascii="Times New Roman" w:hAnsi="Times New Roman"/>
          <w:color w:val="231F20"/>
          <w:spacing w:val="-6"/>
          <w:sz w:val="16"/>
        </w:rPr>
        <w:t> </w:t>
      </w:r>
      <w:r>
        <w:rPr>
          <w:rFonts w:ascii="Times New Roman" w:hAnsi="Times New Roman"/>
          <w:color w:val="231F20"/>
          <w:sz w:val="16"/>
        </w:rPr>
        <w:t>la</w:t>
      </w:r>
      <w:r>
        <w:rPr>
          <w:rFonts w:ascii="Times New Roman" w:hAnsi="Times New Roman"/>
          <w:color w:val="231F20"/>
          <w:spacing w:val="-6"/>
          <w:sz w:val="16"/>
        </w:rPr>
        <w:t> </w:t>
      </w:r>
      <w:r>
        <w:rPr>
          <w:rFonts w:ascii="Times New Roman" w:hAnsi="Times New Roman"/>
          <w:color w:val="231F20"/>
          <w:sz w:val="16"/>
        </w:rPr>
        <w:t>pre- sión de selección hacia las poblaciones resistentes  a estos. En el caso de la aplicación de fungicidas en follaje, se observaron intervalos de aplicación de siete días en riego y cuatro en temporal con más de</w:t>
      </w:r>
      <w:r>
        <w:rPr>
          <w:rFonts w:ascii="Times New Roman" w:hAnsi="Times New Roman"/>
          <w:color w:val="231F20"/>
          <w:spacing w:val="-7"/>
          <w:sz w:val="16"/>
        </w:rPr>
        <w:t> </w:t>
      </w:r>
      <w:r>
        <w:rPr>
          <w:rFonts w:ascii="Times New Roman" w:hAnsi="Times New Roman"/>
          <w:color w:val="231F20"/>
          <w:sz w:val="16"/>
        </w:rPr>
        <w:t>cuatro</w:t>
      </w:r>
      <w:r>
        <w:rPr>
          <w:rFonts w:ascii="Times New Roman" w:hAnsi="Times New Roman"/>
          <w:color w:val="231F20"/>
          <w:spacing w:val="-7"/>
          <w:sz w:val="16"/>
        </w:rPr>
        <w:t> </w:t>
      </w:r>
      <w:r>
        <w:rPr>
          <w:rFonts w:ascii="Times New Roman" w:hAnsi="Times New Roman"/>
          <w:color w:val="231F20"/>
          <w:sz w:val="16"/>
        </w:rPr>
        <w:t>aplicaciones</w:t>
      </w:r>
      <w:r>
        <w:rPr>
          <w:rFonts w:ascii="Times New Roman" w:hAnsi="Times New Roman"/>
          <w:color w:val="231F20"/>
          <w:spacing w:val="-7"/>
          <w:sz w:val="16"/>
        </w:rPr>
        <w:t> </w:t>
      </w:r>
      <w:r>
        <w:rPr>
          <w:rFonts w:ascii="Times New Roman" w:hAnsi="Times New Roman"/>
          <w:color w:val="231F20"/>
          <w:sz w:val="16"/>
        </w:rPr>
        <w:t>al</w:t>
      </w:r>
      <w:r>
        <w:rPr>
          <w:rFonts w:ascii="Times New Roman" w:hAnsi="Times New Roman"/>
          <w:color w:val="231F20"/>
          <w:spacing w:val="-7"/>
          <w:sz w:val="16"/>
        </w:rPr>
        <w:t> </w:t>
      </w:r>
      <w:r>
        <w:rPr>
          <w:rFonts w:ascii="Times New Roman" w:hAnsi="Times New Roman"/>
          <w:color w:val="231F20"/>
          <w:sz w:val="16"/>
        </w:rPr>
        <w:t>año</w:t>
      </w:r>
      <w:r>
        <w:rPr>
          <w:rFonts w:ascii="Times New Roman" w:hAnsi="Times New Roman"/>
          <w:color w:val="231F20"/>
          <w:spacing w:val="-7"/>
          <w:sz w:val="16"/>
        </w:rPr>
        <w:t> </w:t>
      </w:r>
      <w:r>
        <w:rPr>
          <w:rFonts w:ascii="Times New Roman" w:hAnsi="Times New Roman"/>
          <w:color w:val="231F20"/>
          <w:sz w:val="16"/>
        </w:rPr>
        <w:t>sin</w:t>
      </w:r>
      <w:r>
        <w:rPr>
          <w:rFonts w:ascii="Times New Roman" w:hAnsi="Times New Roman"/>
          <w:color w:val="231F20"/>
          <w:spacing w:val="-7"/>
          <w:sz w:val="16"/>
        </w:rPr>
        <w:t> </w:t>
      </w:r>
      <w:r>
        <w:rPr>
          <w:rFonts w:ascii="Times New Roman" w:hAnsi="Times New Roman"/>
          <w:color w:val="231F20"/>
          <w:sz w:val="16"/>
        </w:rPr>
        <w:t>rotación</w:t>
      </w:r>
      <w:r>
        <w:rPr>
          <w:rFonts w:ascii="Times New Roman" w:hAnsi="Times New Roman"/>
          <w:color w:val="231F20"/>
          <w:spacing w:val="-7"/>
          <w:sz w:val="16"/>
        </w:rPr>
        <w:t> </w:t>
      </w:r>
      <w:r>
        <w:rPr>
          <w:rFonts w:ascii="Times New Roman" w:hAnsi="Times New Roman"/>
          <w:color w:val="231F20"/>
          <w:sz w:val="16"/>
        </w:rPr>
        <w:t>del</w:t>
      </w:r>
      <w:r>
        <w:rPr>
          <w:rFonts w:ascii="Times New Roman" w:hAnsi="Times New Roman"/>
          <w:color w:val="231F20"/>
          <w:spacing w:val="-7"/>
          <w:sz w:val="16"/>
        </w:rPr>
        <w:t> </w:t>
      </w:r>
      <w:r>
        <w:rPr>
          <w:rFonts w:ascii="Times New Roman" w:hAnsi="Times New Roman"/>
          <w:color w:val="231F20"/>
          <w:sz w:val="16"/>
        </w:rPr>
        <w:t>ingre- diente activo, lo cual supera las recomendaciones del FRAC que sugiere intervalos mínimos de diez días y no más de dos aplicaciones al año. Nuestros resultados difieren de los reportados por Grünwald </w:t>
      </w:r>
      <w:r>
        <w:rPr>
          <w:rFonts w:ascii="Times New Roman" w:hAnsi="Times New Roman"/>
          <w:i/>
          <w:color w:val="231F20"/>
          <w:sz w:val="16"/>
        </w:rPr>
        <w:t>et al. </w:t>
      </w:r>
      <w:r>
        <w:rPr>
          <w:rFonts w:ascii="Times New Roman" w:hAnsi="Times New Roman"/>
          <w:color w:val="231F20"/>
          <w:sz w:val="16"/>
        </w:rPr>
        <w:t>(2001), quienes observaron en los años 1997 y 1998, en la misma zona de estudio, variaciones que van de dos a tres aplicaciones de fungicidas por</w:t>
      </w:r>
      <w:r>
        <w:rPr>
          <w:rFonts w:ascii="Times New Roman" w:hAnsi="Times New Roman"/>
          <w:color w:val="231F20"/>
          <w:spacing w:val="-6"/>
          <w:sz w:val="16"/>
        </w:rPr>
        <w:t> </w:t>
      </w:r>
      <w:r>
        <w:rPr>
          <w:rFonts w:ascii="Times New Roman" w:hAnsi="Times New Roman"/>
          <w:color w:val="231F20"/>
          <w:sz w:val="16"/>
        </w:rPr>
        <w:t>temporada</w:t>
      </w:r>
      <w:r>
        <w:rPr>
          <w:rFonts w:ascii="Times New Roman" w:hAnsi="Times New Roman"/>
          <w:color w:val="231F20"/>
          <w:spacing w:val="-6"/>
          <w:sz w:val="16"/>
        </w:rPr>
        <w:t> </w:t>
      </w:r>
      <w:r>
        <w:rPr>
          <w:rFonts w:ascii="Times New Roman" w:hAnsi="Times New Roman"/>
          <w:color w:val="231F20"/>
          <w:sz w:val="16"/>
        </w:rPr>
        <w:t>a</w:t>
      </w:r>
      <w:r>
        <w:rPr>
          <w:rFonts w:ascii="Times New Roman" w:hAnsi="Times New Roman"/>
          <w:color w:val="231F20"/>
          <w:spacing w:val="-6"/>
          <w:sz w:val="16"/>
        </w:rPr>
        <w:t> </w:t>
      </w:r>
      <w:r>
        <w:rPr>
          <w:rFonts w:ascii="Times New Roman" w:hAnsi="Times New Roman"/>
          <w:color w:val="231F20"/>
          <w:sz w:val="16"/>
        </w:rPr>
        <w:t>una</w:t>
      </w:r>
      <w:r>
        <w:rPr>
          <w:rFonts w:ascii="Times New Roman" w:hAnsi="Times New Roman"/>
          <w:color w:val="231F20"/>
          <w:spacing w:val="-6"/>
          <w:sz w:val="16"/>
        </w:rPr>
        <w:t> </w:t>
      </w:r>
      <w:r>
        <w:rPr>
          <w:rFonts w:ascii="Times New Roman" w:hAnsi="Times New Roman"/>
          <w:color w:val="231F20"/>
          <w:sz w:val="16"/>
        </w:rPr>
        <w:t>aplicación</w:t>
      </w:r>
      <w:r>
        <w:rPr>
          <w:rFonts w:ascii="Times New Roman" w:hAnsi="Times New Roman"/>
          <w:color w:val="231F20"/>
          <w:spacing w:val="-6"/>
          <w:sz w:val="16"/>
        </w:rPr>
        <w:t> </w:t>
      </w:r>
      <w:r>
        <w:rPr>
          <w:rFonts w:ascii="Times New Roman" w:hAnsi="Times New Roman"/>
          <w:color w:val="231F20"/>
          <w:sz w:val="16"/>
        </w:rPr>
        <w:t>por</w:t>
      </w:r>
      <w:r>
        <w:rPr>
          <w:rFonts w:ascii="Times New Roman" w:hAnsi="Times New Roman"/>
          <w:color w:val="231F20"/>
          <w:spacing w:val="-6"/>
          <w:sz w:val="16"/>
        </w:rPr>
        <w:t> </w:t>
      </w:r>
      <w:r>
        <w:rPr>
          <w:rFonts w:ascii="Times New Roman" w:hAnsi="Times New Roman"/>
          <w:color w:val="231F20"/>
          <w:sz w:val="16"/>
        </w:rPr>
        <w:t>semana,</w:t>
      </w:r>
      <w:r>
        <w:rPr>
          <w:rFonts w:ascii="Times New Roman" w:hAnsi="Times New Roman"/>
          <w:color w:val="231F20"/>
          <w:spacing w:val="-6"/>
          <w:sz w:val="16"/>
        </w:rPr>
        <w:t> </w:t>
      </w:r>
      <w:r>
        <w:rPr>
          <w:rFonts w:ascii="Times New Roman" w:hAnsi="Times New Roman"/>
          <w:color w:val="231F20"/>
          <w:sz w:val="16"/>
        </w:rPr>
        <w:t>lo</w:t>
      </w:r>
      <w:r>
        <w:rPr>
          <w:rFonts w:ascii="Times New Roman" w:hAnsi="Times New Roman"/>
          <w:color w:val="231F20"/>
          <w:spacing w:val="-6"/>
          <w:sz w:val="16"/>
        </w:rPr>
        <w:t> </w:t>
      </w:r>
      <w:r>
        <w:rPr>
          <w:rFonts w:ascii="Times New Roman" w:hAnsi="Times New Roman"/>
          <w:color w:val="231F20"/>
          <w:sz w:val="16"/>
        </w:rPr>
        <w:t>cual demuestra</w:t>
      </w:r>
      <w:r>
        <w:rPr>
          <w:rFonts w:ascii="Times New Roman" w:hAnsi="Times New Roman"/>
          <w:color w:val="231F20"/>
          <w:spacing w:val="-4"/>
          <w:sz w:val="16"/>
        </w:rPr>
        <w:t> </w:t>
      </w:r>
      <w:r>
        <w:rPr>
          <w:rFonts w:ascii="Times New Roman" w:hAnsi="Times New Roman"/>
          <w:color w:val="231F20"/>
          <w:sz w:val="16"/>
        </w:rPr>
        <w:t>que</w:t>
      </w:r>
      <w:r>
        <w:rPr>
          <w:rFonts w:ascii="Times New Roman" w:hAnsi="Times New Roman"/>
          <w:color w:val="231F20"/>
          <w:spacing w:val="-4"/>
          <w:sz w:val="16"/>
        </w:rPr>
        <w:t> </w:t>
      </w:r>
      <w:r>
        <w:rPr>
          <w:rFonts w:ascii="Times New Roman" w:hAnsi="Times New Roman"/>
          <w:color w:val="231F20"/>
          <w:sz w:val="16"/>
        </w:rPr>
        <w:t>el</w:t>
      </w:r>
      <w:r>
        <w:rPr>
          <w:rFonts w:ascii="Times New Roman" w:hAnsi="Times New Roman"/>
          <w:color w:val="231F20"/>
          <w:spacing w:val="-4"/>
          <w:sz w:val="16"/>
        </w:rPr>
        <w:t> </w:t>
      </w:r>
      <w:r>
        <w:rPr>
          <w:rFonts w:ascii="Times New Roman" w:hAnsi="Times New Roman"/>
          <w:color w:val="231F20"/>
          <w:sz w:val="16"/>
        </w:rPr>
        <w:t>patrón</w:t>
      </w:r>
      <w:r>
        <w:rPr>
          <w:rFonts w:ascii="Times New Roman" w:hAnsi="Times New Roman"/>
          <w:color w:val="231F20"/>
          <w:spacing w:val="-4"/>
          <w:sz w:val="16"/>
        </w:rPr>
        <w:t> </w:t>
      </w:r>
      <w:r>
        <w:rPr>
          <w:rFonts w:ascii="Times New Roman" w:hAnsi="Times New Roman"/>
          <w:color w:val="231F20"/>
          <w:sz w:val="16"/>
        </w:rPr>
        <w:t>de</w:t>
      </w:r>
      <w:r>
        <w:rPr>
          <w:rFonts w:ascii="Times New Roman" w:hAnsi="Times New Roman"/>
          <w:color w:val="231F20"/>
          <w:spacing w:val="-4"/>
          <w:sz w:val="16"/>
        </w:rPr>
        <w:t> </w:t>
      </w:r>
      <w:r>
        <w:rPr>
          <w:rFonts w:ascii="Times New Roman" w:hAnsi="Times New Roman"/>
          <w:color w:val="231F20"/>
          <w:sz w:val="16"/>
        </w:rPr>
        <w:t>uso</w:t>
      </w:r>
      <w:r>
        <w:rPr>
          <w:rFonts w:ascii="Times New Roman" w:hAnsi="Times New Roman"/>
          <w:color w:val="231F20"/>
          <w:spacing w:val="-4"/>
          <w:sz w:val="16"/>
        </w:rPr>
        <w:t> </w:t>
      </w:r>
      <w:r>
        <w:rPr>
          <w:rFonts w:ascii="Times New Roman" w:hAnsi="Times New Roman"/>
          <w:color w:val="231F20"/>
          <w:sz w:val="16"/>
        </w:rPr>
        <w:t>de</w:t>
      </w:r>
      <w:r>
        <w:rPr>
          <w:rFonts w:ascii="Times New Roman" w:hAnsi="Times New Roman"/>
          <w:color w:val="231F20"/>
          <w:spacing w:val="-4"/>
          <w:sz w:val="16"/>
        </w:rPr>
        <w:t> </w:t>
      </w:r>
      <w:r>
        <w:rPr>
          <w:rFonts w:ascii="Times New Roman" w:hAnsi="Times New Roman"/>
          <w:color w:val="231F20"/>
          <w:sz w:val="16"/>
        </w:rPr>
        <w:t>los</w:t>
      </w:r>
      <w:r>
        <w:rPr>
          <w:rFonts w:ascii="Times New Roman" w:hAnsi="Times New Roman"/>
          <w:color w:val="231F20"/>
          <w:spacing w:val="-4"/>
          <w:sz w:val="16"/>
        </w:rPr>
        <w:t> </w:t>
      </w:r>
      <w:r>
        <w:rPr>
          <w:rFonts w:ascii="Times New Roman" w:hAnsi="Times New Roman"/>
          <w:color w:val="231F20"/>
          <w:sz w:val="16"/>
        </w:rPr>
        <w:t>fungicidas</w:t>
      </w:r>
      <w:r>
        <w:rPr>
          <w:rFonts w:ascii="Times New Roman" w:hAnsi="Times New Roman"/>
          <w:color w:val="231F20"/>
          <w:spacing w:val="-4"/>
          <w:sz w:val="16"/>
        </w:rPr>
        <w:t> </w:t>
      </w:r>
      <w:r>
        <w:rPr>
          <w:rFonts w:ascii="Times New Roman" w:hAnsi="Times New Roman"/>
          <w:color w:val="231F20"/>
          <w:sz w:val="16"/>
        </w:rPr>
        <w:t>se ha</w:t>
      </w:r>
      <w:r>
        <w:rPr>
          <w:rFonts w:ascii="Times New Roman" w:hAnsi="Times New Roman"/>
          <w:color w:val="231F20"/>
          <w:spacing w:val="-1"/>
          <w:sz w:val="16"/>
        </w:rPr>
        <w:t> </w:t>
      </w:r>
      <w:r>
        <w:rPr>
          <w:rFonts w:ascii="Times New Roman" w:hAnsi="Times New Roman"/>
          <w:color w:val="231F20"/>
          <w:sz w:val="16"/>
        </w:rPr>
        <w:t>intensificado.</w:t>
      </w:r>
    </w:p>
    <w:p>
      <w:pPr>
        <w:spacing w:line="174" w:lineRule="exact" w:before="0"/>
        <w:ind w:left="1182" w:right="0" w:firstLine="204"/>
        <w:jc w:val="both"/>
        <w:rPr>
          <w:rFonts w:ascii="Times New Roman" w:hAnsi="Times New Roman"/>
          <w:sz w:val="16"/>
        </w:rPr>
      </w:pPr>
      <w:r>
        <w:rPr>
          <w:rFonts w:ascii="Times New Roman" w:hAnsi="Times New Roman"/>
          <w:color w:val="231F20"/>
          <w:sz w:val="16"/>
        </w:rPr>
        <w:t>La</w:t>
      </w:r>
      <w:r>
        <w:rPr>
          <w:rFonts w:ascii="Times New Roman" w:hAnsi="Times New Roman"/>
          <w:color w:val="231F20"/>
          <w:spacing w:val="-26"/>
          <w:sz w:val="16"/>
        </w:rPr>
        <w:t> </w:t>
      </w:r>
      <w:r>
        <w:rPr>
          <w:rFonts w:ascii="Times New Roman" w:hAnsi="Times New Roman"/>
          <w:color w:val="231F20"/>
          <w:sz w:val="16"/>
        </w:rPr>
        <w:t>información</w:t>
      </w:r>
      <w:r>
        <w:rPr>
          <w:rFonts w:ascii="Times New Roman" w:hAnsi="Times New Roman"/>
          <w:color w:val="231F20"/>
          <w:spacing w:val="-26"/>
          <w:sz w:val="16"/>
        </w:rPr>
        <w:t> </w:t>
      </w:r>
      <w:r>
        <w:rPr>
          <w:rFonts w:ascii="Times New Roman" w:hAnsi="Times New Roman"/>
          <w:color w:val="231F20"/>
          <w:sz w:val="16"/>
        </w:rPr>
        <w:t>recopilada</w:t>
      </w:r>
      <w:r>
        <w:rPr>
          <w:rFonts w:ascii="Times New Roman" w:hAnsi="Times New Roman"/>
          <w:color w:val="231F20"/>
          <w:spacing w:val="-26"/>
          <w:sz w:val="16"/>
        </w:rPr>
        <w:t> </w:t>
      </w:r>
      <w:r>
        <w:rPr>
          <w:rFonts w:ascii="Times New Roman" w:hAnsi="Times New Roman"/>
          <w:color w:val="231F20"/>
          <w:sz w:val="16"/>
        </w:rPr>
        <w:t>sobre</w:t>
      </w:r>
      <w:r>
        <w:rPr>
          <w:rFonts w:ascii="Times New Roman" w:hAnsi="Times New Roman"/>
          <w:color w:val="231F20"/>
          <w:spacing w:val="-26"/>
          <w:sz w:val="16"/>
        </w:rPr>
        <w:t> </w:t>
      </w:r>
      <w:r>
        <w:rPr>
          <w:rFonts w:ascii="Times New Roman" w:hAnsi="Times New Roman"/>
          <w:color w:val="231F20"/>
          <w:sz w:val="16"/>
        </w:rPr>
        <w:t>el</w:t>
      </w:r>
      <w:r>
        <w:rPr>
          <w:rFonts w:ascii="Times New Roman" w:hAnsi="Times New Roman"/>
          <w:color w:val="231F20"/>
          <w:spacing w:val="-26"/>
          <w:sz w:val="16"/>
        </w:rPr>
        <w:t> </w:t>
      </w:r>
      <w:r>
        <w:rPr>
          <w:rFonts w:ascii="Times New Roman" w:hAnsi="Times New Roman"/>
          <w:color w:val="231F20"/>
          <w:sz w:val="16"/>
        </w:rPr>
        <w:t>uso</w:t>
      </w:r>
      <w:r>
        <w:rPr>
          <w:rFonts w:ascii="Times New Roman" w:hAnsi="Times New Roman"/>
          <w:color w:val="231F20"/>
          <w:spacing w:val="-26"/>
          <w:sz w:val="16"/>
        </w:rPr>
        <w:t> </w:t>
      </w:r>
      <w:r>
        <w:rPr>
          <w:rFonts w:ascii="Times New Roman" w:hAnsi="Times New Roman"/>
          <w:color w:val="231F20"/>
          <w:sz w:val="16"/>
        </w:rPr>
        <w:t>de</w:t>
      </w:r>
      <w:r>
        <w:rPr>
          <w:rFonts w:ascii="Times New Roman" w:hAnsi="Times New Roman"/>
          <w:color w:val="231F20"/>
          <w:spacing w:val="-26"/>
          <w:sz w:val="16"/>
        </w:rPr>
        <w:t> </w:t>
      </w:r>
      <w:r>
        <w:rPr>
          <w:rFonts w:ascii="Times New Roman" w:hAnsi="Times New Roman"/>
          <w:color w:val="231F20"/>
          <w:sz w:val="16"/>
        </w:rPr>
        <w:t>fungici- das</w:t>
      </w:r>
      <w:r>
        <w:rPr>
          <w:rFonts w:ascii="Times New Roman" w:hAnsi="Times New Roman"/>
          <w:color w:val="231F20"/>
          <w:spacing w:val="-12"/>
          <w:sz w:val="16"/>
        </w:rPr>
        <w:t> </w:t>
      </w:r>
      <w:r>
        <w:rPr>
          <w:rFonts w:ascii="Times New Roman" w:hAnsi="Times New Roman"/>
          <w:color w:val="231F20"/>
          <w:sz w:val="16"/>
        </w:rPr>
        <w:t>para</w:t>
      </w:r>
      <w:r>
        <w:rPr>
          <w:rFonts w:ascii="Times New Roman" w:hAnsi="Times New Roman"/>
          <w:color w:val="231F20"/>
          <w:spacing w:val="-12"/>
          <w:sz w:val="16"/>
        </w:rPr>
        <w:t> </w:t>
      </w:r>
      <w:r>
        <w:rPr>
          <w:rFonts w:ascii="Times New Roman" w:hAnsi="Times New Roman"/>
          <w:color w:val="231F20"/>
          <w:sz w:val="16"/>
        </w:rPr>
        <w:t>el</w:t>
      </w:r>
      <w:r>
        <w:rPr>
          <w:rFonts w:ascii="Times New Roman" w:hAnsi="Times New Roman"/>
          <w:color w:val="231F20"/>
          <w:spacing w:val="-12"/>
          <w:sz w:val="16"/>
        </w:rPr>
        <w:t> </w:t>
      </w:r>
      <w:r>
        <w:rPr>
          <w:rFonts w:ascii="Times New Roman" w:hAnsi="Times New Roman"/>
          <w:color w:val="231F20"/>
          <w:sz w:val="16"/>
        </w:rPr>
        <w:t>control</w:t>
      </w:r>
      <w:r>
        <w:rPr>
          <w:rFonts w:ascii="Times New Roman" w:hAnsi="Times New Roman"/>
          <w:color w:val="231F20"/>
          <w:spacing w:val="-12"/>
          <w:sz w:val="16"/>
        </w:rPr>
        <w:t> </w:t>
      </w:r>
      <w:r>
        <w:rPr>
          <w:rFonts w:ascii="Times New Roman" w:hAnsi="Times New Roman"/>
          <w:color w:val="231F20"/>
          <w:sz w:val="16"/>
        </w:rPr>
        <w:t>de</w:t>
      </w:r>
      <w:r>
        <w:rPr>
          <w:rFonts w:ascii="Times New Roman" w:hAnsi="Times New Roman"/>
          <w:color w:val="231F20"/>
          <w:spacing w:val="-12"/>
          <w:sz w:val="16"/>
        </w:rPr>
        <w:t> </w:t>
      </w:r>
      <w:r>
        <w:rPr>
          <w:rFonts w:ascii="Times New Roman" w:hAnsi="Times New Roman"/>
          <w:color w:val="231F20"/>
          <w:sz w:val="16"/>
        </w:rPr>
        <w:t>tizón</w:t>
      </w:r>
      <w:r>
        <w:rPr>
          <w:rFonts w:ascii="Times New Roman" w:hAnsi="Times New Roman"/>
          <w:color w:val="231F20"/>
          <w:spacing w:val="-12"/>
          <w:sz w:val="16"/>
        </w:rPr>
        <w:t> </w:t>
      </w:r>
      <w:r>
        <w:rPr>
          <w:rFonts w:ascii="Times New Roman" w:hAnsi="Times New Roman"/>
          <w:color w:val="231F20"/>
          <w:sz w:val="16"/>
        </w:rPr>
        <w:t>tardío</w:t>
      </w:r>
      <w:r>
        <w:rPr>
          <w:rFonts w:ascii="Times New Roman" w:hAnsi="Times New Roman"/>
          <w:color w:val="231F20"/>
          <w:spacing w:val="-12"/>
          <w:sz w:val="16"/>
        </w:rPr>
        <w:t> </w:t>
      </w:r>
      <w:r>
        <w:rPr>
          <w:rFonts w:ascii="Times New Roman" w:hAnsi="Times New Roman"/>
          <w:color w:val="231F20"/>
          <w:sz w:val="16"/>
        </w:rPr>
        <w:t>en</w:t>
      </w:r>
      <w:r>
        <w:rPr>
          <w:rFonts w:ascii="Times New Roman" w:hAnsi="Times New Roman"/>
          <w:color w:val="231F20"/>
          <w:spacing w:val="-12"/>
          <w:sz w:val="16"/>
        </w:rPr>
        <w:t> </w:t>
      </w:r>
      <w:r>
        <w:rPr>
          <w:rFonts w:ascii="Times New Roman" w:hAnsi="Times New Roman"/>
          <w:color w:val="231F20"/>
          <w:sz w:val="16"/>
        </w:rPr>
        <w:t>el</w:t>
      </w:r>
      <w:r>
        <w:rPr>
          <w:rFonts w:ascii="Times New Roman" w:hAnsi="Times New Roman"/>
          <w:color w:val="231F20"/>
          <w:spacing w:val="-12"/>
          <w:sz w:val="16"/>
        </w:rPr>
        <w:t> </w:t>
      </w:r>
      <w:r>
        <w:rPr>
          <w:rFonts w:ascii="Times New Roman" w:hAnsi="Times New Roman"/>
          <w:color w:val="231F20"/>
          <w:sz w:val="16"/>
        </w:rPr>
        <w:t>municipio</w:t>
      </w:r>
      <w:r>
        <w:rPr>
          <w:rFonts w:ascii="Times New Roman" w:hAnsi="Times New Roman"/>
          <w:color w:val="231F20"/>
          <w:spacing w:val="-12"/>
          <w:sz w:val="16"/>
        </w:rPr>
        <w:t> </w:t>
      </w:r>
      <w:r>
        <w:rPr>
          <w:rFonts w:ascii="Times New Roman" w:hAnsi="Times New Roman"/>
          <w:color w:val="231F20"/>
          <w:sz w:val="16"/>
        </w:rPr>
        <w:t>de Zinacantepec</w:t>
      </w:r>
      <w:r>
        <w:rPr>
          <w:rFonts w:ascii="Times New Roman" w:hAnsi="Times New Roman"/>
          <w:color w:val="231F20"/>
          <w:spacing w:val="-11"/>
          <w:sz w:val="16"/>
        </w:rPr>
        <w:t> </w:t>
      </w:r>
      <w:r>
        <w:rPr>
          <w:rFonts w:ascii="Times New Roman" w:hAnsi="Times New Roman"/>
          <w:color w:val="231F20"/>
          <w:sz w:val="16"/>
        </w:rPr>
        <w:t>reveló</w:t>
      </w:r>
      <w:r>
        <w:rPr>
          <w:rFonts w:ascii="Times New Roman" w:hAnsi="Times New Roman"/>
          <w:color w:val="231F20"/>
          <w:spacing w:val="-11"/>
          <w:sz w:val="16"/>
        </w:rPr>
        <w:t> </w:t>
      </w:r>
      <w:r>
        <w:rPr>
          <w:rFonts w:ascii="Times New Roman" w:hAnsi="Times New Roman"/>
          <w:color w:val="231F20"/>
          <w:sz w:val="16"/>
        </w:rPr>
        <w:t>que</w:t>
      </w:r>
      <w:r>
        <w:rPr>
          <w:rFonts w:ascii="Times New Roman" w:hAnsi="Times New Roman"/>
          <w:color w:val="231F20"/>
          <w:spacing w:val="-11"/>
          <w:sz w:val="16"/>
        </w:rPr>
        <w:t> </w:t>
      </w:r>
      <w:r>
        <w:rPr>
          <w:rFonts w:ascii="Times New Roman" w:hAnsi="Times New Roman"/>
          <w:color w:val="231F20"/>
          <w:sz w:val="16"/>
        </w:rPr>
        <w:t>los</w:t>
      </w:r>
      <w:r>
        <w:rPr>
          <w:rFonts w:ascii="Times New Roman" w:hAnsi="Times New Roman"/>
          <w:color w:val="231F20"/>
          <w:spacing w:val="-11"/>
          <w:sz w:val="16"/>
        </w:rPr>
        <w:t> </w:t>
      </w:r>
      <w:r>
        <w:rPr>
          <w:rFonts w:ascii="Times New Roman" w:hAnsi="Times New Roman"/>
          <w:color w:val="231F20"/>
          <w:sz w:val="16"/>
        </w:rPr>
        <w:t>utilizados</w:t>
      </w:r>
      <w:r>
        <w:rPr>
          <w:rFonts w:ascii="Times New Roman" w:hAnsi="Times New Roman"/>
          <w:color w:val="231F20"/>
          <w:spacing w:val="-11"/>
          <w:sz w:val="16"/>
        </w:rPr>
        <w:t> </w:t>
      </w:r>
      <w:r>
        <w:rPr>
          <w:rFonts w:ascii="Times New Roman" w:hAnsi="Times New Roman"/>
          <w:color w:val="231F20"/>
          <w:sz w:val="16"/>
        </w:rPr>
        <w:t>provienen</w:t>
      </w:r>
      <w:r>
        <w:rPr>
          <w:rFonts w:ascii="Times New Roman" w:hAnsi="Times New Roman"/>
          <w:color w:val="231F20"/>
          <w:spacing w:val="-11"/>
          <w:sz w:val="16"/>
        </w:rPr>
        <w:t> </w:t>
      </w:r>
      <w:r>
        <w:rPr>
          <w:rFonts w:ascii="Times New Roman" w:hAnsi="Times New Roman"/>
          <w:color w:val="231F20"/>
          <w:sz w:val="16"/>
        </w:rPr>
        <w:t>de </w:t>
      </w:r>
      <w:r>
        <w:rPr>
          <w:rFonts w:ascii="Times New Roman" w:hAnsi="Times New Roman"/>
          <w:color w:val="231F20"/>
          <w:spacing w:val="-3"/>
          <w:sz w:val="16"/>
        </w:rPr>
        <w:t>seis</w:t>
      </w:r>
      <w:r>
        <w:rPr>
          <w:rFonts w:ascii="Times New Roman" w:hAnsi="Times New Roman"/>
          <w:color w:val="231F20"/>
          <w:spacing w:val="-17"/>
          <w:sz w:val="16"/>
        </w:rPr>
        <w:t> </w:t>
      </w:r>
      <w:r>
        <w:rPr>
          <w:rFonts w:ascii="Times New Roman" w:hAnsi="Times New Roman"/>
          <w:color w:val="231F20"/>
          <w:spacing w:val="-3"/>
          <w:sz w:val="16"/>
        </w:rPr>
        <w:t>grupos</w:t>
      </w:r>
      <w:r>
        <w:rPr>
          <w:rFonts w:ascii="Times New Roman" w:hAnsi="Times New Roman"/>
          <w:color w:val="231F20"/>
          <w:spacing w:val="-17"/>
          <w:sz w:val="16"/>
        </w:rPr>
        <w:t> </w:t>
      </w:r>
      <w:r>
        <w:rPr>
          <w:rFonts w:ascii="Times New Roman" w:hAnsi="Times New Roman"/>
          <w:color w:val="231F20"/>
          <w:spacing w:val="-3"/>
          <w:sz w:val="16"/>
        </w:rPr>
        <w:t>químicos</w:t>
      </w:r>
      <w:r>
        <w:rPr>
          <w:rFonts w:ascii="Times New Roman" w:hAnsi="Times New Roman"/>
          <w:color w:val="231F20"/>
          <w:spacing w:val="-17"/>
          <w:sz w:val="16"/>
        </w:rPr>
        <w:t> </w:t>
      </w:r>
      <w:r>
        <w:rPr>
          <w:rFonts w:ascii="Times New Roman" w:hAnsi="Times New Roman"/>
          <w:color w:val="231F20"/>
          <w:spacing w:val="-3"/>
          <w:sz w:val="16"/>
        </w:rPr>
        <w:t>(</w:t>
      </w:r>
      <w:r>
        <w:rPr>
          <w:rFonts w:ascii="Times New Roman" w:hAnsi="Times New Roman"/>
          <w:b/>
          <w:color w:val="231F20"/>
          <w:spacing w:val="-3"/>
          <w:sz w:val="16"/>
        </w:rPr>
        <w:t>Cuadro</w:t>
      </w:r>
      <w:r>
        <w:rPr>
          <w:rFonts w:ascii="Times New Roman" w:hAnsi="Times New Roman"/>
          <w:b/>
          <w:color w:val="231F20"/>
          <w:spacing w:val="-17"/>
          <w:sz w:val="16"/>
        </w:rPr>
        <w:t> </w:t>
      </w:r>
      <w:r>
        <w:rPr>
          <w:rFonts w:ascii="Times New Roman" w:hAnsi="Times New Roman"/>
          <w:b/>
          <w:color w:val="231F20"/>
          <w:sz w:val="16"/>
        </w:rPr>
        <w:t>I)</w:t>
      </w:r>
      <w:r>
        <w:rPr>
          <w:rFonts w:ascii="Times New Roman" w:hAnsi="Times New Roman"/>
          <w:color w:val="231F20"/>
          <w:sz w:val="16"/>
        </w:rPr>
        <w:t>.</w:t>
      </w:r>
      <w:r>
        <w:rPr>
          <w:rFonts w:ascii="Times New Roman" w:hAnsi="Times New Roman"/>
          <w:color w:val="231F20"/>
          <w:spacing w:val="-17"/>
          <w:sz w:val="16"/>
        </w:rPr>
        <w:t> </w:t>
      </w:r>
      <w:r>
        <w:rPr>
          <w:rFonts w:ascii="Times New Roman" w:hAnsi="Times New Roman"/>
          <w:color w:val="231F20"/>
          <w:spacing w:val="-3"/>
          <w:sz w:val="16"/>
        </w:rPr>
        <w:t>Dentro</w:t>
      </w:r>
      <w:r>
        <w:rPr>
          <w:rFonts w:ascii="Times New Roman" w:hAnsi="Times New Roman"/>
          <w:color w:val="231F20"/>
          <w:spacing w:val="-17"/>
          <w:sz w:val="16"/>
        </w:rPr>
        <w:t> </w:t>
      </w:r>
      <w:r>
        <w:rPr>
          <w:rFonts w:ascii="Times New Roman" w:hAnsi="Times New Roman"/>
          <w:color w:val="231F20"/>
          <w:sz w:val="16"/>
        </w:rPr>
        <w:t>de</w:t>
      </w:r>
      <w:r>
        <w:rPr>
          <w:rFonts w:ascii="Times New Roman" w:hAnsi="Times New Roman"/>
          <w:color w:val="231F20"/>
          <w:spacing w:val="-17"/>
          <w:sz w:val="16"/>
        </w:rPr>
        <w:t> </w:t>
      </w:r>
      <w:r>
        <w:rPr>
          <w:rFonts w:ascii="Times New Roman" w:hAnsi="Times New Roman"/>
          <w:color w:val="231F20"/>
          <w:spacing w:val="-3"/>
          <w:sz w:val="16"/>
        </w:rPr>
        <w:t>estos</w:t>
      </w:r>
      <w:r>
        <w:rPr>
          <w:rFonts w:ascii="Times New Roman" w:hAnsi="Times New Roman"/>
          <w:color w:val="231F20"/>
          <w:spacing w:val="-17"/>
          <w:sz w:val="16"/>
        </w:rPr>
        <w:t> </w:t>
      </w:r>
      <w:r>
        <w:rPr>
          <w:rFonts w:ascii="Times New Roman" w:hAnsi="Times New Roman"/>
          <w:color w:val="231F20"/>
          <w:spacing w:val="-3"/>
          <w:sz w:val="16"/>
        </w:rPr>
        <w:t>des- </w:t>
      </w:r>
      <w:r>
        <w:rPr>
          <w:rFonts w:ascii="Times New Roman" w:hAnsi="Times New Roman"/>
          <w:color w:val="231F20"/>
          <w:sz w:val="16"/>
        </w:rPr>
        <w:t>tacan</w:t>
      </w:r>
      <w:r>
        <w:rPr>
          <w:rFonts w:ascii="Times New Roman" w:hAnsi="Times New Roman"/>
          <w:color w:val="231F20"/>
          <w:spacing w:val="-16"/>
          <w:sz w:val="16"/>
        </w:rPr>
        <w:t> </w:t>
      </w:r>
      <w:r>
        <w:rPr>
          <w:rFonts w:ascii="Times New Roman" w:hAnsi="Times New Roman"/>
          <w:color w:val="231F20"/>
          <w:sz w:val="16"/>
        </w:rPr>
        <w:t>los</w:t>
      </w:r>
      <w:r>
        <w:rPr>
          <w:rFonts w:ascii="Times New Roman" w:hAnsi="Times New Roman"/>
          <w:color w:val="231F20"/>
          <w:spacing w:val="-16"/>
          <w:sz w:val="16"/>
        </w:rPr>
        <w:t> </w:t>
      </w:r>
      <w:r>
        <w:rPr>
          <w:rFonts w:ascii="Times New Roman" w:hAnsi="Times New Roman"/>
          <w:color w:val="231F20"/>
          <w:sz w:val="16"/>
        </w:rPr>
        <w:t>carbamatos</w:t>
      </w:r>
      <w:r>
        <w:rPr>
          <w:rFonts w:ascii="Times New Roman" w:hAnsi="Times New Roman"/>
          <w:color w:val="231F20"/>
          <w:spacing w:val="-16"/>
          <w:sz w:val="16"/>
        </w:rPr>
        <w:t> </w:t>
      </w:r>
      <w:r>
        <w:rPr>
          <w:rFonts w:ascii="Times New Roman" w:hAnsi="Times New Roman"/>
          <w:color w:val="231F20"/>
          <w:sz w:val="16"/>
        </w:rPr>
        <w:t>y</w:t>
      </w:r>
      <w:r>
        <w:rPr>
          <w:rFonts w:ascii="Times New Roman" w:hAnsi="Times New Roman"/>
          <w:color w:val="231F20"/>
          <w:spacing w:val="-16"/>
          <w:sz w:val="16"/>
        </w:rPr>
        <w:t> </w:t>
      </w:r>
      <w:r>
        <w:rPr>
          <w:rFonts w:ascii="Times New Roman" w:hAnsi="Times New Roman"/>
          <w:color w:val="231F20"/>
          <w:sz w:val="16"/>
        </w:rPr>
        <w:t>las</w:t>
      </w:r>
      <w:r>
        <w:rPr>
          <w:rFonts w:ascii="Times New Roman" w:hAnsi="Times New Roman"/>
          <w:color w:val="231F20"/>
          <w:spacing w:val="-16"/>
          <w:sz w:val="16"/>
        </w:rPr>
        <w:t> </w:t>
      </w:r>
      <w:r>
        <w:rPr>
          <w:rFonts w:ascii="Times New Roman" w:hAnsi="Times New Roman"/>
          <w:color w:val="231F20"/>
          <w:sz w:val="16"/>
        </w:rPr>
        <w:t>carboxamidas,</w:t>
      </w:r>
      <w:r>
        <w:rPr>
          <w:rFonts w:ascii="Times New Roman" w:hAnsi="Times New Roman"/>
          <w:color w:val="231F20"/>
          <w:spacing w:val="-16"/>
          <w:sz w:val="16"/>
        </w:rPr>
        <w:t> </w:t>
      </w:r>
      <w:r>
        <w:rPr>
          <w:rFonts w:ascii="Times New Roman" w:hAnsi="Times New Roman"/>
          <w:color w:val="231F20"/>
          <w:sz w:val="16"/>
        </w:rPr>
        <w:t>que</w:t>
      </w:r>
      <w:r>
        <w:rPr>
          <w:rFonts w:ascii="Times New Roman" w:hAnsi="Times New Roman"/>
          <w:color w:val="231F20"/>
          <w:spacing w:val="-16"/>
          <w:sz w:val="16"/>
        </w:rPr>
        <w:t> </w:t>
      </w:r>
      <w:r>
        <w:rPr>
          <w:rFonts w:ascii="Times New Roman" w:hAnsi="Times New Roman"/>
          <w:color w:val="231F20"/>
          <w:sz w:val="16"/>
        </w:rPr>
        <w:t>por</w:t>
      </w:r>
      <w:r>
        <w:rPr>
          <w:rFonts w:ascii="Times New Roman" w:hAnsi="Times New Roman"/>
          <w:color w:val="231F20"/>
          <w:spacing w:val="-16"/>
          <w:sz w:val="16"/>
        </w:rPr>
        <w:t> </w:t>
      </w:r>
      <w:r>
        <w:rPr>
          <w:rFonts w:ascii="Times New Roman" w:hAnsi="Times New Roman"/>
          <w:color w:val="231F20"/>
          <w:sz w:val="16"/>
        </w:rPr>
        <w:t>ser de</w:t>
      </w:r>
      <w:r>
        <w:rPr>
          <w:rFonts w:ascii="Times New Roman" w:hAnsi="Times New Roman"/>
          <w:color w:val="231F20"/>
          <w:spacing w:val="-19"/>
          <w:sz w:val="16"/>
        </w:rPr>
        <w:t> </w:t>
      </w:r>
      <w:r>
        <w:rPr>
          <w:rFonts w:ascii="Times New Roman" w:hAnsi="Times New Roman"/>
          <w:color w:val="231F20"/>
          <w:sz w:val="16"/>
        </w:rPr>
        <w:t>baja</w:t>
      </w:r>
      <w:r>
        <w:rPr>
          <w:rFonts w:ascii="Times New Roman" w:hAnsi="Times New Roman"/>
          <w:color w:val="231F20"/>
          <w:spacing w:val="-19"/>
          <w:sz w:val="16"/>
        </w:rPr>
        <w:t> </w:t>
      </w:r>
      <w:r>
        <w:rPr>
          <w:rFonts w:ascii="Times New Roman" w:hAnsi="Times New Roman"/>
          <w:color w:val="231F20"/>
          <w:sz w:val="16"/>
        </w:rPr>
        <w:t>persistencia</w:t>
      </w:r>
      <w:r>
        <w:rPr>
          <w:rFonts w:ascii="Times New Roman" w:hAnsi="Times New Roman"/>
          <w:color w:val="231F20"/>
          <w:spacing w:val="-19"/>
          <w:sz w:val="16"/>
        </w:rPr>
        <w:t> </w:t>
      </w:r>
      <w:r>
        <w:rPr>
          <w:rFonts w:ascii="Times New Roman" w:hAnsi="Times New Roman"/>
          <w:color w:val="231F20"/>
          <w:sz w:val="16"/>
        </w:rPr>
        <w:t>y</w:t>
      </w:r>
      <w:r>
        <w:rPr>
          <w:rFonts w:ascii="Times New Roman" w:hAnsi="Times New Roman"/>
          <w:color w:val="231F20"/>
          <w:spacing w:val="-19"/>
          <w:sz w:val="16"/>
        </w:rPr>
        <w:t> </w:t>
      </w:r>
      <w:r>
        <w:rPr>
          <w:rFonts w:ascii="Times New Roman" w:hAnsi="Times New Roman"/>
          <w:color w:val="231F20"/>
          <w:sz w:val="16"/>
        </w:rPr>
        <w:t>de</w:t>
      </w:r>
      <w:r>
        <w:rPr>
          <w:rFonts w:ascii="Times New Roman" w:hAnsi="Times New Roman"/>
          <w:color w:val="231F20"/>
          <w:spacing w:val="-19"/>
          <w:sz w:val="16"/>
        </w:rPr>
        <w:t> </w:t>
      </w:r>
      <w:r>
        <w:rPr>
          <w:rFonts w:ascii="Times New Roman" w:hAnsi="Times New Roman"/>
          <w:color w:val="231F20"/>
          <w:sz w:val="16"/>
        </w:rPr>
        <w:t>vidas</w:t>
      </w:r>
      <w:r>
        <w:rPr>
          <w:rFonts w:ascii="Times New Roman" w:hAnsi="Times New Roman"/>
          <w:color w:val="231F20"/>
          <w:spacing w:val="-19"/>
          <w:sz w:val="16"/>
        </w:rPr>
        <w:t> </w:t>
      </w:r>
      <w:r>
        <w:rPr>
          <w:rFonts w:ascii="Times New Roman" w:hAnsi="Times New Roman"/>
          <w:color w:val="231F20"/>
          <w:sz w:val="16"/>
        </w:rPr>
        <w:t>medias</w:t>
      </w:r>
      <w:r>
        <w:rPr>
          <w:rFonts w:ascii="Times New Roman" w:hAnsi="Times New Roman"/>
          <w:color w:val="231F20"/>
          <w:spacing w:val="-19"/>
          <w:sz w:val="16"/>
        </w:rPr>
        <w:t> </w:t>
      </w:r>
      <w:r>
        <w:rPr>
          <w:rFonts w:ascii="Times New Roman" w:hAnsi="Times New Roman"/>
          <w:color w:val="231F20"/>
          <w:sz w:val="16"/>
        </w:rPr>
        <w:t>cortas,</w:t>
      </w:r>
      <w:r>
        <w:rPr>
          <w:rFonts w:ascii="Times New Roman" w:hAnsi="Times New Roman"/>
          <w:color w:val="231F20"/>
          <w:spacing w:val="-19"/>
          <w:sz w:val="16"/>
        </w:rPr>
        <w:t> </w:t>
      </w:r>
      <w:r>
        <w:rPr>
          <w:rFonts w:ascii="Times New Roman" w:hAnsi="Times New Roman"/>
          <w:color w:val="231F20"/>
          <w:sz w:val="16"/>
        </w:rPr>
        <w:t>tienden a</w:t>
      </w:r>
      <w:r>
        <w:rPr>
          <w:rFonts w:ascii="Times New Roman" w:hAnsi="Times New Roman"/>
          <w:color w:val="231F20"/>
          <w:spacing w:val="-19"/>
          <w:sz w:val="16"/>
        </w:rPr>
        <w:t> </w:t>
      </w:r>
      <w:r>
        <w:rPr>
          <w:rFonts w:ascii="Times New Roman" w:hAnsi="Times New Roman"/>
          <w:color w:val="231F20"/>
          <w:sz w:val="16"/>
        </w:rPr>
        <w:t>adsorberse</w:t>
      </w:r>
      <w:r>
        <w:rPr>
          <w:rFonts w:ascii="Times New Roman" w:hAnsi="Times New Roman"/>
          <w:color w:val="231F20"/>
          <w:spacing w:val="-19"/>
          <w:sz w:val="16"/>
        </w:rPr>
        <w:t> </w:t>
      </w:r>
      <w:r>
        <w:rPr>
          <w:rFonts w:ascii="Times New Roman" w:hAnsi="Times New Roman"/>
          <w:color w:val="231F20"/>
          <w:sz w:val="16"/>
        </w:rPr>
        <w:t>y</w:t>
      </w:r>
      <w:r>
        <w:rPr>
          <w:rFonts w:ascii="Times New Roman" w:hAnsi="Times New Roman"/>
          <w:color w:val="231F20"/>
          <w:spacing w:val="-19"/>
          <w:sz w:val="16"/>
        </w:rPr>
        <w:t> </w:t>
      </w:r>
      <w:r>
        <w:rPr>
          <w:rFonts w:ascii="Times New Roman" w:hAnsi="Times New Roman"/>
          <w:color w:val="231F20"/>
          <w:sz w:val="16"/>
        </w:rPr>
        <w:t>acumularse</w:t>
      </w:r>
      <w:r>
        <w:rPr>
          <w:rFonts w:ascii="Times New Roman" w:hAnsi="Times New Roman"/>
          <w:color w:val="231F20"/>
          <w:spacing w:val="-19"/>
          <w:sz w:val="16"/>
        </w:rPr>
        <w:t> </w:t>
      </w:r>
      <w:r>
        <w:rPr>
          <w:rFonts w:ascii="Times New Roman" w:hAnsi="Times New Roman"/>
          <w:color w:val="231F20"/>
          <w:sz w:val="16"/>
        </w:rPr>
        <w:t>en</w:t>
      </w:r>
      <w:r>
        <w:rPr>
          <w:rFonts w:ascii="Times New Roman" w:hAnsi="Times New Roman"/>
          <w:color w:val="231F20"/>
          <w:spacing w:val="-19"/>
          <w:sz w:val="16"/>
        </w:rPr>
        <w:t> </w:t>
      </w:r>
      <w:r>
        <w:rPr>
          <w:rFonts w:ascii="Times New Roman" w:hAnsi="Times New Roman"/>
          <w:color w:val="231F20"/>
          <w:sz w:val="16"/>
        </w:rPr>
        <w:t>la</w:t>
      </w:r>
      <w:r>
        <w:rPr>
          <w:rFonts w:ascii="Times New Roman" w:hAnsi="Times New Roman"/>
          <w:color w:val="231F20"/>
          <w:spacing w:val="-19"/>
          <w:sz w:val="16"/>
        </w:rPr>
        <w:t> </w:t>
      </w:r>
      <w:r>
        <w:rPr>
          <w:rFonts w:ascii="Times New Roman" w:hAnsi="Times New Roman"/>
          <w:color w:val="231F20"/>
          <w:sz w:val="16"/>
        </w:rPr>
        <w:t>materia</w:t>
      </w:r>
      <w:r>
        <w:rPr>
          <w:rFonts w:ascii="Times New Roman" w:hAnsi="Times New Roman"/>
          <w:color w:val="231F20"/>
          <w:spacing w:val="-19"/>
          <w:sz w:val="16"/>
        </w:rPr>
        <w:t> </w:t>
      </w:r>
      <w:r>
        <w:rPr>
          <w:rFonts w:ascii="Times New Roman" w:hAnsi="Times New Roman"/>
          <w:color w:val="231F20"/>
          <w:spacing w:val="-3"/>
          <w:sz w:val="16"/>
        </w:rPr>
        <w:t>orgánica,</w:t>
      </w:r>
      <w:r>
        <w:rPr>
          <w:rFonts w:ascii="Times New Roman" w:hAnsi="Times New Roman"/>
          <w:color w:val="231F20"/>
          <w:spacing w:val="-19"/>
          <w:sz w:val="16"/>
        </w:rPr>
        <w:t> </w:t>
      </w:r>
      <w:r>
        <w:rPr>
          <w:rFonts w:ascii="Times New Roman" w:hAnsi="Times New Roman"/>
          <w:color w:val="231F20"/>
          <w:sz w:val="16"/>
        </w:rPr>
        <w:t>por lo</w:t>
      </w:r>
      <w:r>
        <w:rPr>
          <w:rFonts w:ascii="Times New Roman" w:hAnsi="Times New Roman"/>
          <w:color w:val="231F20"/>
          <w:spacing w:val="-18"/>
          <w:sz w:val="16"/>
        </w:rPr>
        <w:t> </w:t>
      </w:r>
      <w:r>
        <w:rPr>
          <w:rFonts w:ascii="Times New Roman" w:hAnsi="Times New Roman"/>
          <w:color w:val="231F20"/>
          <w:sz w:val="16"/>
        </w:rPr>
        <w:t>que</w:t>
      </w:r>
      <w:r>
        <w:rPr>
          <w:rFonts w:ascii="Times New Roman" w:hAnsi="Times New Roman"/>
          <w:color w:val="231F20"/>
          <w:spacing w:val="-18"/>
          <w:sz w:val="16"/>
        </w:rPr>
        <w:t> </w:t>
      </w:r>
      <w:r>
        <w:rPr>
          <w:rFonts w:ascii="Times New Roman" w:hAnsi="Times New Roman"/>
          <w:color w:val="231F20"/>
          <w:sz w:val="16"/>
        </w:rPr>
        <w:t>se</w:t>
      </w:r>
      <w:r>
        <w:rPr>
          <w:rFonts w:ascii="Times New Roman" w:hAnsi="Times New Roman"/>
          <w:color w:val="231F20"/>
          <w:spacing w:val="-18"/>
          <w:sz w:val="16"/>
        </w:rPr>
        <w:t> </w:t>
      </w:r>
      <w:r>
        <w:rPr>
          <w:rFonts w:ascii="Times New Roman" w:hAnsi="Times New Roman"/>
          <w:color w:val="231F20"/>
          <w:sz w:val="16"/>
        </w:rPr>
        <w:t>espera</w:t>
      </w:r>
      <w:r>
        <w:rPr>
          <w:rFonts w:ascii="Times New Roman" w:hAnsi="Times New Roman"/>
          <w:color w:val="231F20"/>
          <w:spacing w:val="-18"/>
          <w:sz w:val="16"/>
        </w:rPr>
        <w:t> </w:t>
      </w:r>
      <w:r>
        <w:rPr>
          <w:rFonts w:ascii="Times New Roman" w:hAnsi="Times New Roman"/>
          <w:color w:val="231F20"/>
          <w:sz w:val="16"/>
        </w:rPr>
        <w:t>que</w:t>
      </w:r>
      <w:r>
        <w:rPr>
          <w:rFonts w:ascii="Times New Roman" w:hAnsi="Times New Roman"/>
          <w:color w:val="231F20"/>
          <w:spacing w:val="-18"/>
          <w:sz w:val="16"/>
        </w:rPr>
        <w:t> </w:t>
      </w:r>
      <w:r>
        <w:rPr>
          <w:rFonts w:ascii="Times New Roman" w:hAnsi="Times New Roman"/>
          <w:color w:val="231F20"/>
          <w:sz w:val="16"/>
        </w:rPr>
        <w:t>presenten</w:t>
      </w:r>
      <w:r>
        <w:rPr>
          <w:rFonts w:ascii="Times New Roman" w:hAnsi="Times New Roman"/>
          <w:color w:val="231F20"/>
          <w:spacing w:val="-18"/>
          <w:sz w:val="16"/>
        </w:rPr>
        <w:t> </w:t>
      </w:r>
      <w:r>
        <w:rPr>
          <w:rFonts w:ascii="Times New Roman" w:hAnsi="Times New Roman"/>
          <w:color w:val="231F20"/>
          <w:sz w:val="16"/>
        </w:rPr>
        <w:t>poco</w:t>
      </w:r>
      <w:r>
        <w:rPr>
          <w:rFonts w:ascii="Times New Roman" w:hAnsi="Times New Roman"/>
          <w:color w:val="231F20"/>
          <w:spacing w:val="-18"/>
          <w:sz w:val="16"/>
        </w:rPr>
        <w:t> </w:t>
      </w:r>
      <w:r>
        <w:rPr>
          <w:rFonts w:ascii="Times New Roman" w:hAnsi="Times New Roman"/>
          <w:color w:val="231F20"/>
          <w:sz w:val="16"/>
        </w:rPr>
        <w:t>peligro</w:t>
      </w:r>
      <w:r>
        <w:rPr>
          <w:rFonts w:ascii="Times New Roman" w:hAnsi="Times New Roman"/>
          <w:color w:val="231F20"/>
          <w:spacing w:val="-18"/>
          <w:sz w:val="16"/>
        </w:rPr>
        <w:t> </w:t>
      </w:r>
      <w:r>
        <w:rPr>
          <w:rFonts w:ascii="Times New Roman" w:hAnsi="Times New Roman"/>
          <w:color w:val="231F20"/>
          <w:sz w:val="16"/>
        </w:rPr>
        <w:t>de</w:t>
      </w:r>
      <w:r>
        <w:rPr>
          <w:rFonts w:ascii="Times New Roman" w:hAnsi="Times New Roman"/>
          <w:color w:val="231F20"/>
          <w:spacing w:val="-18"/>
          <w:sz w:val="16"/>
        </w:rPr>
        <w:t> </w:t>
      </w:r>
      <w:r>
        <w:rPr>
          <w:rFonts w:ascii="Times New Roman" w:hAnsi="Times New Roman"/>
          <w:color w:val="231F20"/>
          <w:sz w:val="16"/>
        </w:rPr>
        <w:t>conta- minar</w:t>
      </w:r>
      <w:r>
        <w:rPr>
          <w:rFonts w:ascii="Times New Roman" w:hAnsi="Times New Roman"/>
          <w:color w:val="231F20"/>
          <w:spacing w:val="-11"/>
          <w:sz w:val="16"/>
        </w:rPr>
        <w:t> </w:t>
      </w:r>
      <w:r>
        <w:rPr>
          <w:rFonts w:ascii="Times New Roman" w:hAnsi="Times New Roman"/>
          <w:color w:val="231F20"/>
          <w:sz w:val="16"/>
        </w:rPr>
        <w:t>a</w:t>
      </w:r>
      <w:r>
        <w:rPr>
          <w:rFonts w:ascii="Times New Roman" w:hAnsi="Times New Roman"/>
          <w:color w:val="231F20"/>
          <w:spacing w:val="-11"/>
          <w:sz w:val="16"/>
        </w:rPr>
        <w:t> </w:t>
      </w:r>
      <w:r>
        <w:rPr>
          <w:rFonts w:ascii="Times New Roman" w:hAnsi="Times New Roman"/>
          <w:color w:val="231F20"/>
          <w:sz w:val="16"/>
        </w:rPr>
        <w:t>los</w:t>
      </w:r>
      <w:r>
        <w:rPr>
          <w:rFonts w:ascii="Times New Roman" w:hAnsi="Times New Roman"/>
          <w:color w:val="231F20"/>
          <w:spacing w:val="-11"/>
          <w:sz w:val="16"/>
        </w:rPr>
        <w:t> </w:t>
      </w:r>
      <w:r>
        <w:rPr>
          <w:rFonts w:ascii="Times New Roman" w:hAnsi="Times New Roman"/>
          <w:color w:val="231F20"/>
          <w:sz w:val="16"/>
        </w:rPr>
        <w:t>cuerpos</w:t>
      </w:r>
      <w:r>
        <w:rPr>
          <w:rFonts w:ascii="Times New Roman" w:hAnsi="Times New Roman"/>
          <w:color w:val="231F20"/>
          <w:spacing w:val="-11"/>
          <w:sz w:val="16"/>
        </w:rPr>
        <w:t> </w:t>
      </w:r>
      <w:r>
        <w:rPr>
          <w:rFonts w:ascii="Times New Roman" w:hAnsi="Times New Roman"/>
          <w:color w:val="231F20"/>
          <w:sz w:val="16"/>
        </w:rPr>
        <w:t>de</w:t>
      </w:r>
      <w:r>
        <w:rPr>
          <w:rFonts w:ascii="Times New Roman" w:hAnsi="Times New Roman"/>
          <w:color w:val="231F20"/>
          <w:spacing w:val="-11"/>
          <w:sz w:val="16"/>
        </w:rPr>
        <w:t> </w:t>
      </w:r>
      <w:r>
        <w:rPr>
          <w:rFonts w:ascii="Times New Roman" w:hAnsi="Times New Roman"/>
          <w:color w:val="231F20"/>
          <w:sz w:val="16"/>
        </w:rPr>
        <w:t>agua,</w:t>
      </w:r>
      <w:r>
        <w:rPr>
          <w:rFonts w:ascii="Times New Roman" w:hAnsi="Times New Roman"/>
          <w:color w:val="231F20"/>
          <w:spacing w:val="-11"/>
          <w:sz w:val="16"/>
        </w:rPr>
        <w:t> </w:t>
      </w:r>
      <w:r>
        <w:rPr>
          <w:rFonts w:ascii="Times New Roman" w:hAnsi="Times New Roman"/>
          <w:color w:val="231F20"/>
          <w:sz w:val="16"/>
        </w:rPr>
        <w:t>pero</w:t>
      </w:r>
      <w:r>
        <w:rPr>
          <w:rFonts w:ascii="Times New Roman" w:hAnsi="Times New Roman"/>
          <w:color w:val="231F20"/>
          <w:spacing w:val="-11"/>
          <w:sz w:val="16"/>
        </w:rPr>
        <w:t> </w:t>
      </w:r>
      <w:r>
        <w:rPr>
          <w:rFonts w:ascii="Times New Roman" w:hAnsi="Times New Roman"/>
          <w:color w:val="231F20"/>
          <w:sz w:val="16"/>
        </w:rPr>
        <w:t>sí</w:t>
      </w:r>
      <w:r>
        <w:rPr>
          <w:rFonts w:ascii="Times New Roman" w:hAnsi="Times New Roman"/>
          <w:color w:val="231F20"/>
          <w:spacing w:val="-11"/>
          <w:sz w:val="16"/>
        </w:rPr>
        <w:t> </w:t>
      </w:r>
      <w:r>
        <w:rPr>
          <w:rFonts w:ascii="Times New Roman" w:hAnsi="Times New Roman"/>
          <w:color w:val="231F20"/>
          <w:sz w:val="16"/>
        </w:rPr>
        <w:t>alta</w:t>
      </w:r>
      <w:r>
        <w:rPr>
          <w:rFonts w:ascii="Times New Roman" w:hAnsi="Times New Roman"/>
          <w:color w:val="231F20"/>
          <w:spacing w:val="-11"/>
          <w:sz w:val="16"/>
        </w:rPr>
        <w:t> </w:t>
      </w:r>
      <w:r>
        <w:rPr>
          <w:rFonts w:ascii="Times New Roman" w:hAnsi="Times New Roman"/>
          <w:color w:val="231F20"/>
          <w:sz w:val="16"/>
        </w:rPr>
        <w:t>persistencia en</w:t>
      </w:r>
      <w:r>
        <w:rPr>
          <w:rFonts w:ascii="Times New Roman" w:hAnsi="Times New Roman"/>
          <w:color w:val="231F20"/>
          <w:spacing w:val="-16"/>
          <w:sz w:val="16"/>
        </w:rPr>
        <w:t> </w:t>
      </w:r>
      <w:r>
        <w:rPr>
          <w:rFonts w:ascii="Times New Roman" w:hAnsi="Times New Roman"/>
          <w:color w:val="231F20"/>
          <w:sz w:val="16"/>
        </w:rPr>
        <w:t>el</w:t>
      </w:r>
      <w:r>
        <w:rPr>
          <w:rFonts w:ascii="Times New Roman" w:hAnsi="Times New Roman"/>
          <w:color w:val="231F20"/>
          <w:spacing w:val="-16"/>
          <w:sz w:val="16"/>
        </w:rPr>
        <w:t> </w:t>
      </w:r>
      <w:r>
        <w:rPr>
          <w:rFonts w:ascii="Times New Roman" w:hAnsi="Times New Roman"/>
          <w:color w:val="231F20"/>
          <w:sz w:val="16"/>
        </w:rPr>
        <w:t>tubérculo.</w:t>
      </w:r>
      <w:r>
        <w:rPr>
          <w:rFonts w:ascii="Times New Roman" w:hAnsi="Times New Roman"/>
          <w:color w:val="231F20"/>
          <w:spacing w:val="-16"/>
          <w:sz w:val="16"/>
        </w:rPr>
        <w:t> </w:t>
      </w:r>
      <w:r>
        <w:rPr>
          <w:rFonts w:ascii="Times New Roman" w:hAnsi="Times New Roman"/>
          <w:color w:val="231F20"/>
          <w:sz w:val="16"/>
        </w:rPr>
        <w:t>El</w:t>
      </w:r>
      <w:r>
        <w:rPr>
          <w:rFonts w:ascii="Times New Roman" w:hAnsi="Times New Roman"/>
          <w:color w:val="231F20"/>
          <w:spacing w:val="-16"/>
          <w:sz w:val="16"/>
        </w:rPr>
        <w:t> </w:t>
      </w:r>
      <w:r>
        <w:rPr>
          <w:rFonts w:ascii="Times New Roman" w:hAnsi="Times New Roman"/>
          <w:color w:val="231F20"/>
          <w:sz w:val="16"/>
        </w:rPr>
        <w:t>grupo</w:t>
      </w:r>
      <w:r>
        <w:rPr>
          <w:rFonts w:ascii="Times New Roman" w:hAnsi="Times New Roman"/>
          <w:color w:val="231F20"/>
          <w:spacing w:val="-16"/>
          <w:sz w:val="16"/>
        </w:rPr>
        <w:t> </w:t>
      </w:r>
      <w:r>
        <w:rPr>
          <w:rFonts w:ascii="Times New Roman" w:hAnsi="Times New Roman"/>
          <w:color w:val="231F20"/>
          <w:sz w:val="16"/>
        </w:rPr>
        <w:t>químico</w:t>
      </w:r>
      <w:r>
        <w:rPr>
          <w:rFonts w:ascii="Times New Roman" w:hAnsi="Times New Roman"/>
          <w:color w:val="231F20"/>
          <w:spacing w:val="-16"/>
          <w:sz w:val="16"/>
        </w:rPr>
        <w:t> </w:t>
      </w:r>
      <w:r>
        <w:rPr>
          <w:rFonts w:ascii="Times New Roman" w:hAnsi="Times New Roman"/>
          <w:color w:val="231F20"/>
          <w:sz w:val="16"/>
        </w:rPr>
        <w:t>de</w:t>
      </w:r>
      <w:r>
        <w:rPr>
          <w:rFonts w:ascii="Times New Roman" w:hAnsi="Times New Roman"/>
          <w:color w:val="231F20"/>
          <w:spacing w:val="-16"/>
          <w:sz w:val="16"/>
        </w:rPr>
        <w:t> </w:t>
      </w:r>
      <w:r>
        <w:rPr>
          <w:rFonts w:ascii="Times New Roman" w:hAnsi="Times New Roman"/>
          <w:color w:val="231F20"/>
          <w:sz w:val="16"/>
        </w:rPr>
        <w:t>las</w:t>
      </w:r>
      <w:r>
        <w:rPr>
          <w:rFonts w:ascii="Times New Roman" w:hAnsi="Times New Roman"/>
          <w:color w:val="231F20"/>
          <w:spacing w:val="-16"/>
          <w:sz w:val="16"/>
        </w:rPr>
        <w:t> </w:t>
      </w:r>
      <w:r>
        <w:rPr>
          <w:rFonts w:ascii="Times New Roman" w:hAnsi="Times New Roman"/>
          <w:color w:val="231F20"/>
          <w:sz w:val="16"/>
        </w:rPr>
        <w:t>fenilamidas, al cual pertenece el metalaxil, presenta coeficiente octanol-agua (K</w:t>
      </w:r>
      <w:r>
        <w:rPr>
          <w:rFonts w:ascii="Times New Roman" w:hAnsi="Times New Roman"/>
          <w:color w:val="231F20"/>
          <w:position w:val="-1"/>
          <w:sz w:val="11"/>
        </w:rPr>
        <w:t>oc</w:t>
      </w:r>
      <w:r>
        <w:rPr>
          <w:rFonts w:ascii="Times New Roman" w:hAnsi="Times New Roman"/>
          <w:color w:val="231F20"/>
          <w:sz w:val="16"/>
        </w:rPr>
        <w:t>) y constante de adsorción   </w:t>
      </w:r>
      <w:r>
        <w:rPr>
          <w:rFonts w:ascii="Times New Roman" w:hAnsi="Times New Roman"/>
          <w:color w:val="231F20"/>
          <w:spacing w:val="7"/>
          <w:sz w:val="16"/>
        </w:rPr>
        <w:t> </w:t>
      </w:r>
      <w:r>
        <w:rPr>
          <w:rFonts w:ascii="Times New Roman" w:hAnsi="Times New Roman"/>
          <w:color w:val="231F20"/>
          <w:sz w:val="16"/>
        </w:rPr>
        <w:t>(K</w:t>
      </w:r>
      <w:r>
        <w:rPr>
          <w:rFonts w:ascii="Times New Roman" w:hAnsi="Times New Roman"/>
          <w:color w:val="231F20"/>
          <w:position w:val="-1"/>
          <w:sz w:val="11"/>
        </w:rPr>
        <w:t>d</w:t>
      </w:r>
      <w:r>
        <w:rPr>
          <w:rFonts w:ascii="Times New Roman" w:hAnsi="Times New Roman"/>
          <w:color w:val="231F20"/>
          <w:sz w:val="16"/>
        </w:rPr>
        <w:t>)</w:t>
      </w:r>
    </w:p>
    <w:p>
      <w:pPr>
        <w:pStyle w:val="BodyText"/>
        <w:rPr>
          <w:rFonts w:ascii="Times New Roman"/>
          <w:sz w:val="16"/>
        </w:rPr>
      </w:pPr>
      <w:r>
        <w:rPr/>
        <w:br w:type="column"/>
      </w:r>
      <w:r>
        <w:rPr>
          <w:rFonts w:ascii="Times New Roman"/>
          <w:sz w:val="16"/>
        </w:rPr>
      </w:r>
    </w:p>
    <w:p>
      <w:pPr>
        <w:pStyle w:val="BodyText"/>
        <w:rPr>
          <w:rFonts w:ascii="Times New Roman"/>
          <w:sz w:val="16"/>
        </w:rPr>
      </w:pPr>
    </w:p>
    <w:p>
      <w:pPr>
        <w:pStyle w:val="BodyText"/>
        <w:rPr>
          <w:rFonts w:ascii="Times New Roman"/>
          <w:sz w:val="16"/>
        </w:rPr>
      </w:pPr>
    </w:p>
    <w:p>
      <w:pPr>
        <w:pStyle w:val="BodyText"/>
        <w:rPr>
          <w:rFonts w:ascii="Times New Roman"/>
          <w:sz w:val="16"/>
        </w:rPr>
      </w:pPr>
    </w:p>
    <w:p>
      <w:pPr>
        <w:spacing w:line="174" w:lineRule="exact" w:before="122"/>
        <w:ind w:left="368" w:right="1200" w:firstLine="0"/>
        <w:jc w:val="both"/>
        <w:rPr>
          <w:rFonts w:ascii="Times New Roman" w:hAnsi="Times New Roman"/>
          <w:sz w:val="16"/>
        </w:rPr>
      </w:pPr>
      <w:r>
        <w:rPr>
          <w:rFonts w:ascii="Times New Roman" w:hAnsi="Times New Roman"/>
          <w:color w:val="231F20"/>
          <w:sz w:val="16"/>
        </w:rPr>
        <w:t>bajos</w:t>
      </w:r>
      <w:r>
        <w:rPr>
          <w:rFonts w:ascii="Times New Roman" w:hAnsi="Times New Roman"/>
          <w:color w:val="231F20"/>
          <w:spacing w:val="-18"/>
          <w:sz w:val="16"/>
        </w:rPr>
        <w:t> </w:t>
      </w:r>
      <w:r>
        <w:rPr>
          <w:rFonts w:ascii="Times New Roman" w:hAnsi="Times New Roman"/>
          <w:color w:val="231F20"/>
          <w:sz w:val="16"/>
        </w:rPr>
        <w:t>y</w:t>
      </w:r>
      <w:r>
        <w:rPr>
          <w:rFonts w:ascii="Times New Roman" w:hAnsi="Times New Roman"/>
          <w:color w:val="231F20"/>
          <w:spacing w:val="-19"/>
          <w:sz w:val="16"/>
        </w:rPr>
        <w:t> </w:t>
      </w:r>
      <w:r>
        <w:rPr>
          <w:rFonts w:ascii="Times New Roman" w:hAnsi="Times New Roman"/>
          <w:color w:val="231F20"/>
          <w:sz w:val="16"/>
        </w:rPr>
        <w:t>alta</w:t>
      </w:r>
      <w:r>
        <w:rPr>
          <w:rFonts w:ascii="Times New Roman" w:hAnsi="Times New Roman"/>
          <w:color w:val="231F20"/>
          <w:spacing w:val="-19"/>
          <w:sz w:val="16"/>
        </w:rPr>
        <w:t> </w:t>
      </w:r>
      <w:r>
        <w:rPr>
          <w:rFonts w:ascii="Times New Roman" w:hAnsi="Times New Roman"/>
          <w:color w:val="231F20"/>
          <w:sz w:val="16"/>
        </w:rPr>
        <w:t>persistencia</w:t>
      </w:r>
      <w:r>
        <w:rPr>
          <w:rFonts w:ascii="Times New Roman" w:hAnsi="Times New Roman"/>
          <w:color w:val="231F20"/>
          <w:spacing w:val="-18"/>
          <w:sz w:val="16"/>
        </w:rPr>
        <w:t> </w:t>
      </w:r>
      <w:r>
        <w:rPr>
          <w:rFonts w:ascii="Times New Roman" w:hAnsi="Times New Roman"/>
          <w:color w:val="231F20"/>
          <w:sz w:val="16"/>
        </w:rPr>
        <w:t>(t</w:t>
      </w:r>
      <w:r>
        <w:rPr>
          <w:rFonts w:ascii="Times New Roman" w:hAnsi="Times New Roman"/>
          <w:color w:val="231F20"/>
          <w:position w:val="-1"/>
          <w:sz w:val="11"/>
        </w:rPr>
        <w:t>1/2</w:t>
      </w:r>
      <w:r>
        <w:rPr>
          <w:rFonts w:ascii="Times New Roman" w:hAnsi="Times New Roman"/>
          <w:color w:val="231F20"/>
          <w:spacing w:val="-13"/>
          <w:position w:val="-1"/>
          <w:sz w:val="11"/>
        </w:rPr>
        <w:t> </w:t>
      </w:r>
      <w:r>
        <w:rPr>
          <w:rFonts w:ascii="Times New Roman" w:hAnsi="Times New Roman"/>
          <w:color w:val="231F20"/>
          <w:sz w:val="16"/>
        </w:rPr>
        <w:t>alto),</w:t>
      </w:r>
      <w:r>
        <w:rPr>
          <w:rFonts w:ascii="Times New Roman" w:hAnsi="Times New Roman"/>
          <w:color w:val="231F20"/>
          <w:spacing w:val="-18"/>
          <w:sz w:val="16"/>
        </w:rPr>
        <w:t> </w:t>
      </w:r>
      <w:r>
        <w:rPr>
          <w:rFonts w:ascii="Times New Roman" w:hAnsi="Times New Roman"/>
          <w:color w:val="231F20"/>
          <w:sz w:val="16"/>
        </w:rPr>
        <w:t>características</w:t>
      </w:r>
      <w:r>
        <w:rPr>
          <w:rFonts w:ascii="Times New Roman" w:hAnsi="Times New Roman"/>
          <w:color w:val="231F20"/>
          <w:spacing w:val="-19"/>
          <w:sz w:val="16"/>
        </w:rPr>
        <w:t> </w:t>
      </w:r>
      <w:r>
        <w:rPr>
          <w:rFonts w:ascii="Times New Roman" w:hAnsi="Times New Roman"/>
          <w:color w:val="231F20"/>
          <w:sz w:val="16"/>
        </w:rPr>
        <w:t>que según</w:t>
      </w:r>
      <w:r>
        <w:rPr>
          <w:rFonts w:ascii="Times New Roman" w:hAnsi="Times New Roman"/>
          <w:color w:val="231F20"/>
          <w:spacing w:val="-14"/>
          <w:sz w:val="16"/>
        </w:rPr>
        <w:t> </w:t>
      </w:r>
      <w:r>
        <w:rPr>
          <w:rFonts w:ascii="Times New Roman" w:hAnsi="Times New Roman"/>
          <w:color w:val="231F20"/>
          <w:sz w:val="16"/>
        </w:rPr>
        <w:t>la</w:t>
      </w:r>
      <w:r>
        <w:rPr>
          <w:rFonts w:ascii="Times New Roman" w:hAnsi="Times New Roman"/>
          <w:color w:val="231F20"/>
          <w:spacing w:val="-16"/>
          <w:sz w:val="16"/>
        </w:rPr>
        <w:t> </w:t>
      </w:r>
      <w:r>
        <w:rPr>
          <w:rFonts w:ascii="Times New Roman" w:hAnsi="Times New Roman"/>
          <w:color w:val="231F20"/>
          <w:sz w:val="16"/>
        </w:rPr>
        <w:t>WHO</w:t>
      </w:r>
      <w:r>
        <w:rPr>
          <w:rFonts w:ascii="Times New Roman" w:hAnsi="Times New Roman"/>
          <w:color w:val="231F20"/>
          <w:spacing w:val="-14"/>
          <w:sz w:val="16"/>
        </w:rPr>
        <w:t> </w:t>
      </w:r>
      <w:r>
        <w:rPr>
          <w:rFonts w:ascii="Times New Roman" w:hAnsi="Times New Roman"/>
          <w:color w:val="231F20"/>
          <w:sz w:val="16"/>
        </w:rPr>
        <w:t>(2009)</w:t>
      </w:r>
      <w:r>
        <w:rPr>
          <w:rFonts w:ascii="Times New Roman" w:hAnsi="Times New Roman"/>
          <w:color w:val="231F20"/>
          <w:spacing w:val="-14"/>
          <w:sz w:val="16"/>
        </w:rPr>
        <w:t> </w:t>
      </w:r>
      <w:r>
        <w:rPr>
          <w:rFonts w:ascii="Times New Roman" w:hAnsi="Times New Roman"/>
          <w:color w:val="231F20"/>
          <w:sz w:val="16"/>
        </w:rPr>
        <w:t>implican</w:t>
      </w:r>
      <w:r>
        <w:rPr>
          <w:rFonts w:ascii="Times New Roman" w:hAnsi="Times New Roman"/>
          <w:color w:val="231F20"/>
          <w:spacing w:val="-14"/>
          <w:sz w:val="16"/>
        </w:rPr>
        <w:t> </w:t>
      </w:r>
      <w:r>
        <w:rPr>
          <w:rFonts w:ascii="Times New Roman" w:hAnsi="Times New Roman"/>
          <w:color w:val="231F20"/>
          <w:sz w:val="16"/>
        </w:rPr>
        <w:t>mayor</w:t>
      </w:r>
      <w:r>
        <w:rPr>
          <w:rFonts w:ascii="Times New Roman" w:hAnsi="Times New Roman"/>
          <w:color w:val="231F20"/>
          <w:spacing w:val="-14"/>
          <w:sz w:val="16"/>
        </w:rPr>
        <w:t> </w:t>
      </w:r>
      <w:r>
        <w:rPr>
          <w:rFonts w:ascii="Times New Roman" w:hAnsi="Times New Roman"/>
          <w:color w:val="231F20"/>
          <w:sz w:val="16"/>
        </w:rPr>
        <w:t>peligro</w:t>
      </w:r>
      <w:r>
        <w:rPr>
          <w:rFonts w:ascii="Times New Roman" w:hAnsi="Times New Roman"/>
          <w:color w:val="231F20"/>
          <w:spacing w:val="-14"/>
          <w:sz w:val="16"/>
        </w:rPr>
        <w:t> </w:t>
      </w:r>
      <w:r>
        <w:rPr>
          <w:rFonts w:ascii="Times New Roman" w:hAnsi="Times New Roman"/>
          <w:color w:val="231F20"/>
          <w:sz w:val="16"/>
        </w:rPr>
        <w:t>por</w:t>
      </w:r>
      <w:r>
        <w:rPr>
          <w:rFonts w:ascii="Times New Roman" w:hAnsi="Times New Roman"/>
          <w:color w:val="231F20"/>
          <w:spacing w:val="-14"/>
          <w:sz w:val="16"/>
        </w:rPr>
        <w:t> </w:t>
      </w:r>
      <w:r>
        <w:rPr>
          <w:rFonts w:ascii="Times New Roman" w:hAnsi="Times New Roman"/>
          <w:color w:val="231F20"/>
          <w:sz w:val="16"/>
        </w:rPr>
        <w:t>la facilidad para dispersarse y contaminar los cuerpos de</w:t>
      </w:r>
      <w:r>
        <w:rPr>
          <w:rFonts w:ascii="Times New Roman" w:hAnsi="Times New Roman"/>
          <w:color w:val="231F20"/>
          <w:spacing w:val="-19"/>
          <w:sz w:val="16"/>
        </w:rPr>
        <w:t> </w:t>
      </w:r>
      <w:r>
        <w:rPr>
          <w:rFonts w:ascii="Times New Roman" w:hAnsi="Times New Roman"/>
          <w:color w:val="231F20"/>
          <w:sz w:val="16"/>
        </w:rPr>
        <w:t>agua.</w:t>
      </w:r>
      <w:r>
        <w:rPr>
          <w:rFonts w:ascii="Times New Roman" w:hAnsi="Times New Roman"/>
          <w:color w:val="231F20"/>
          <w:spacing w:val="-20"/>
          <w:sz w:val="16"/>
        </w:rPr>
        <w:t> </w:t>
      </w:r>
      <w:r>
        <w:rPr>
          <w:rFonts w:ascii="Times New Roman" w:hAnsi="Times New Roman"/>
          <w:color w:val="231F20"/>
          <w:sz w:val="16"/>
        </w:rPr>
        <w:t>El</w:t>
      </w:r>
      <w:r>
        <w:rPr>
          <w:rFonts w:ascii="Times New Roman" w:hAnsi="Times New Roman"/>
          <w:color w:val="231F20"/>
          <w:spacing w:val="-19"/>
          <w:sz w:val="16"/>
        </w:rPr>
        <w:t> </w:t>
      </w:r>
      <w:r>
        <w:rPr>
          <w:rFonts w:ascii="Times New Roman" w:hAnsi="Times New Roman"/>
          <w:color w:val="231F20"/>
          <w:sz w:val="16"/>
        </w:rPr>
        <w:t>grupo</w:t>
      </w:r>
      <w:r>
        <w:rPr>
          <w:rFonts w:ascii="Times New Roman" w:hAnsi="Times New Roman"/>
          <w:color w:val="231F20"/>
          <w:spacing w:val="-20"/>
          <w:sz w:val="16"/>
        </w:rPr>
        <w:t> </w:t>
      </w:r>
      <w:r>
        <w:rPr>
          <w:rFonts w:ascii="Times New Roman" w:hAnsi="Times New Roman"/>
          <w:color w:val="231F20"/>
          <w:sz w:val="16"/>
        </w:rPr>
        <w:t>de</w:t>
      </w:r>
      <w:r>
        <w:rPr>
          <w:rFonts w:ascii="Times New Roman" w:hAnsi="Times New Roman"/>
          <w:color w:val="231F20"/>
          <w:spacing w:val="-19"/>
          <w:sz w:val="16"/>
        </w:rPr>
        <w:t> </w:t>
      </w:r>
      <w:r>
        <w:rPr>
          <w:rFonts w:ascii="Times New Roman" w:hAnsi="Times New Roman"/>
          <w:color w:val="231F20"/>
          <w:sz w:val="16"/>
        </w:rPr>
        <w:t>los</w:t>
      </w:r>
      <w:r>
        <w:rPr>
          <w:rFonts w:ascii="Times New Roman" w:hAnsi="Times New Roman"/>
          <w:color w:val="231F20"/>
          <w:spacing w:val="-20"/>
          <w:sz w:val="16"/>
        </w:rPr>
        <w:t> </w:t>
      </w:r>
      <w:r>
        <w:rPr>
          <w:rFonts w:ascii="Times New Roman" w:hAnsi="Times New Roman"/>
          <w:color w:val="231F20"/>
          <w:sz w:val="16"/>
        </w:rPr>
        <w:t>aromáticos</w:t>
      </w:r>
      <w:r>
        <w:rPr>
          <w:rFonts w:ascii="Times New Roman" w:hAnsi="Times New Roman"/>
          <w:color w:val="231F20"/>
          <w:spacing w:val="-20"/>
          <w:sz w:val="16"/>
        </w:rPr>
        <w:t> </w:t>
      </w:r>
      <w:r>
        <w:rPr>
          <w:rFonts w:ascii="Times New Roman" w:hAnsi="Times New Roman"/>
          <w:color w:val="231F20"/>
          <w:sz w:val="16"/>
        </w:rPr>
        <w:t>policlorados</w:t>
      </w:r>
      <w:r>
        <w:rPr>
          <w:rFonts w:ascii="Times New Roman" w:hAnsi="Times New Roman"/>
          <w:color w:val="231F20"/>
          <w:spacing w:val="-20"/>
          <w:sz w:val="16"/>
        </w:rPr>
        <w:t> </w:t>
      </w:r>
      <w:r>
        <w:rPr>
          <w:rFonts w:ascii="Times New Roman" w:hAnsi="Times New Roman"/>
          <w:color w:val="231F20"/>
          <w:sz w:val="16"/>
        </w:rPr>
        <w:t>y</w:t>
      </w:r>
      <w:r>
        <w:rPr>
          <w:rFonts w:ascii="Times New Roman" w:hAnsi="Times New Roman"/>
          <w:color w:val="231F20"/>
          <w:spacing w:val="-20"/>
          <w:sz w:val="16"/>
        </w:rPr>
        <w:t> </w:t>
      </w:r>
      <w:r>
        <w:rPr>
          <w:rFonts w:ascii="Times New Roman" w:hAnsi="Times New Roman"/>
          <w:color w:val="231F20"/>
          <w:sz w:val="16"/>
        </w:rPr>
        <w:t>de las</w:t>
      </w:r>
      <w:r>
        <w:rPr>
          <w:rFonts w:ascii="Times New Roman" w:hAnsi="Times New Roman"/>
          <w:color w:val="231F20"/>
          <w:spacing w:val="-20"/>
          <w:sz w:val="16"/>
        </w:rPr>
        <w:t> </w:t>
      </w:r>
      <w:r>
        <w:rPr>
          <w:rFonts w:ascii="Times New Roman" w:hAnsi="Times New Roman"/>
          <w:color w:val="231F20"/>
          <w:sz w:val="16"/>
        </w:rPr>
        <w:t>imidazolinonas,</w:t>
      </w:r>
      <w:r>
        <w:rPr>
          <w:rFonts w:ascii="Times New Roman" w:hAnsi="Times New Roman"/>
          <w:color w:val="231F20"/>
          <w:spacing w:val="-20"/>
          <w:sz w:val="16"/>
        </w:rPr>
        <w:t> </w:t>
      </w:r>
      <w:r>
        <w:rPr>
          <w:rFonts w:ascii="Times New Roman" w:hAnsi="Times New Roman"/>
          <w:color w:val="231F20"/>
          <w:sz w:val="16"/>
        </w:rPr>
        <w:t>a</w:t>
      </w:r>
      <w:r>
        <w:rPr>
          <w:rFonts w:ascii="Times New Roman" w:hAnsi="Times New Roman"/>
          <w:color w:val="231F20"/>
          <w:spacing w:val="-20"/>
          <w:sz w:val="16"/>
        </w:rPr>
        <w:t> </w:t>
      </w:r>
      <w:r>
        <w:rPr>
          <w:rFonts w:ascii="Times New Roman" w:hAnsi="Times New Roman"/>
          <w:color w:val="231F20"/>
          <w:sz w:val="16"/>
        </w:rPr>
        <w:t>los</w:t>
      </w:r>
      <w:r>
        <w:rPr>
          <w:rFonts w:ascii="Times New Roman" w:hAnsi="Times New Roman"/>
          <w:color w:val="231F20"/>
          <w:spacing w:val="-20"/>
          <w:sz w:val="16"/>
        </w:rPr>
        <w:t> </w:t>
      </w:r>
      <w:r>
        <w:rPr>
          <w:rFonts w:ascii="Times New Roman" w:hAnsi="Times New Roman"/>
          <w:color w:val="231F20"/>
          <w:sz w:val="16"/>
        </w:rPr>
        <w:t>que</w:t>
      </w:r>
      <w:r>
        <w:rPr>
          <w:rFonts w:ascii="Times New Roman" w:hAnsi="Times New Roman"/>
          <w:color w:val="231F20"/>
          <w:spacing w:val="-20"/>
          <w:sz w:val="16"/>
        </w:rPr>
        <w:t> </w:t>
      </w:r>
      <w:r>
        <w:rPr>
          <w:rFonts w:ascii="Times New Roman" w:hAnsi="Times New Roman"/>
          <w:color w:val="231F20"/>
          <w:sz w:val="16"/>
        </w:rPr>
        <w:t>pertenecen</w:t>
      </w:r>
      <w:r>
        <w:rPr>
          <w:rFonts w:ascii="Times New Roman" w:hAnsi="Times New Roman"/>
          <w:color w:val="231F20"/>
          <w:spacing w:val="-20"/>
          <w:sz w:val="16"/>
        </w:rPr>
        <w:t> </w:t>
      </w:r>
      <w:r>
        <w:rPr>
          <w:rFonts w:ascii="Times New Roman" w:hAnsi="Times New Roman"/>
          <w:color w:val="231F20"/>
          <w:sz w:val="16"/>
        </w:rPr>
        <w:t>el</w:t>
      </w:r>
      <w:r>
        <w:rPr>
          <w:rFonts w:ascii="Times New Roman" w:hAnsi="Times New Roman"/>
          <w:color w:val="231F20"/>
          <w:spacing w:val="-20"/>
          <w:sz w:val="16"/>
        </w:rPr>
        <w:t> </w:t>
      </w:r>
      <w:r>
        <w:rPr>
          <w:rFonts w:ascii="Times New Roman" w:hAnsi="Times New Roman"/>
          <w:color w:val="231F20"/>
          <w:sz w:val="16"/>
        </w:rPr>
        <w:t>clorotalo- nil</w:t>
      </w:r>
      <w:r>
        <w:rPr>
          <w:rFonts w:ascii="Times New Roman" w:hAnsi="Times New Roman"/>
          <w:color w:val="231F20"/>
          <w:spacing w:val="-11"/>
          <w:sz w:val="16"/>
        </w:rPr>
        <w:t> </w:t>
      </w:r>
      <w:r>
        <w:rPr>
          <w:rFonts w:ascii="Times New Roman" w:hAnsi="Times New Roman"/>
          <w:color w:val="231F20"/>
          <w:sz w:val="16"/>
        </w:rPr>
        <w:t>y</w:t>
      </w:r>
      <w:r>
        <w:rPr>
          <w:rFonts w:ascii="Times New Roman" w:hAnsi="Times New Roman"/>
          <w:color w:val="231F20"/>
          <w:spacing w:val="-11"/>
          <w:sz w:val="16"/>
        </w:rPr>
        <w:t> </w:t>
      </w:r>
      <w:r>
        <w:rPr>
          <w:rFonts w:ascii="Times New Roman" w:hAnsi="Times New Roman"/>
          <w:color w:val="231F20"/>
          <w:sz w:val="16"/>
        </w:rPr>
        <w:t>el</w:t>
      </w:r>
      <w:r>
        <w:rPr>
          <w:rFonts w:ascii="Times New Roman" w:hAnsi="Times New Roman"/>
          <w:color w:val="231F20"/>
          <w:spacing w:val="-11"/>
          <w:sz w:val="16"/>
        </w:rPr>
        <w:t> </w:t>
      </w:r>
      <w:r>
        <w:rPr>
          <w:rFonts w:ascii="Times New Roman" w:hAnsi="Times New Roman"/>
          <w:color w:val="231F20"/>
          <w:sz w:val="16"/>
        </w:rPr>
        <w:t>fenamidone,</w:t>
      </w:r>
      <w:r>
        <w:rPr>
          <w:rFonts w:ascii="Times New Roman" w:hAnsi="Times New Roman"/>
          <w:color w:val="231F20"/>
          <w:spacing w:val="-11"/>
          <w:sz w:val="16"/>
        </w:rPr>
        <w:t> </w:t>
      </w:r>
      <w:r>
        <w:rPr>
          <w:rFonts w:ascii="Times New Roman" w:hAnsi="Times New Roman"/>
          <w:color w:val="231F20"/>
          <w:sz w:val="16"/>
        </w:rPr>
        <w:t>respectivamente,</w:t>
      </w:r>
      <w:r>
        <w:rPr>
          <w:rFonts w:ascii="Times New Roman" w:hAnsi="Times New Roman"/>
          <w:color w:val="231F20"/>
          <w:spacing w:val="-11"/>
          <w:sz w:val="16"/>
        </w:rPr>
        <w:t> </w:t>
      </w:r>
      <w:r>
        <w:rPr>
          <w:rFonts w:ascii="Times New Roman" w:hAnsi="Times New Roman"/>
          <w:color w:val="231F20"/>
          <w:sz w:val="16"/>
        </w:rPr>
        <w:t>presentan</w:t>
      </w:r>
      <w:r>
        <w:rPr>
          <w:rFonts w:ascii="Times New Roman" w:hAnsi="Times New Roman"/>
          <w:color w:val="231F20"/>
          <w:spacing w:val="-11"/>
          <w:sz w:val="16"/>
        </w:rPr>
        <w:t> </w:t>
      </w:r>
      <w:r>
        <w:rPr>
          <w:rFonts w:ascii="Times New Roman" w:hAnsi="Times New Roman"/>
          <w:color w:val="231F20"/>
          <w:sz w:val="16"/>
        </w:rPr>
        <w:t>alta persistencia</w:t>
      </w:r>
      <w:r>
        <w:rPr>
          <w:rFonts w:ascii="Times New Roman" w:hAnsi="Times New Roman"/>
          <w:color w:val="231F20"/>
          <w:spacing w:val="-20"/>
          <w:sz w:val="16"/>
        </w:rPr>
        <w:t> </w:t>
      </w:r>
      <w:r>
        <w:rPr>
          <w:rFonts w:ascii="Times New Roman" w:hAnsi="Times New Roman"/>
          <w:color w:val="231F20"/>
          <w:sz w:val="16"/>
        </w:rPr>
        <w:t>(t</w:t>
      </w:r>
      <w:r>
        <w:rPr>
          <w:rFonts w:ascii="Times New Roman" w:hAnsi="Times New Roman"/>
          <w:color w:val="231F20"/>
          <w:position w:val="-1"/>
          <w:sz w:val="11"/>
        </w:rPr>
        <w:t>1/2</w:t>
      </w:r>
      <w:r>
        <w:rPr>
          <w:rFonts w:ascii="Times New Roman" w:hAnsi="Times New Roman"/>
          <w:color w:val="231F20"/>
          <w:spacing w:val="-14"/>
          <w:position w:val="-1"/>
          <w:sz w:val="11"/>
        </w:rPr>
        <w:t> </w:t>
      </w:r>
      <w:r>
        <w:rPr>
          <w:rFonts w:ascii="Times New Roman" w:hAnsi="Times New Roman"/>
          <w:color w:val="231F20"/>
          <w:sz w:val="16"/>
        </w:rPr>
        <w:t>alto),</w:t>
      </w:r>
      <w:r>
        <w:rPr>
          <w:rFonts w:ascii="Times New Roman" w:hAnsi="Times New Roman"/>
          <w:color w:val="231F20"/>
          <w:spacing w:val="-20"/>
          <w:sz w:val="16"/>
        </w:rPr>
        <w:t> </w:t>
      </w:r>
      <w:r>
        <w:rPr>
          <w:rFonts w:ascii="Times New Roman" w:hAnsi="Times New Roman"/>
          <w:color w:val="231F20"/>
          <w:sz w:val="16"/>
        </w:rPr>
        <w:t>baja</w:t>
      </w:r>
      <w:r>
        <w:rPr>
          <w:rFonts w:ascii="Times New Roman" w:hAnsi="Times New Roman"/>
          <w:color w:val="231F20"/>
          <w:spacing w:val="-20"/>
          <w:sz w:val="16"/>
        </w:rPr>
        <w:t> </w:t>
      </w:r>
      <w:r>
        <w:rPr>
          <w:rFonts w:ascii="Times New Roman" w:hAnsi="Times New Roman"/>
          <w:color w:val="231F20"/>
          <w:sz w:val="16"/>
        </w:rPr>
        <w:t>movilidad</w:t>
      </w:r>
      <w:r>
        <w:rPr>
          <w:rFonts w:ascii="Times New Roman" w:hAnsi="Times New Roman"/>
          <w:color w:val="231F20"/>
          <w:spacing w:val="-20"/>
          <w:sz w:val="16"/>
        </w:rPr>
        <w:t> </w:t>
      </w:r>
      <w:r>
        <w:rPr>
          <w:rFonts w:ascii="Times New Roman" w:hAnsi="Times New Roman"/>
          <w:color w:val="231F20"/>
          <w:sz w:val="16"/>
        </w:rPr>
        <w:t>y</w:t>
      </w:r>
      <w:r>
        <w:rPr>
          <w:rFonts w:ascii="Times New Roman" w:hAnsi="Times New Roman"/>
          <w:color w:val="231F20"/>
          <w:spacing w:val="-20"/>
          <w:sz w:val="16"/>
        </w:rPr>
        <w:t> </w:t>
      </w:r>
      <w:r>
        <w:rPr>
          <w:rFonts w:ascii="Times New Roman" w:hAnsi="Times New Roman"/>
          <w:color w:val="231F20"/>
          <w:sz w:val="16"/>
        </w:rPr>
        <w:t>tienen</w:t>
      </w:r>
      <w:r>
        <w:rPr>
          <w:rFonts w:ascii="Times New Roman" w:hAnsi="Times New Roman"/>
          <w:color w:val="231F20"/>
          <w:spacing w:val="-20"/>
          <w:sz w:val="16"/>
        </w:rPr>
        <w:t> </w:t>
      </w:r>
      <w:r>
        <w:rPr>
          <w:rFonts w:ascii="Times New Roman" w:hAnsi="Times New Roman"/>
          <w:color w:val="231F20"/>
          <w:sz w:val="16"/>
        </w:rPr>
        <w:t>mayor afinidad</w:t>
      </w:r>
      <w:r>
        <w:rPr>
          <w:rFonts w:ascii="Times New Roman" w:hAnsi="Times New Roman"/>
          <w:color w:val="231F20"/>
          <w:spacing w:val="-16"/>
          <w:sz w:val="16"/>
        </w:rPr>
        <w:t> </w:t>
      </w:r>
      <w:r>
        <w:rPr>
          <w:rFonts w:ascii="Times New Roman" w:hAnsi="Times New Roman"/>
          <w:color w:val="231F20"/>
          <w:sz w:val="16"/>
        </w:rPr>
        <w:t>por</w:t>
      </w:r>
      <w:r>
        <w:rPr>
          <w:rFonts w:ascii="Times New Roman" w:hAnsi="Times New Roman"/>
          <w:color w:val="231F20"/>
          <w:spacing w:val="-16"/>
          <w:sz w:val="16"/>
        </w:rPr>
        <w:t> </w:t>
      </w:r>
      <w:r>
        <w:rPr>
          <w:rFonts w:ascii="Times New Roman" w:hAnsi="Times New Roman"/>
          <w:color w:val="231F20"/>
          <w:sz w:val="16"/>
        </w:rPr>
        <w:t>los</w:t>
      </w:r>
      <w:r>
        <w:rPr>
          <w:rFonts w:ascii="Times New Roman" w:hAnsi="Times New Roman"/>
          <w:color w:val="231F20"/>
          <w:spacing w:val="-16"/>
          <w:sz w:val="16"/>
        </w:rPr>
        <w:t> </w:t>
      </w:r>
      <w:r>
        <w:rPr>
          <w:rFonts w:ascii="Times New Roman" w:hAnsi="Times New Roman"/>
          <w:color w:val="231F20"/>
          <w:sz w:val="16"/>
        </w:rPr>
        <w:t>suelos</w:t>
      </w:r>
      <w:r>
        <w:rPr>
          <w:rFonts w:ascii="Times New Roman" w:hAnsi="Times New Roman"/>
          <w:color w:val="231F20"/>
          <w:spacing w:val="-16"/>
          <w:sz w:val="16"/>
        </w:rPr>
        <w:t> </w:t>
      </w:r>
      <w:r>
        <w:rPr>
          <w:rFonts w:ascii="Times New Roman" w:hAnsi="Times New Roman"/>
          <w:color w:val="231F20"/>
          <w:sz w:val="16"/>
        </w:rPr>
        <w:t>(WHO</w:t>
      </w:r>
      <w:r>
        <w:rPr>
          <w:rFonts w:ascii="Times New Roman" w:hAnsi="Times New Roman"/>
          <w:color w:val="231F20"/>
          <w:spacing w:val="-16"/>
          <w:sz w:val="16"/>
        </w:rPr>
        <w:t> </w:t>
      </w:r>
      <w:r>
        <w:rPr>
          <w:rFonts w:ascii="Times New Roman" w:hAnsi="Times New Roman"/>
          <w:color w:val="231F20"/>
          <w:spacing w:val="-2"/>
          <w:sz w:val="16"/>
        </w:rPr>
        <w:t>2009).</w:t>
      </w:r>
    </w:p>
    <w:p>
      <w:pPr>
        <w:spacing w:line="174" w:lineRule="exact" w:before="0"/>
        <w:ind w:left="368" w:right="1198" w:firstLine="204"/>
        <w:jc w:val="both"/>
        <w:rPr>
          <w:rFonts w:ascii="Times New Roman" w:hAnsi="Times New Roman"/>
          <w:sz w:val="16"/>
        </w:rPr>
      </w:pPr>
      <w:r>
        <w:rPr>
          <w:rFonts w:ascii="Times New Roman" w:hAnsi="Times New Roman"/>
          <w:color w:val="231F20"/>
          <w:sz w:val="16"/>
        </w:rPr>
        <w:t>En la </w:t>
      </w:r>
      <w:r>
        <w:rPr>
          <w:rFonts w:ascii="Times New Roman" w:hAnsi="Times New Roman"/>
          <w:b/>
          <w:color w:val="231F20"/>
          <w:sz w:val="16"/>
        </w:rPr>
        <w:t>figura 2 </w:t>
      </w:r>
      <w:r>
        <w:rPr>
          <w:rFonts w:ascii="Times New Roman" w:hAnsi="Times New Roman"/>
          <w:color w:val="231F20"/>
          <w:sz w:val="16"/>
        </w:rPr>
        <w:t>se muestra, que el clorotalonil es el fungicida que alcanzó la más alta dosis en los predios de riego, con un excedente de 0.7 kg/ha   de ingrediente activo, seguido por el metalaxil y el fenamidone</w:t>
      </w:r>
      <w:r>
        <w:rPr>
          <w:rFonts w:ascii="Times New Roman" w:hAnsi="Times New Roman"/>
          <w:color w:val="231F20"/>
          <w:spacing w:val="-6"/>
          <w:sz w:val="16"/>
        </w:rPr>
        <w:t> </w:t>
      </w:r>
      <w:r>
        <w:rPr>
          <w:rFonts w:ascii="Times New Roman" w:hAnsi="Times New Roman"/>
          <w:color w:val="231F20"/>
          <w:sz w:val="16"/>
        </w:rPr>
        <w:t>con</w:t>
      </w:r>
      <w:r>
        <w:rPr>
          <w:rFonts w:ascii="Times New Roman" w:hAnsi="Times New Roman"/>
          <w:color w:val="231F20"/>
          <w:spacing w:val="-6"/>
          <w:sz w:val="16"/>
        </w:rPr>
        <w:t> </w:t>
      </w:r>
      <w:r>
        <w:rPr>
          <w:rFonts w:ascii="Times New Roman" w:hAnsi="Times New Roman"/>
          <w:color w:val="231F20"/>
          <w:sz w:val="16"/>
        </w:rPr>
        <w:t>0.35</w:t>
      </w:r>
      <w:r>
        <w:rPr>
          <w:rFonts w:ascii="Times New Roman" w:hAnsi="Times New Roman"/>
          <w:color w:val="231F20"/>
          <w:spacing w:val="-6"/>
          <w:sz w:val="16"/>
        </w:rPr>
        <w:t> </w:t>
      </w:r>
      <w:r>
        <w:rPr>
          <w:rFonts w:ascii="Times New Roman" w:hAnsi="Times New Roman"/>
          <w:color w:val="231F20"/>
          <w:sz w:val="16"/>
        </w:rPr>
        <w:t>y</w:t>
      </w:r>
      <w:r>
        <w:rPr>
          <w:rFonts w:ascii="Times New Roman" w:hAnsi="Times New Roman"/>
          <w:color w:val="231F20"/>
          <w:spacing w:val="-6"/>
          <w:sz w:val="16"/>
        </w:rPr>
        <w:t> </w:t>
      </w:r>
      <w:r>
        <w:rPr>
          <w:rFonts w:ascii="Times New Roman" w:hAnsi="Times New Roman"/>
          <w:color w:val="231F20"/>
          <w:sz w:val="16"/>
        </w:rPr>
        <w:t>0.28</w:t>
      </w:r>
      <w:r>
        <w:rPr>
          <w:rFonts w:ascii="Times New Roman" w:hAnsi="Times New Roman"/>
          <w:color w:val="231F20"/>
          <w:spacing w:val="-6"/>
          <w:sz w:val="16"/>
        </w:rPr>
        <w:t> </w:t>
      </w:r>
      <w:r>
        <w:rPr>
          <w:rFonts w:ascii="Times New Roman" w:hAnsi="Times New Roman"/>
          <w:color w:val="231F20"/>
          <w:sz w:val="16"/>
        </w:rPr>
        <w:t>kg/ha</w:t>
      </w:r>
      <w:r>
        <w:rPr>
          <w:rFonts w:ascii="Times New Roman" w:hAnsi="Times New Roman"/>
          <w:color w:val="231F20"/>
          <w:spacing w:val="-6"/>
          <w:sz w:val="16"/>
        </w:rPr>
        <w:t> </w:t>
      </w:r>
      <w:r>
        <w:rPr>
          <w:rFonts w:ascii="Times New Roman" w:hAnsi="Times New Roman"/>
          <w:color w:val="231F20"/>
          <w:sz w:val="16"/>
        </w:rPr>
        <w:t>respectivamente. Además</w:t>
      </w:r>
      <w:r>
        <w:rPr>
          <w:rFonts w:ascii="Times New Roman" w:hAnsi="Times New Roman"/>
          <w:color w:val="231F20"/>
          <w:spacing w:val="-8"/>
          <w:sz w:val="16"/>
        </w:rPr>
        <w:t> </w:t>
      </w:r>
      <w:r>
        <w:rPr>
          <w:rFonts w:ascii="Times New Roman" w:hAnsi="Times New Roman"/>
          <w:color w:val="231F20"/>
          <w:sz w:val="16"/>
        </w:rPr>
        <w:t>de</w:t>
      </w:r>
      <w:r>
        <w:rPr>
          <w:rFonts w:ascii="Times New Roman" w:hAnsi="Times New Roman"/>
          <w:color w:val="231F20"/>
          <w:spacing w:val="-8"/>
          <w:sz w:val="16"/>
        </w:rPr>
        <w:t> </w:t>
      </w:r>
      <w:r>
        <w:rPr>
          <w:rFonts w:ascii="Times New Roman" w:hAnsi="Times New Roman"/>
          <w:color w:val="231F20"/>
          <w:sz w:val="16"/>
        </w:rPr>
        <w:t>lo</w:t>
      </w:r>
      <w:r>
        <w:rPr>
          <w:rFonts w:ascii="Times New Roman" w:hAnsi="Times New Roman"/>
          <w:color w:val="231F20"/>
          <w:spacing w:val="-8"/>
          <w:sz w:val="16"/>
        </w:rPr>
        <w:t> </w:t>
      </w:r>
      <w:r>
        <w:rPr>
          <w:rFonts w:ascii="Times New Roman" w:hAnsi="Times New Roman"/>
          <w:color w:val="231F20"/>
          <w:sz w:val="16"/>
        </w:rPr>
        <w:t>anterior,</w:t>
      </w:r>
      <w:r>
        <w:rPr>
          <w:rFonts w:ascii="Times New Roman" w:hAnsi="Times New Roman"/>
          <w:color w:val="231F20"/>
          <w:spacing w:val="-8"/>
          <w:sz w:val="16"/>
        </w:rPr>
        <w:t> </w:t>
      </w:r>
      <w:r>
        <w:rPr>
          <w:rFonts w:ascii="Times New Roman" w:hAnsi="Times New Roman"/>
          <w:color w:val="231F20"/>
          <w:sz w:val="16"/>
        </w:rPr>
        <w:t>el</w:t>
      </w:r>
      <w:r>
        <w:rPr>
          <w:rFonts w:ascii="Times New Roman" w:hAnsi="Times New Roman"/>
          <w:color w:val="231F20"/>
          <w:spacing w:val="-8"/>
          <w:sz w:val="16"/>
        </w:rPr>
        <w:t> </w:t>
      </w:r>
      <w:r>
        <w:rPr>
          <w:rFonts w:ascii="Times New Roman" w:hAnsi="Times New Roman"/>
          <w:color w:val="231F20"/>
          <w:sz w:val="16"/>
        </w:rPr>
        <w:t>metalaxil</w:t>
      </w:r>
      <w:r>
        <w:rPr>
          <w:rFonts w:ascii="Times New Roman" w:hAnsi="Times New Roman"/>
          <w:color w:val="231F20"/>
          <w:spacing w:val="-8"/>
          <w:sz w:val="16"/>
        </w:rPr>
        <w:t> </w:t>
      </w:r>
      <w:r>
        <w:rPr>
          <w:rFonts w:ascii="Times New Roman" w:hAnsi="Times New Roman"/>
          <w:color w:val="231F20"/>
          <w:sz w:val="16"/>
        </w:rPr>
        <w:t>y</w:t>
      </w:r>
      <w:r>
        <w:rPr>
          <w:rFonts w:ascii="Times New Roman" w:hAnsi="Times New Roman"/>
          <w:color w:val="231F20"/>
          <w:spacing w:val="-8"/>
          <w:sz w:val="16"/>
        </w:rPr>
        <w:t> </w:t>
      </w:r>
      <w:r>
        <w:rPr>
          <w:rFonts w:ascii="Times New Roman" w:hAnsi="Times New Roman"/>
          <w:color w:val="231F20"/>
          <w:sz w:val="16"/>
        </w:rPr>
        <w:t>el</w:t>
      </w:r>
      <w:r>
        <w:rPr>
          <w:rFonts w:ascii="Times New Roman" w:hAnsi="Times New Roman"/>
          <w:color w:val="231F20"/>
          <w:spacing w:val="-8"/>
          <w:sz w:val="16"/>
        </w:rPr>
        <w:t> </w:t>
      </w:r>
      <w:r>
        <w:rPr>
          <w:rFonts w:ascii="Times New Roman" w:hAnsi="Times New Roman"/>
          <w:color w:val="231F20"/>
          <w:sz w:val="16"/>
        </w:rPr>
        <w:t>clorotalonil fueron aplicados en el 90 % de la superficie total del cultivo de papa analizada, el fenamidone y el propamocarb</w:t>
      </w:r>
      <w:r>
        <w:rPr>
          <w:rFonts w:ascii="Times New Roman" w:hAnsi="Times New Roman"/>
          <w:color w:val="231F20"/>
          <w:spacing w:val="-12"/>
          <w:sz w:val="16"/>
        </w:rPr>
        <w:t> </w:t>
      </w:r>
      <w:r>
        <w:rPr>
          <w:rFonts w:ascii="Times New Roman" w:hAnsi="Times New Roman"/>
          <w:color w:val="231F20"/>
          <w:sz w:val="16"/>
        </w:rPr>
        <w:t>en</w:t>
      </w:r>
      <w:r>
        <w:rPr>
          <w:rFonts w:ascii="Times New Roman" w:hAnsi="Times New Roman"/>
          <w:color w:val="231F20"/>
          <w:spacing w:val="-12"/>
          <w:sz w:val="16"/>
        </w:rPr>
        <w:t> </w:t>
      </w:r>
      <w:r>
        <w:rPr>
          <w:rFonts w:ascii="Times New Roman" w:hAnsi="Times New Roman"/>
          <w:color w:val="231F20"/>
          <w:sz w:val="16"/>
        </w:rPr>
        <w:t>el</w:t>
      </w:r>
      <w:r>
        <w:rPr>
          <w:rFonts w:ascii="Times New Roman" w:hAnsi="Times New Roman"/>
          <w:color w:val="231F20"/>
          <w:spacing w:val="-12"/>
          <w:sz w:val="16"/>
        </w:rPr>
        <w:t> </w:t>
      </w:r>
      <w:r>
        <w:rPr>
          <w:rFonts w:ascii="Times New Roman" w:hAnsi="Times New Roman"/>
          <w:color w:val="231F20"/>
          <w:sz w:val="16"/>
        </w:rPr>
        <w:t>50</w:t>
      </w:r>
      <w:r>
        <w:rPr>
          <w:rFonts w:ascii="Times New Roman" w:hAnsi="Times New Roman"/>
          <w:color w:val="231F20"/>
          <w:spacing w:val="-12"/>
          <w:sz w:val="16"/>
        </w:rPr>
        <w:t> </w:t>
      </w:r>
      <w:r>
        <w:rPr>
          <w:rFonts w:ascii="Times New Roman" w:hAnsi="Times New Roman"/>
          <w:color w:val="231F20"/>
          <w:sz w:val="16"/>
        </w:rPr>
        <w:t>%,</w:t>
      </w:r>
      <w:r>
        <w:rPr>
          <w:rFonts w:ascii="Times New Roman" w:hAnsi="Times New Roman"/>
          <w:color w:val="231F20"/>
          <w:spacing w:val="-12"/>
          <w:sz w:val="16"/>
        </w:rPr>
        <w:t> </w:t>
      </w:r>
      <w:r>
        <w:rPr>
          <w:rFonts w:ascii="Times New Roman" w:hAnsi="Times New Roman"/>
          <w:color w:val="231F20"/>
          <w:sz w:val="16"/>
        </w:rPr>
        <w:t>mientras</w:t>
      </w:r>
      <w:r>
        <w:rPr>
          <w:rFonts w:ascii="Times New Roman" w:hAnsi="Times New Roman"/>
          <w:color w:val="231F20"/>
          <w:spacing w:val="-12"/>
          <w:sz w:val="16"/>
        </w:rPr>
        <w:t> </w:t>
      </w:r>
      <w:r>
        <w:rPr>
          <w:rFonts w:ascii="Times New Roman" w:hAnsi="Times New Roman"/>
          <w:color w:val="231F20"/>
          <w:sz w:val="16"/>
        </w:rPr>
        <w:t>que</w:t>
      </w:r>
      <w:r>
        <w:rPr>
          <w:rFonts w:ascii="Times New Roman" w:hAnsi="Times New Roman"/>
          <w:color w:val="231F20"/>
          <w:spacing w:val="-12"/>
          <w:sz w:val="16"/>
        </w:rPr>
        <w:t> </w:t>
      </w:r>
      <w:r>
        <w:rPr>
          <w:rFonts w:ascii="Times New Roman" w:hAnsi="Times New Roman"/>
          <w:color w:val="231F20"/>
          <w:sz w:val="16"/>
        </w:rPr>
        <w:t>el</w:t>
      </w:r>
      <w:r>
        <w:rPr>
          <w:rFonts w:ascii="Times New Roman" w:hAnsi="Times New Roman"/>
          <w:color w:val="231F20"/>
          <w:spacing w:val="-12"/>
          <w:sz w:val="16"/>
        </w:rPr>
        <w:t> </w:t>
      </w:r>
      <w:r>
        <w:rPr>
          <w:rFonts w:ascii="Times New Roman" w:hAnsi="Times New Roman"/>
          <w:color w:val="231F20"/>
          <w:sz w:val="16"/>
        </w:rPr>
        <w:t>cymoxanil y el mancozeb en el 35% (</w:t>
      </w:r>
      <w:r>
        <w:rPr>
          <w:rFonts w:ascii="Times New Roman" w:hAnsi="Times New Roman"/>
          <w:b/>
          <w:color w:val="231F20"/>
          <w:sz w:val="16"/>
        </w:rPr>
        <w:t>Fig. 3</w:t>
      </w:r>
      <w:r>
        <w:rPr>
          <w:rFonts w:ascii="Times New Roman" w:hAnsi="Times New Roman"/>
          <w:color w:val="231F20"/>
          <w:sz w:val="16"/>
        </w:rPr>
        <w:t>). En los predios de </w:t>
      </w:r>
      <w:r>
        <w:rPr>
          <w:rFonts w:ascii="Times New Roman" w:hAnsi="Times New Roman"/>
          <w:color w:val="231F20"/>
          <w:spacing w:val="3"/>
          <w:sz w:val="16"/>
        </w:rPr>
        <w:t>temporal </w:t>
      </w:r>
      <w:r>
        <w:rPr>
          <w:rFonts w:ascii="Times New Roman" w:hAnsi="Times New Roman"/>
          <w:color w:val="231F20"/>
          <w:sz w:val="16"/>
        </w:rPr>
        <w:t>el </w:t>
      </w:r>
      <w:r>
        <w:rPr>
          <w:rFonts w:ascii="Times New Roman" w:hAnsi="Times New Roman"/>
          <w:color w:val="231F20"/>
          <w:spacing w:val="3"/>
          <w:sz w:val="16"/>
        </w:rPr>
        <w:t>excedente </w:t>
      </w:r>
      <w:r>
        <w:rPr>
          <w:rFonts w:ascii="Times New Roman" w:hAnsi="Times New Roman"/>
          <w:color w:val="231F20"/>
          <w:sz w:val="16"/>
        </w:rPr>
        <w:t>de </w:t>
      </w:r>
      <w:r>
        <w:rPr>
          <w:rFonts w:ascii="Times New Roman" w:hAnsi="Times New Roman"/>
          <w:color w:val="231F20"/>
          <w:spacing w:val="3"/>
          <w:sz w:val="16"/>
        </w:rPr>
        <w:t>ingrediente activo  </w:t>
      </w:r>
      <w:r>
        <w:rPr>
          <w:rFonts w:ascii="Times New Roman" w:hAnsi="Times New Roman"/>
          <w:color w:val="231F20"/>
          <w:sz w:val="16"/>
        </w:rPr>
        <w:t>de clorotalonil fue de 1.13 kg/ha (</w:t>
      </w:r>
      <w:r>
        <w:rPr>
          <w:rFonts w:ascii="Times New Roman" w:hAnsi="Times New Roman"/>
          <w:b/>
          <w:color w:val="231F20"/>
          <w:sz w:val="16"/>
        </w:rPr>
        <w:t>Fig. 4</w:t>
      </w:r>
      <w:r>
        <w:rPr>
          <w:rFonts w:ascii="Times New Roman" w:hAnsi="Times New Roman"/>
          <w:color w:val="231F20"/>
          <w:sz w:val="16"/>
        </w:rPr>
        <w:t>), para el metalaxil</w:t>
      </w:r>
      <w:r>
        <w:rPr>
          <w:rFonts w:ascii="Times New Roman" w:hAnsi="Times New Roman"/>
          <w:color w:val="231F20"/>
          <w:spacing w:val="24"/>
          <w:sz w:val="16"/>
        </w:rPr>
        <w:t> </w:t>
      </w:r>
      <w:r>
        <w:rPr>
          <w:rFonts w:ascii="Times New Roman" w:hAnsi="Times New Roman"/>
          <w:color w:val="231F20"/>
          <w:sz w:val="16"/>
        </w:rPr>
        <w:t>y</w:t>
      </w:r>
      <w:r>
        <w:rPr>
          <w:rFonts w:ascii="Times New Roman" w:hAnsi="Times New Roman"/>
          <w:color w:val="231F20"/>
          <w:spacing w:val="24"/>
          <w:sz w:val="16"/>
        </w:rPr>
        <w:t> </w:t>
      </w:r>
      <w:r>
        <w:rPr>
          <w:rFonts w:ascii="Times New Roman" w:hAnsi="Times New Roman"/>
          <w:color w:val="231F20"/>
          <w:sz w:val="16"/>
        </w:rPr>
        <w:t>el</w:t>
      </w:r>
      <w:r>
        <w:rPr>
          <w:rFonts w:ascii="Times New Roman" w:hAnsi="Times New Roman"/>
          <w:color w:val="231F20"/>
          <w:spacing w:val="24"/>
          <w:sz w:val="16"/>
        </w:rPr>
        <w:t> </w:t>
      </w:r>
      <w:r>
        <w:rPr>
          <w:rFonts w:ascii="Times New Roman" w:hAnsi="Times New Roman"/>
          <w:color w:val="231F20"/>
          <w:sz w:val="16"/>
        </w:rPr>
        <w:t>fenamidone</w:t>
      </w:r>
      <w:r>
        <w:rPr>
          <w:rFonts w:ascii="Times New Roman" w:hAnsi="Times New Roman"/>
          <w:color w:val="231F20"/>
          <w:spacing w:val="24"/>
          <w:sz w:val="16"/>
        </w:rPr>
        <w:t> </w:t>
      </w:r>
      <w:r>
        <w:rPr>
          <w:rFonts w:ascii="Times New Roman" w:hAnsi="Times New Roman"/>
          <w:color w:val="231F20"/>
          <w:sz w:val="16"/>
        </w:rPr>
        <w:t>de</w:t>
      </w:r>
      <w:r>
        <w:rPr>
          <w:rFonts w:ascii="Times New Roman" w:hAnsi="Times New Roman"/>
          <w:color w:val="231F20"/>
          <w:spacing w:val="24"/>
          <w:sz w:val="16"/>
        </w:rPr>
        <w:t> </w:t>
      </w:r>
      <w:r>
        <w:rPr>
          <w:rFonts w:ascii="Times New Roman" w:hAnsi="Times New Roman"/>
          <w:color w:val="231F20"/>
          <w:sz w:val="16"/>
        </w:rPr>
        <w:t>0.65</w:t>
      </w:r>
      <w:r>
        <w:rPr>
          <w:rFonts w:ascii="Times New Roman" w:hAnsi="Times New Roman"/>
          <w:color w:val="231F20"/>
          <w:spacing w:val="24"/>
          <w:sz w:val="16"/>
        </w:rPr>
        <w:t> </w:t>
      </w:r>
      <w:r>
        <w:rPr>
          <w:rFonts w:ascii="Times New Roman" w:hAnsi="Times New Roman"/>
          <w:color w:val="231F20"/>
          <w:sz w:val="16"/>
        </w:rPr>
        <w:t>y</w:t>
      </w:r>
      <w:r>
        <w:rPr>
          <w:rFonts w:ascii="Times New Roman" w:hAnsi="Times New Roman"/>
          <w:color w:val="231F20"/>
          <w:spacing w:val="24"/>
          <w:sz w:val="16"/>
        </w:rPr>
        <w:t> </w:t>
      </w:r>
      <w:r>
        <w:rPr>
          <w:rFonts w:ascii="Times New Roman" w:hAnsi="Times New Roman"/>
          <w:color w:val="231F20"/>
          <w:sz w:val="16"/>
        </w:rPr>
        <w:t>0.52</w:t>
      </w:r>
      <w:r>
        <w:rPr>
          <w:rFonts w:ascii="Times New Roman" w:hAnsi="Times New Roman"/>
          <w:color w:val="231F20"/>
          <w:spacing w:val="24"/>
          <w:sz w:val="16"/>
        </w:rPr>
        <w:t> </w:t>
      </w:r>
      <w:r>
        <w:rPr>
          <w:rFonts w:ascii="Times New Roman" w:hAnsi="Times New Roman"/>
          <w:color w:val="231F20"/>
          <w:sz w:val="16"/>
        </w:rPr>
        <w:t>kg/ha,</w:t>
      </w:r>
    </w:p>
    <w:p>
      <w:pPr>
        <w:pStyle w:val="BodyText"/>
        <w:spacing w:before="10"/>
        <w:rPr>
          <w:rFonts w:ascii="Times New Roman"/>
          <w:sz w:val="15"/>
        </w:rPr>
      </w:pPr>
    </w:p>
    <w:p>
      <w:pPr>
        <w:spacing w:before="1"/>
        <w:ind w:left="1171" w:right="1759" w:firstLine="0"/>
        <w:jc w:val="center"/>
        <w:rPr>
          <w:sz w:val="11"/>
        </w:rPr>
      </w:pPr>
      <w:r>
        <w:rPr/>
        <w:pict>
          <v:group style="position:absolute;margin-left:316.226898pt;margin-top:7.241433pt;width:163.65pt;height:105.7pt;mso-position-horizontal-relative:page;mso-position-vertical-relative:paragraph;z-index:-107416" coordorigin="6325,145" coordsize="3273,2114">
            <v:shape style="position:absolute;left:6816;top:1442;width:244;height:48" coordorigin="6816,1442" coordsize="244,48" path="m7060,1442l6878,1442,6816,1490,6998,1490,7060,1442xe" filled="true" fillcolor="#a7a9ac" stroked="false">
              <v:path arrowok="t"/>
              <v:fill type="solid"/>
            </v:shape>
            <v:shape style="position:absolute;left:6325;top:1139;width:1301;height:1119" type="#_x0000_t75" stroked="false">
              <v:imagedata r:id="rId41" o:title=""/>
            </v:shape>
            <v:shape style="position:absolute;left:7626;top:1139;width:1972;height:1119" type="#_x0000_t75" stroked="false">
              <v:imagedata r:id="rId42" o:title=""/>
            </v:shape>
            <v:line style="position:absolute" from="6625,280" to="6625,1770" stroked="true" strokeweight=".361pt" strokecolor="#231f20"/>
            <v:line style="position:absolute" from="6605,276" to="6629,276" stroked="true" strokeweight=".4pt" strokecolor="#231f20"/>
            <v:shape style="position:absolute;left:6623;top:145;width:2975;height:1620" coordorigin="6623,145" coordsize="2975,1620" path="m9593,1415l6779,1415,6623,1544,6628,1549,6781,1422,9593,1422,9593,1415m9593,1206l6779,1206,6623,1335,6628,1340,6781,1213,9593,1213,9593,1206m9593,992l6779,992,6623,1121,6628,1127,6781,999,9593,999,9593,992m9593,783l6779,783,6623,912,6628,917,6781,790,9593,790,9593,783m9593,572l6779,572,6623,700,6628,706,6781,579,9593,579,9593,572m9593,356l6779,356,6623,485,6628,491,6781,363,9593,363,9593,356m9593,145l6779,145,6623,274,6628,279,6781,152,9593,152,9593,145m9597,1630l6779,1630,6623,1759,6628,1765,6781,1637,9583,1637,9428,1756,9432,1762,9594,1637,9597,1635,9597,1630e" filled="true" fillcolor="#231f20" stroked="false">
              <v:path arrowok="t"/>
              <v:fill type="solid"/>
            </v:shape>
            <v:line style="position:absolute" from="6605,488" to="6625,488" stroked="true" strokeweight=".360294pt" strokecolor="#231f20"/>
            <v:line style="position:absolute" from="6605,703" to="6625,703" stroked="true" strokeweight=".361016pt" strokecolor="#231f20"/>
            <v:shape style="position:absolute;left:6605;top:915;width:21;height:210" coordorigin="6605,915" coordsize="21,210" path="m6605,915l6625,915m6605,1124l6625,1124e" filled="false" stroked="true" strokeweight=".360294pt" strokecolor="#231f20">
              <v:path arrowok="t"/>
            </v:shape>
            <v:line style="position:absolute" from="6605,1337" to="6625,1337" stroked="true" strokeweight=".361016pt" strokecolor="#231f20"/>
            <v:line style="position:absolute" from="6605,1547" to="6625,1547" stroked="true" strokeweight=".361016pt" strokecolor="#231f20"/>
            <v:line style="position:absolute" from="6605,1752" to="6625,1752" stroked="true" strokeweight=".360294pt" strokecolor="#231f20"/>
            <v:line style="position:absolute" from="9426,1766" to="9433,1766" stroked="true" strokeweight=".4pt" strokecolor="#231f20"/>
            <v:line style="position:absolute" from="6625,1759" to="9433,1759" stroked="true" strokeweight=".3pt" strokecolor="#231f20"/>
            <v:shape style="position:absolute;left:7089;top:1760;width:1875;height:2" coordorigin="7089,1760" coordsize="1875,0" path="m8956,1760l8963,1760m8495,1760l8502,1760m8024,1760l8031,1760m7558,1760l7565,1760m7089,1760l7096,1760e" filled="false" stroked="true" strokeweight="1.102544pt" strokecolor="#231f20">
              <v:path arrowok="t"/>
            </v:shape>
            <v:shape style="position:absolute;left:7290;top:182;width:2117;height:1261" coordorigin="7290,182" coordsize="2117,1261" path="m7534,1395l7352,1395,7290,1442,7472,1442,7534,1395m7994,1379l7812,1379,7750,1427,7932,1427,7994,1379m8471,1079l8289,1079,8228,1126,8410,1126,8471,1079m8938,930l8756,930,8695,977,8876,977,8938,930m9407,182l9225,182,9163,229,9345,229,9407,182e" filled="true" fillcolor="#a7a9ac" stroked="false">
              <v:path arrowok="t"/>
              <v:fill type="solid"/>
            </v:shape>
            <v:shape style="position:absolute;left:6998;top:1379;width:995;height:341" coordorigin="6998,1379" coordsize="995,341" path="m7060,1442l6998,1490,6998,1720,7060,1676,7060,1442m7534,1395l7472,1442,7472,1720,7534,1672,7534,1395m7993,1379l7931,1427,7931,1720,7993,1677,7993,1379e" filled="true" fillcolor="#808285" stroked="false">
              <v:path arrowok="t"/>
              <v:fill type="solid"/>
            </v:shape>
            <v:line style="position:absolute" from="8440,1079" to="8440,1720" stroked="true" strokeweight="3.086pt" strokecolor="#808285"/>
            <v:shape style="position:absolute;left:8907;top:182;width:469;height:1539" coordorigin="8907,182" coordsize="469,1539" path="m8907,930l8907,1720m9376,182l9376,1720e" filled="false" stroked="true" strokeweight="3.0816pt" strokecolor="#808285">
              <v:path arrowok="t"/>
            </v:shape>
            <v:shape style="position:absolute;left:6454;top:234;width:141;height:1586" type="#_x0000_t202" filled="false" stroked="false">
              <v:textbox inset="0,0,0,0">
                <w:txbxContent>
                  <w:p>
                    <w:pPr>
                      <w:spacing w:line="98" w:lineRule="exact" w:before="0"/>
                      <w:ind w:left="0" w:right="-18" w:firstLine="0"/>
                      <w:jc w:val="left"/>
                      <w:rPr>
                        <w:sz w:val="10"/>
                      </w:rPr>
                    </w:pPr>
                    <w:r>
                      <w:rPr>
                        <w:color w:val="231F20"/>
                        <w:sz w:val="10"/>
                      </w:rPr>
                      <w:t>0.7</w:t>
                    </w:r>
                  </w:p>
                  <w:p>
                    <w:pPr>
                      <w:spacing w:line="240" w:lineRule="auto" w:before="10"/>
                      <w:rPr>
                        <w:rFonts w:ascii="Times New Roman"/>
                        <w:sz w:val="8"/>
                      </w:rPr>
                    </w:pPr>
                  </w:p>
                  <w:p>
                    <w:pPr>
                      <w:spacing w:before="0"/>
                      <w:ind w:left="0" w:right="-18" w:firstLine="0"/>
                      <w:jc w:val="left"/>
                      <w:rPr>
                        <w:sz w:val="10"/>
                      </w:rPr>
                    </w:pPr>
                    <w:r>
                      <w:rPr>
                        <w:color w:val="231F20"/>
                        <w:sz w:val="10"/>
                      </w:rPr>
                      <w:t>0.6</w:t>
                    </w:r>
                  </w:p>
                  <w:p>
                    <w:pPr>
                      <w:spacing w:before="86"/>
                      <w:ind w:left="0" w:right="-18" w:firstLine="0"/>
                      <w:jc w:val="left"/>
                      <w:rPr>
                        <w:sz w:val="10"/>
                      </w:rPr>
                    </w:pPr>
                    <w:r>
                      <w:rPr>
                        <w:color w:val="231F20"/>
                        <w:sz w:val="10"/>
                      </w:rPr>
                      <w:t>0.5</w:t>
                    </w:r>
                  </w:p>
                  <w:p>
                    <w:pPr>
                      <w:spacing w:line="240" w:lineRule="auto" w:before="8"/>
                      <w:rPr>
                        <w:rFonts w:ascii="Times New Roman"/>
                        <w:sz w:val="9"/>
                      </w:rPr>
                    </w:pPr>
                  </w:p>
                  <w:p>
                    <w:pPr>
                      <w:spacing w:before="1"/>
                      <w:ind w:left="0" w:right="-18" w:firstLine="0"/>
                      <w:jc w:val="left"/>
                      <w:rPr>
                        <w:sz w:val="10"/>
                      </w:rPr>
                    </w:pPr>
                    <w:r>
                      <w:rPr>
                        <w:color w:val="231F20"/>
                        <w:sz w:val="10"/>
                      </w:rPr>
                      <w:t>0.4</w:t>
                    </w:r>
                  </w:p>
                  <w:p>
                    <w:pPr>
                      <w:spacing w:before="89"/>
                      <w:ind w:left="0" w:right="-18" w:firstLine="0"/>
                      <w:jc w:val="left"/>
                      <w:rPr>
                        <w:sz w:val="10"/>
                      </w:rPr>
                    </w:pPr>
                    <w:r>
                      <w:rPr>
                        <w:color w:val="231F20"/>
                        <w:sz w:val="10"/>
                      </w:rPr>
                      <w:t>0.3</w:t>
                    </w:r>
                  </w:p>
                  <w:p>
                    <w:pPr>
                      <w:spacing w:before="86"/>
                      <w:ind w:left="0" w:right="-18" w:firstLine="0"/>
                      <w:jc w:val="left"/>
                      <w:rPr>
                        <w:sz w:val="10"/>
                      </w:rPr>
                    </w:pPr>
                    <w:r>
                      <w:rPr>
                        <w:color w:val="231F20"/>
                        <w:sz w:val="10"/>
                      </w:rPr>
                      <w:t>0.2</w:t>
                    </w:r>
                  </w:p>
                  <w:p>
                    <w:pPr>
                      <w:spacing w:line="240" w:lineRule="auto" w:before="2"/>
                      <w:rPr>
                        <w:rFonts w:ascii="Times New Roman"/>
                        <w:sz w:val="9"/>
                      </w:rPr>
                    </w:pPr>
                  </w:p>
                  <w:p>
                    <w:pPr>
                      <w:spacing w:before="0"/>
                      <w:ind w:left="0" w:right="-18" w:firstLine="0"/>
                      <w:jc w:val="left"/>
                      <w:rPr>
                        <w:sz w:val="10"/>
                      </w:rPr>
                    </w:pPr>
                    <w:r>
                      <w:rPr>
                        <w:color w:val="231F20"/>
                        <w:sz w:val="10"/>
                      </w:rPr>
                      <w:t>0.1</w:t>
                    </w:r>
                  </w:p>
                  <w:p>
                    <w:pPr>
                      <w:spacing w:line="240" w:lineRule="auto" w:before="5"/>
                      <w:rPr>
                        <w:rFonts w:ascii="Times New Roman"/>
                        <w:sz w:val="8"/>
                      </w:rPr>
                    </w:pPr>
                  </w:p>
                  <w:p>
                    <w:pPr>
                      <w:spacing w:before="0"/>
                      <w:ind w:left="81" w:right="0" w:firstLine="0"/>
                      <w:jc w:val="left"/>
                      <w:rPr>
                        <w:sz w:val="10"/>
                      </w:rPr>
                    </w:pPr>
                    <w:r>
                      <w:rPr>
                        <w:color w:val="231F20"/>
                        <w:w w:val="101"/>
                        <w:sz w:val="10"/>
                      </w:rPr>
                      <w:t>0</w:t>
                    </w:r>
                  </w:p>
                </w:txbxContent>
              </v:textbox>
              <w10:wrap type="none"/>
            </v:shape>
            <v:shape style="position:absolute;left:9163;top:229;width:182;height:1491" type="#_x0000_t202" filled="true" fillcolor="#d1d3d4" stroked="false">
              <v:textbox inset="0,0,0,0">
                <w:txbxContent>
                  <w:p>
                    <w:pPr>
                      <w:spacing w:line="240" w:lineRule="auto" w:before="0"/>
                      <w:rPr>
                        <w:rFonts w:ascii="Times New Roman"/>
                        <w:sz w:val="8"/>
                      </w:rPr>
                    </w:pPr>
                  </w:p>
                  <w:p>
                    <w:pPr>
                      <w:spacing w:line="240" w:lineRule="auto" w:before="0"/>
                      <w:rPr>
                        <w:rFonts w:ascii="Times New Roman"/>
                        <w:sz w:val="8"/>
                      </w:rPr>
                    </w:pPr>
                  </w:p>
                  <w:p>
                    <w:pPr>
                      <w:spacing w:line="240" w:lineRule="auto" w:before="0"/>
                      <w:rPr>
                        <w:rFonts w:ascii="Times New Roman"/>
                        <w:sz w:val="8"/>
                      </w:rPr>
                    </w:pPr>
                  </w:p>
                  <w:p>
                    <w:pPr>
                      <w:spacing w:line="240" w:lineRule="auto" w:before="0"/>
                      <w:rPr>
                        <w:rFonts w:ascii="Times New Roman"/>
                        <w:sz w:val="8"/>
                      </w:rPr>
                    </w:pPr>
                  </w:p>
                  <w:p>
                    <w:pPr>
                      <w:spacing w:line="240" w:lineRule="auto" w:before="0"/>
                      <w:rPr>
                        <w:rFonts w:ascii="Times New Roman"/>
                        <w:sz w:val="8"/>
                      </w:rPr>
                    </w:pPr>
                  </w:p>
                  <w:p>
                    <w:pPr>
                      <w:spacing w:line="240" w:lineRule="auto" w:before="0"/>
                      <w:rPr>
                        <w:rFonts w:ascii="Times New Roman"/>
                        <w:sz w:val="8"/>
                      </w:rPr>
                    </w:pPr>
                  </w:p>
                  <w:p>
                    <w:pPr>
                      <w:spacing w:line="240" w:lineRule="auto" w:before="0"/>
                      <w:rPr>
                        <w:rFonts w:ascii="Times New Roman"/>
                        <w:sz w:val="8"/>
                      </w:rPr>
                    </w:pPr>
                  </w:p>
                  <w:p>
                    <w:pPr>
                      <w:spacing w:before="57"/>
                      <w:ind w:left="37" w:right="-17" w:firstLine="0"/>
                      <w:jc w:val="left"/>
                      <w:rPr>
                        <w:sz w:val="8"/>
                      </w:rPr>
                    </w:pPr>
                    <w:r>
                      <w:rPr>
                        <w:color w:val="231F20"/>
                        <w:w w:val="110"/>
                        <w:sz w:val="8"/>
                      </w:rPr>
                      <w:t>0.7</w:t>
                    </w:r>
                  </w:p>
                </w:txbxContent>
              </v:textbox>
              <v:fill type="solid"/>
              <w10:wrap type="none"/>
            </v:shape>
            <v:shape style="position:absolute;left:8694;top:977;width:182;height:743" type="#_x0000_t202" filled="true" fillcolor="#d1d3d4" stroked="false">
              <v:textbox inset="0,0,0,0">
                <w:txbxContent>
                  <w:p>
                    <w:pPr>
                      <w:spacing w:line="240" w:lineRule="auto" w:before="0"/>
                      <w:rPr>
                        <w:rFonts w:ascii="Times New Roman"/>
                        <w:sz w:val="8"/>
                      </w:rPr>
                    </w:pPr>
                  </w:p>
                  <w:p>
                    <w:pPr>
                      <w:spacing w:line="240" w:lineRule="auto" w:before="0"/>
                      <w:rPr>
                        <w:rFonts w:ascii="Times New Roman"/>
                        <w:sz w:val="8"/>
                      </w:rPr>
                    </w:pPr>
                  </w:p>
                  <w:p>
                    <w:pPr>
                      <w:spacing w:line="240" w:lineRule="auto" w:before="10"/>
                      <w:rPr>
                        <w:rFonts w:ascii="Times New Roman"/>
                        <w:sz w:val="11"/>
                      </w:rPr>
                    </w:pPr>
                  </w:p>
                  <w:p>
                    <w:pPr>
                      <w:spacing w:before="1"/>
                      <w:ind w:left="15" w:right="-17" w:firstLine="0"/>
                      <w:jc w:val="left"/>
                      <w:rPr>
                        <w:sz w:val="8"/>
                      </w:rPr>
                    </w:pPr>
                    <w:r>
                      <w:rPr>
                        <w:color w:val="231F20"/>
                        <w:w w:val="105"/>
                        <w:sz w:val="8"/>
                      </w:rPr>
                      <w:t>0.35</w:t>
                    </w:r>
                  </w:p>
                </w:txbxContent>
              </v:textbox>
              <v:fill type="solid"/>
              <w10:wrap type="none"/>
            </v:shape>
            <v:shape style="position:absolute;left:8227;top:1126;width:182;height:594" type="#_x0000_t202" filled="true" fillcolor="#d1d3d4" stroked="false">
              <v:textbox inset="0,0,0,0">
                <w:txbxContent>
                  <w:p>
                    <w:pPr>
                      <w:spacing w:line="240" w:lineRule="auto" w:before="0"/>
                      <w:rPr>
                        <w:rFonts w:ascii="Times New Roman"/>
                        <w:sz w:val="8"/>
                      </w:rPr>
                    </w:pPr>
                  </w:p>
                  <w:p>
                    <w:pPr>
                      <w:spacing w:line="240" w:lineRule="auto" w:before="0"/>
                      <w:rPr>
                        <w:rFonts w:ascii="Times New Roman"/>
                        <w:sz w:val="8"/>
                      </w:rPr>
                    </w:pPr>
                  </w:p>
                  <w:p>
                    <w:pPr>
                      <w:spacing w:before="62"/>
                      <w:ind w:left="4" w:right="-14" w:firstLine="0"/>
                      <w:jc w:val="left"/>
                      <w:rPr>
                        <w:sz w:val="8"/>
                      </w:rPr>
                    </w:pPr>
                    <w:r>
                      <w:rPr>
                        <w:color w:val="231F20"/>
                        <w:w w:val="110"/>
                        <w:sz w:val="8"/>
                      </w:rPr>
                      <w:t>0.28</w:t>
                    </w:r>
                  </w:p>
                </w:txbxContent>
              </v:textbox>
              <v:fill type="solid"/>
              <w10:wrap type="none"/>
            </v:shape>
            <v:shape style="position:absolute;left:7290;top:1442;width:182;height:279" type="#_x0000_t202" filled="true" fillcolor="#d1d3d4" stroked="false">
              <v:textbox inset="0,0,0,0">
                <w:txbxContent>
                  <w:p>
                    <w:pPr>
                      <w:spacing w:line="240" w:lineRule="auto" w:before="5"/>
                      <w:rPr>
                        <w:rFonts w:ascii="Times New Roman"/>
                        <w:sz w:val="8"/>
                      </w:rPr>
                    </w:pPr>
                  </w:p>
                  <w:p>
                    <w:pPr>
                      <w:spacing w:before="0"/>
                      <w:ind w:left="11" w:right="-13" w:firstLine="0"/>
                      <w:jc w:val="left"/>
                      <w:rPr>
                        <w:sz w:val="8"/>
                      </w:rPr>
                    </w:pPr>
                    <w:r>
                      <w:rPr>
                        <w:color w:val="231F20"/>
                        <w:w w:val="105"/>
                        <w:sz w:val="8"/>
                      </w:rPr>
                      <w:t>0.13</w:t>
                    </w:r>
                  </w:p>
                </w:txbxContent>
              </v:textbox>
              <v:fill type="solid"/>
              <w10:wrap type="none"/>
            </v:shape>
            <v:shape style="position:absolute;left:7750;top:1427;width:182;height:293" type="#_x0000_t202" filled="true" fillcolor="#d1d3d4" stroked="false">
              <v:textbox inset="0,0,0,0">
                <w:txbxContent>
                  <w:p>
                    <w:pPr>
                      <w:spacing w:line="240" w:lineRule="auto" w:before="2"/>
                      <w:rPr>
                        <w:rFonts w:ascii="Times New Roman"/>
                        <w:sz w:val="9"/>
                      </w:rPr>
                    </w:pPr>
                  </w:p>
                  <w:p>
                    <w:pPr>
                      <w:spacing w:before="1"/>
                      <w:ind w:left="7" w:right="-17" w:firstLine="0"/>
                      <w:jc w:val="left"/>
                      <w:rPr>
                        <w:sz w:val="8"/>
                      </w:rPr>
                    </w:pPr>
                    <w:r>
                      <w:rPr>
                        <w:color w:val="231F20"/>
                        <w:w w:val="110"/>
                        <w:sz w:val="8"/>
                      </w:rPr>
                      <w:t>0.14</w:t>
                    </w:r>
                  </w:p>
                </w:txbxContent>
              </v:textbox>
              <v:fill type="solid"/>
              <w10:wrap type="none"/>
            </v:shape>
            <v:shape style="position:absolute;left:6816;top:1490;width:182;height:230" type="#_x0000_t202" filled="true" fillcolor="#d1d3d4" stroked="false">
              <v:textbox inset="0,0,0,0">
                <w:txbxContent>
                  <w:p>
                    <w:pPr>
                      <w:spacing w:before="72"/>
                      <w:ind w:left="19" w:right="-13" w:firstLine="0"/>
                      <w:jc w:val="left"/>
                      <w:rPr>
                        <w:sz w:val="8"/>
                      </w:rPr>
                    </w:pPr>
                    <w:r>
                      <w:rPr>
                        <w:color w:val="231F20"/>
                        <w:spacing w:val="-4"/>
                        <w:w w:val="110"/>
                        <w:sz w:val="8"/>
                      </w:rPr>
                      <w:t>0.11</w:t>
                    </w:r>
                  </w:p>
                </w:txbxContent>
              </v:textbox>
              <v:fill type="solid"/>
              <w10:wrap type="none"/>
            </v:shape>
            <w10:wrap type="none"/>
          </v:group>
        </w:pict>
      </w:r>
      <w:r>
        <w:rPr/>
        <w:pict>
          <v:shape style="position:absolute;margin-left:315.409454pt;margin-top:26.888781pt;width:7.1pt;height:44.45pt;mso-position-horizontal-relative:page;mso-position-vertical-relative:paragraph;z-index:1672" type="#_x0000_t202" filled="false" stroked="false">
            <v:textbox inset="0,0,0,0" style="layout-flow:vertical;mso-layout-flow-alt:bottom-to-top">
              <w:txbxContent>
                <w:p>
                  <w:pPr>
                    <w:spacing w:before="2"/>
                    <w:ind w:left="20" w:right="-404" w:firstLine="0"/>
                    <w:jc w:val="left"/>
                    <w:rPr>
                      <w:sz w:val="10"/>
                    </w:rPr>
                  </w:pPr>
                  <w:r>
                    <w:rPr>
                      <w:color w:val="231F20"/>
                      <w:w w:val="101"/>
                      <w:sz w:val="10"/>
                    </w:rPr>
                    <w:t>Sobredosis</w:t>
                  </w:r>
                  <w:r>
                    <w:rPr>
                      <w:color w:val="231F20"/>
                      <w:sz w:val="10"/>
                    </w:rPr>
                    <w:t> </w:t>
                  </w:r>
                  <w:r>
                    <w:rPr>
                      <w:color w:val="231F20"/>
                      <w:w w:val="101"/>
                      <w:sz w:val="10"/>
                    </w:rPr>
                    <w:t>(kg/ha)</w:t>
                  </w:r>
                </w:p>
              </w:txbxContent>
            </v:textbox>
            <w10:wrap type="none"/>
          </v:shape>
        </w:pict>
      </w:r>
      <w:r>
        <w:rPr>
          <w:color w:val="231F20"/>
          <w:w w:val="105"/>
          <w:sz w:val="11"/>
        </w:rPr>
        <w:t>Riego</w:t>
      </w: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spacing w:before="8"/>
        <w:rPr>
          <w:sz w:val="15"/>
        </w:rPr>
      </w:pPr>
    </w:p>
    <w:p>
      <w:pPr>
        <w:spacing w:before="0"/>
        <w:ind w:left="1171" w:right="1723" w:firstLine="0"/>
        <w:jc w:val="center"/>
        <w:rPr>
          <w:sz w:val="10"/>
        </w:rPr>
      </w:pPr>
      <w:r>
        <w:rPr/>
        <w:pict>
          <v:shape style="position:absolute;margin-left:319.269165pt;margin-top:-11.479833pt;width:33.9pt;height:4.350pt;mso-position-horizontal-relative:page;mso-position-vertical-relative:paragraph;z-index:1696;rotation:315" type="#_x0000_t136" fillcolor="#231f20" stroked="f">
            <o:extrusion v:ext="view" autorotationcenter="t"/>
            <v:textpath style="font-family:&amp;quot;Arial&amp;quot;;font-size:4pt;v-text-kern:t;mso-text-shadow:auto" string="PROPAMOCARB"/>
            <w10:wrap type="none"/>
          </v:shape>
        </w:pict>
      </w:r>
      <w:r>
        <w:rPr/>
        <w:pict>
          <v:shape style="position:absolute;margin-left:346.634247pt;margin-top:-14.768226pt;width:24.6pt;height:4.350pt;mso-position-horizontal-relative:page;mso-position-vertical-relative:paragraph;z-index:1720;rotation:315" type="#_x0000_t136" fillcolor="#231f20" stroked="f">
            <o:extrusion v:ext="view" autorotationcenter="t"/>
            <v:textpath style="font-family:&amp;quot;Arial&amp;quot;;font-size:4pt;v-text-kern:t;mso-text-shadow:auto" string="MANCOZEB"/>
            <w10:wrap type="none"/>
          </v:shape>
        </w:pict>
      </w:r>
      <w:r>
        <w:rPr/>
        <w:pict>
          <v:shape style="position:absolute;margin-left:370.789307pt;margin-top:-14.5351pt;width:25.55pt;height:4.350pt;mso-position-horizontal-relative:page;mso-position-vertical-relative:paragraph;z-index:1744;rotation:315" type="#_x0000_t136" fillcolor="#231f20" stroked="f">
            <o:extrusion v:ext="view" autorotationcenter="t"/>
            <v:textpath style="font-family:&amp;quot;Arial&amp;quot;;font-size:4pt;v-text-kern:t;mso-text-shadow:auto" string="CYMOXANIL"/>
            <w10:wrap type="none"/>
          </v:shape>
        </w:pict>
      </w:r>
      <w:r>
        <w:rPr/>
        <w:pict>
          <v:shape style="position:absolute;margin-left:392.814331pt;margin-top:-13.238124pt;width:28.9pt;height:4.350pt;mso-position-horizontal-relative:page;mso-position-vertical-relative:paragraph;z-index:1768;rotation:315" type="#_x0000_t136" fillcolor="#231f20" stroked="f">
            <o:extrusion v:ext="view" autorotationcenter="t"/>
            <v:textpath style="font-family:&amp;quot;Arial&amp;quot;;font-size:4pt;v-text-kern:t;mso-text-shadow:auto" string="FENEMIDONE"/>
            <w10:wrap type="none"/>
          </v:shape>
        </w:pict>
      </w:r>
      <w:r>
        <w:rPr/>
        <w:pict>
          <v:shape style="position:absolute;margin-left:419.76709pt;margin-top:-15.243031pt;width:23.55pt;height:4.350pt;mso-position-horizontal-relative:page;mso-position-vertical-relative:paragraph;z-index:1792;rotation:315" type="#_x0000_t136" fillcolor="#231f20" stroked="f">
            <o:extrusion v:ext="view" autorotationcenter="t"/>
            <v:textpath style="font-family:&amp;quot;Arial&amp;quot;;font-size:4pt;v-text-kern:t;mso-text-shadow:auto" string="METALAXIL"/>
            <w10:wrap type="none"/>
          </v:shape>
        </w:pict>
      </w:r>
      <w:r>
        <w:rPr/>
        <w:pict>
          <v:shape style="position:absolute;margin-left:436.845032pt;margin-top:-11.845037pt;width:33.15pt;height:4.350pt;mso-position-horizontal-relative:page;mso-position-vertical-relative:paragraph;z-index:1816;rotation:315" type="#_x0000_t136" fillcolor="#231f20" stroked="f">
            <o:extrusion v:ext="view" autorotationcenter="t"/>
            <v:textpath style="font-family:&amp;quot;Arial&amp;quot;;font-size:4pt;v-text-kern:t;mso-text-shadow:auto" string="CLOROTALONIL"/>
            <w10:wrap type="none"/>
          </v:shape>
        </w:pict>
      </w:r>
      <w:r>
        <w:rPr>
          <w:color w:val="231F20"/>
          <w:sz w:val="10"/>
        </w:rPr>
        <w:t>Ingrediente activo</w:t>
      </w:r>
    </w:p>
    <w:p>
      <w:pPr>
        <w:pStyle w:val="BodyText"/>
        <w:spacing w:before="11"/>
        <w:rPr>
          <w:sz w:val="10"/>
        </w:rPr>
      </w:pPr>
    </w:p>
    <w:p>
      <w:pPr>
        <w:spacing w:line="138" w:lineRule="exact" w:before="0"/>
        <w:ind w:left="777" w:right="962" w:hanging="410"/>
        <w:jc w:val="left"/>
        <w:rPr>
          <w:rFonts w:ascii="Times New Roman" w:hAnsi="Times New Roman"/>
          <w:sz w:val="13"/>
        </w:rPr>
      </w:pPr>
      <w:r>
        <w:rPr>
          <w:rFonts w:ascii="Times New Roman" w:hAnsi="Times New Roman"/>
          <w:b/>
          <w:color w:val="231F20"/>
          <w:sz w:val="13"/>
        </w:rPr>
        <w:t>Fig. 2. </w:t>
      </w:r>
      <w:r>
        <w:rPr>
          <w:rFonts w:ascii="Times New Roman" w:hAnsi="Times New Roman"/>
          <w:color w:val="231F20"/>
          <w:sz w:val="13"/>
        </w:rPr>
        <w:t>Excedentes de fungicidas aplicados por hectárea en el cultivo</w:t>
      </w:r>
      <w:r>
        <w:rPr>
          <w:rFonts w:ascii="Times New Roman" w:hAnsi="Times New Roman"/>
          <w:color w:val="231F20"/>
          <w:spacing w:val="-20"/>
          <w:sz w:val="13"/>
        </w:rPr>
        <w:t> </w:t>
      </w:r>
      <w:r>
        <w:rPr>
          <w:rFonts w:ascii="Times New Roman" w:hAnsi="Times New Roman"/>
          <w:color w:val="231F20"/>
          <w:sz w:val="13"/>
        </w:rPr>
        <w:t>del</w:t>
      </w:r>
      <w:r>
        <w:rPr>
          <w:rFonts w:ascii="Times New Roman" w:hAnsi="Times New Roman"/>
          <w:color w:val="231F20"/>
          <w:spacing w:val="-20"/>
          <w:sz w:val="13"/>
        </w:rPr>
        <w:t> </w:t>
      </w:r>
      <w:r>
        <w:rPr>
          <w:rFonts w:ascii="Times New Roman" w:hAnsi="Times New Roman"/>
          <w:color w:val="231F20"/>
          <w:sz w:val="13"/>
        </w:rPr>
        <w:t>municipio</w:t>
      </w:r>
      <w:r>
        <w:rPr>
          <w:rFonts w:ascii="Times New Roman" w:hAnsi="Times New Roman"/>
          <w:color w:val="231F20"/>
          <w:spacing w:val="-20"/>
          <w:sz w:val="13"/>
        </w:rPr>
        <w:t> </w:t>
      </w:r>
      <w:r>
        <w:rPr>
          <w:rFonts w:ascii="Times New Roman" w:hAnsi="Times New Roman"/>
          <w:color w:val="231F20"/>
          <w:sz w:val="13"/>
        </w:rPr>
        <w:t>de</w:t>
      </w:r>
      <w:r>
        <w:rPr>
          <w:rFonts w:ascii="Times New Roman" w:hAnsi="Times New Roman"/>
          <w:color w:val="231F20"/>
          <w:spacing w:val="-20"/>
          <w:sz w:val="13"/>
        </w:rPr>
        <w:t> </w:t>
      </w:r>
      <w:r>
        <w:rPr>
          <w:rFonts w:ascii="Times New Roman" w:hAnsi="Times New Roman"/>
          <w:color w:val="231F20"/>
          <w:sz w:val="13"/>
        </w:rPr>
        <w:t>Zinacantepec</w:t>
      </w:r>
      <w:r>
        <w:rPr>
          <w:rFonts w:ascii="Times New Roman" w:hAnsi="Times New Roman"/>
          <w:color w:val="231F20"/>
          <w:spacing w:val="-20"/>
          <w:sz w:val="13"/>
        </w:rPr>
        <w:t> </w:t>
      </w:r>
      <w:r>
        <w:rPr>
          <w:rFonts w:ascii="Times New Roman" w:hAnsi="Times New Roman"/>
          <w:color w:val="231F20"/>
          <w:sz w:val="13"/>
        </w:rPr>
        <w:t>en</w:t>
      </w:r>
      <w:r>
        <w:rPr>
          <w:rFonts w:ascii="Times New Roman" w:hAnsi="Times New Roman"/>
          <w:color w:val="231F20"/>
          <w:spacing w:val="-20"/>
          <w:sz w:val="13"/>
        </w:rPr>
        <w:t> </w:t>
      </w:r>
      <w:r>
        <w:rPr>
          <w:rFonts w:ascii="Times New Roman" w:hAnsi="Times New Roman"/>
          <w:color w:val="231F20"/>
          <w:sz w:val="13"/>
        </w:rPr>
        <w:t>el</w:t>
      </w:r>
      <w:r>
        <w:rPr>
          <w:rFonts w:ascii="Times New Roman" w:hAnsi="Times New Roman"/>
          <w:color w:val="231F20"/>
          <w:spacing w:val="-20"/>
          <w:sz w:val="13"/>
        </w:rPr>
        <w:t> </w:t>
      </w:r>
      <w:r>
        <w:rPr>
          <w:rFonts w:ascii="Times New Roman" w:hAnsi="Times New Roman"/>
          <w:color w:val="231F20"/>
          <w:sz w:val="13"/>
        </w:rPr>
        <w:t>ciclo</w:t>
      </w:r>
      <w:r>
        <w:rPr>
          <w:rFonts w:ascii="Times New Roman" w:hAnsi="Times New Roman"/>
          <w:color w:val="231F20"/>
          <w:spacing w:val="-20"/>
          <w:sz w:val="13"/>
        </w:rPr>
        <w:t> </w:t>
      </w:r>
      <w:r>
        <w:rPr>
          <w:rFonts w:ascii="Times New Roman" w:hAnsi="Times New Roman"/>
          <w:color w:val="231F20"/>
          <w:sz w:val="13"/>
        </w:rPr>
        <w:t>de</w:t>
      </w:r>
      <w:r>
        <w:rPr>
          <w:rFonts w:ascii="Times New Roman" w:hAnsi="Times New Roman"/>
          <w:color w:val="231F20"/>
          <w:spacing w:val="-20"/>
          <w:sz w:val="13"/>
        </w:rPr>
        <w:t> </w:t>
      </w:r>
      <w:r>
        <w:rPr>
          <w:rFonts w:ascii="Times New Roman" w:hAnsi="Times New Roman"/>
          <w:color w:val="231F20"/>
          <w:sz w:val="13"/>
        </w:rPr>
        <w:t>riego</w:t>
      </w:r>
    </w:p>
    <w:p>
      <w:pPr>
        <w:spacing w:after="0" w:line="138" w:lineRule="exact"/>
        <w:jc w:val="left"/>
        <w:rPr>
          <w:rFonts w:ascii="Times New Roman" w:hAnsi="Times New Roman"/>
          <w:sz w:val="13"/>
        </w:rPr>
        <w:sectPr>
          <w:type w:val="continuous"/>
          <w:pgSz w:w="12240" w:h="15840"/>
          <w:pgMar w:top="1500" w:bottom="1820" w:left="1460" w:right="1440"/>
          <w:cols w:num="2" w:equalWidth="0">
            <w:col w:w="4457" w:space="40"/>
            <w:col w:w="4843"/>
          </w:cols>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9"/>
        <w:rPr>
          <w:rFonts w:ascii="Times New Roman"/>
          <w:sz w:val="28"/>
        </w:rPr>
      </w:pPr>
    </w:p>
    <w:p>
      <w:pPr>
        <w:tabs>
          <w:tab w:pos="8137" w:val="right" w:leader="none"/>
        </w:tabs>
        <w:spacing w:before="86"/>
        <w:ind w:left="3668" w:right="0" w:firstLine="0"/>
        <w:jc w:val="left"/>
        <w:rPr>
          <w:rFonts w:ascii="Times New Roman" w:hAnsi="Times New Roman"/>
          <w:sz w:val="14"/>
        </w:rPr>
      </w:pPr>
      <w:r>
        <w:rPr/>
        <w:pict>
          <v:shape style="position:absolute;margin-left:131.189301pt;margin-top:48.743801pt;width:7.1pt;height:44.5pt;mso-position-horizontal-relative:page;mso-position-vertical-relative:paragraph;z-index:2320" type="#_x0000_t202" filled="false" stroked="false">
            <v:textbox inset="0,0,0,0" style="layout-flow:vertical;mso-layout-flow-alt:bottom-to-top">
              <w:txbxContent>
                <w:p>
                  <w:pPr>
                    <w:spacing w:before="2"/>
                    <w:ind w:left="20" w:right="-405" w:firstLine="0"/>
                    <w:jc w:val="left"/>
                    <w:rPr>
                      <w:sz w:val="10"/>
                    </w:rPr>
                  </w:pPr>
                  <w:r>
                    <w:rPr>
                      <w:color w:val="231F20"/>
                      <w:w w:val="101"/>
                      <w:sz w:val="10"/>
                    </w:rPr>
                    <w:t>Sobredosis</w:t>
                  </w:r>
                  <w:r>
                    <w:rPr>
                      <w:color w:val="231F20"/>
                      <w:sz w:val="10"/>
                    </w:rPr>
                    <w:t> </w:t>
                  </w:r>
                  <w:r>
                    <w:rPr>
                      <w:color w:val="231F20"/>
                      <w:w w:val="101"/>
                      <w:sz w:val="10"/>
                    </w:rPr>
                    <w:t>(kg/ha)</w:t>
                  </w:r>
                </w:p>
              </w:txbxContent>
            </v:textbox>
            <w10:wrap type="none"/>
          </v:shape>
        </w:pict>
      </w:r>
      <w:r>
        <w:rPr>
          <w:rFonts w:ascii="Times New Roman" w:hAnsi="Times New Roman"/>
          <w:color w:val="231F20"/>
          <w:w w:val="105"/>
          <w:sz w:val="11"/>
        </w:rPr>
        <w:t>COSTO POR REMOCIÓN</w:t>
      </w:r>
      <w:r>
        <w:rPr>
          <w:rFonts w:ascii="Times New Roman" w:hAnsi="Times New Roman"/>
          <w:color w:val="231F20"/>
          <w:spacing w:val="-2"/>
          <w:w w:val="105"/>
          <w:sz w:val="11"/>
        </w:rPr>
        <w:t> </w:t>
      </w:r>
      <w:r>
        <w:rPr>
          <w:rFonts w:ascii="Times New Roman" w:hAnsi="Times New Roman"/>
          <w:color w:val="231F20"/>
          <w:w w:val="105"/>
          <w:sz w:val="11"/>
        </w:rPr>
        <w:t>DE</w:t>
      </w:r>
      <w:r>
        <w:rPr>
          <w:rFonts w:ascii="Times New Roman" w:hAnsi="Times New Roman"/>
          <w:color w:val="231F20"/>
          <w:spacing w:val="-1"/>
          <w:w w:val="105"/>
          <w:sz w:val="11"/>
        </w:rPr>
        <w:t> </w:t>
      </w:r>
      <w:r>
        <w:rPr>
          <w:rFonts w:ascii="Times New Roman" w:hAnsi="Times New Roman"/>
          <w:color w:val="231F20"/>
          <w:w w:val="105"/>
          <w:sz w:val="11"/>
        </w:rPr>
        <w:t>FUNGICIDAS</w:t>
      </w:r>
      <w:r>
        <w:rPr>
          <w:rFonts w:ascii="Times New Roman" w:hAnsi="Times New Roman"/>
          <w:color w:val="231F20"/>
          <w:w w:val="105"/>
          <w:sz w:val="14"/>
        </w:rPr>
        <w:tab/>
        <w:t>299</w:t>
      </w:r>
    </w:p>
    <w:p>
      <w:pPr>
        <w:spacing w:after="0"/>
        <w:jc w:val="left"/>
        <w:rPr>
          <w:rFonts w:ascii="Times New Roman" w:hAnsi="Times New Roman"/>
          <w:sz w:val="14"/>
        </w:rPr>
        <w:sectPr>
          <w:footerReference w:type="default" r:id="rId43"/>
          <w:pgSz w:w="12240" w:h="15840"/>
          <w:pgMar w:footer="740" w:header="719" w:top="1260" w:bottom="920" w:left="1460" w:right="0"/>
          <w:pgNumType w:start="31"/>
        </w:sectPr>
      </w:pPr>
    </w:p>
    <w:p>
      <w:pPr>
        <w:pStyle w:val="BodyText"/>
        <w:rPr>
          <w:rFonts w:ascii="Times New Roman"/>
          <w:sz w:val="10"/>
        </w:rPr>
      </w:pPr>
    </w:p>
    <w:p>
      <w:pPr>
        <w:pStyle w:val="BodyText"/>
        <w:rPr>
          <w:rFonts w:ascii="Times New Roman"/>
          <w:sz w:val="10"/>
        </w:rPr>
      </w:pPr>
    </w:p>
    <w:p>
      <w:pPr>
        <w:pStyle w:val="BodyText"/>
        <w:rPr>
          <w:rFonts w:ascii="Times New Roman"/>
          <w:sz w:val="10"/>
        </w:rPr>
      </w:pPr>
    </w:p>
    <w:p>
      <w:pPr>
        <w:pStyle w:val="BodyText"/>
        <w:rPr>
          <w:rFonts w:ascii="Times New Roman"/>
          <w:sz w:val="10"/>
        </w:rPr>
      </w:pPr>
    </w:p>
    <w:p>
      <w:pPr>
        <w:pStyle w:val="BodyText"/>
        <w:rPr>
          <w:rFonts w:ascii="Times New Roman"/>
          <w:sz w:val="10"/>
        </w:rPr>
      </w:pPr>
    </w:p>
    <w:p>
      <w:pPr>
        <w:pStyle w:val="BodyText"/>
        <w:rPr>
          <w:rFonts w:ascii="Times New Roman"/>
          <w:sz w:val="10"/>
        </w:rPr>
      </w:pPr>
    </w:p>
    <w:p>
      <w:pPr>
        <w:pStyle w:val="BodyText"/>
        <w:rPr>
          <w:rFonts w:ascii="Times New Roman"/>
          <w:sz w:val="10"/>
        </w:rPr>
      </w:pPr>
    </w:p>
    <w:p>
      <w:pPr>
        <w:pStyle w:val="BodyText"/>
        <w:rPr>
          <w:rFonts w:ascii="Times New Roman"/>
          <w:sz w:val="10"/>
        </w:rPr>
      </w:pPr>
    </w:p>
    <w:p>
      <w:pPr>
        <w:pStyle w:val="BodyText"/>
        <w:rPr>
          <w:rFonts w:ascii="Times New Roman"/>
          <w:sz w:val="10"/>
        </w:rPr>
      </w:pPr>
    </w:p>
    <w:p>
      <w:pPr>
        <w:pStyle w:val="BodyText"/>
        <w:rPr>
          <w:rFonts w:ascii="Times New Roman"/>
          <w:sz w:val="10"/>
        </w:rPr>
      </w:pPr>
    </w:p>
    <w:p>
      <w:pPr>
        <w:pStyle w:val="BodyText"/>
        <w:rPr>
          <w:rFonts w:ascii="Times New Roman"/>
          <w:sz w:val="10"/>
        </w:rPr>
      </w:pPr>
    </w:p>
    <w:p>
      <w:pPr>
        <w:pStyle w:val="BodyText"/>
        <w:rPr>
          <w:rFonts w:ascii="Times New Roman"/>
          <w:sz w:val="10"/>
        </w:rPr>
      </w:pPr>
    </w:p>
    <w:p>
      <w:pPr>
        <w:pStyle w:val="BodyText"/>
        <w:rPr>
          <w:rFonts w:ascii="Times New Roman"/>
          <w:sz w:val="10"/>
        </w:rPr>
      </w:pPr>
    </w:p>
    <w:p>
      <w:pPr>
        <w:pStyle w:val="BodyText"/>
        <w:rPr>
          <w:rFonts w:ascii="Times New Roman"/>
          <w:sz w:val="10"/>
        </w:rPr>
      </w:pPr>
    </w:p>
    <w:p>
      <w:pPr>
        <w:pStyle w:val="BodyText"/>
        <w:rPr>
          <w:rFonts w:ascii="Times New Roman"/>
          <w:sz w:val="10"/>
        </w:rPr>
      </w:pPr>
    </w:p>
    <w:p>
      <w:pPr>
        <w:pStyle w:val="BodyText"/>
        <w:rPr>
          <w:rFonts w:ascii="Times New Roman"/>
          <w:sz w:val="10"/>
        </w:rPr>
      </w:pPr>
    </w:p>
    <w:p>
      <w:pPr>
        <w:pStyle w:val="BodyText"/>
        <w:rPr>
          <w:rFonts w:ascii="Times New Roman"/>
          <w:sz w:val="10"/>
        </w:rPr>
      </w:pPr>
    </w:p>
    <w:p>
      <w:pPr>
        <w:pStyle w:val="BodyText"/>
        <w:rPr>
          <w:rFonts w:ascii="Times New Roman"/>
          <w:sz w:val="10"/>
        </w:rPr>
      </w:pPr>
    </w:p>
    <w:p>
      <w:pPr>
        <w:pStyle w:val="BodyText"/>
        <w:rPr>
          <w:rFonts w:ascii="Times New Roman"/>
          <w:sz w:val="10"/>
        </w:rPr>
      </w:pPr>
    </w:p>
    <w:p>
      <w:pPr>
        <w:pStyle w:val="BodyText"/>
        <w:rPr>
          <w:rFonts w:ascii="Times New Roman"/>
          <w:sz w:val="10"/>
        </w:rPr>
      </w:pPr>
    </w:p>
    <w:p>
      <w:pPr>
        <w:pStyle w:val="BodyText"/>
        <w:rPr>
          <w:rFonts w:ascii="Times New Roman"/>
          <w:sz w:val="10"/>
        </w:rPr>
      </w:pPr>
    </w:p>
    <w:p>
      <w:pPr>
        <w:pStyle w:val="BodyText"/>
        <w:spacing w:before="11"/>
        <w:rPr>
          <w:rFonts w:ascii="Times New Roman"/>
          <w:sz w:val="8"/>
        </w:rPr>
      </w:pPr>
    </w:p>
    <w:p>
      <w:pPr>
        <w:spacing w:before="0"/>
        <w:ind w:left="1228" w:right="0" w:firstLine="0"/>
        <w:jc w:val="center"/>
        <w:rPr>
          <w:sz w:val="10"/>
        </w:rPr>
      </w:pPr>
      <w:r>
        <w:rPr/>
        <w:pict>
          <v:group style="position:absolute;margin-left:132.126602pt;margin-top:-107.959923pt;width:163.65pt;height:105.65pt;mso-position-horizontal-relative:page;mso-position-vertical-relative:paragraph;z-index:2080" coordorigin="2643,-2159" coordsize="3273,2113">
            <v:shape style="position:absolute;left:3100;top:-1211;width:247;height:49" coordorigin="3100,-1211" coordsize="247,49" path="m3346,-1211l3162,-1211,3100,-1162,3284,-1162,3346,-1211xe" filled="true" fillcolor="#a7a9ac" stroked="false">
              <v:path arrowok="t"/>
              <v:fill type="solid"/>
            </v:shape>
            <v:shape style="position:absolute;left:2643;top:-1166;width:3273;height:1119" type="#_x0000_t75" stroked="false">
              <v:imagedata r:id="rId44" o:title=""/>
            </v:shape>
            <v:line style="position:absolute" from="2907,-2044" to="2907,-534" stroked="true" strokeweight=".361pt" strokecolor="#231f20"/>
            <v:line style="position:absolute" from="2887,-2048" to="2911,-2048" stroked="true" strokeweight=".4pt" strokecolor="#231f20"/>
            <v:shape style="position:absolute;left:2905;top:-2159;width:3011;height:1620" coordorigin="2905,-2159" coordsize="3011,1620" path="m5909,-822l3074,-822,2905,-714,2909,-708,3076,-815,5909,-815,5909,-822m5909,-988l3074,-988,2905,-880,2909,-874,3076,-981,5909,-981,5909,-988m5909,-1158l3074,-1158,2905,-1050,2909,-1043,3076,-1150,5909,-1150,5909,-1158m5909,-1322l3074,-1322,2905,-1214,2909,-1208,3076,-1314,5909,-1314,5909,-1322m5909,-1497l3074,-1497,2905,-1389,2909,-1383,3076,-1490,5909,-1490,5909,-1497m5909,-1661l3074,-1661,2905,-1553,2909,-1547,3076,-1654,5909,-1654,5909,-1661m5909,-1825l3074,-1825,2905,-1716,2909,-1710,3076,-1817,5909,-1817,5909,-1825m5909,-1989l3074,-1989,2905,-1880,2909,-1874,3076,-1981,5909,-1981,5909,-1989m5909,-2159l3074,-2159,2905,-2051,2909,-2045,3076,-2152,5909,-2152,5909,-2159m5915,-676l3062,-676,2905,-545,2910,-540,3065,-669,5898,-669,5741,-548,5746,-542,5910,-669,5915,-673,5915,-676e" filled="true" fillcolor="#231f20" stroked="false">
              <v:path arrowok="t"/>
              <v:fill type="solid"/>
            </v:shape>
            <v:shape style="position:absolute;left:2887;top:-1877;width:21;height:1325" coordorigin="2887,-1877" coordsize="21,1325" path="m2887,-1713l2907,-1713m2887,-1877l2907,-1877m2887,-1550l2907,-1550m2887,-1386l2907,-1386m2887,-1211l2907,-1211m2887,-1046l2907,-1046m2887,-877l2907,-877m2887,-711l2907,-711m2887,-552l2907,-552e" filled="false" stroked="true" strokeweight=".361016pt" strokecolor="#231f20">
              <v:path arrowok="t"/>
            </v:shape>
            <v:shape style="position:absolute;left:2907;top:-546;width:2840;height:8" coordorigin="2907,-546" coordsize="2840,8" path="m5740,-538l5747,-538m2907,-546l5747,-546e" filled="false" stroked="true" strokeweight=".4pt" strokecolor="#231f20">
              <v:path arrowok="t"/>
            </v:shape>
            <v:shape style="position:absolute;left:3376;top:-545;width:1896;height:2" coordorigin="3376,-545" coordsize="1896,0" path="m5264,-545l5271,-545m4798,-545l4805,-545m4322,-545l4329,-545m3851,-545l3858,-545m3376,-545l3383,-545e" filled="false" stroked="true" strokeweight="1.117707pt" strokecolor="#231f20">
              <v:path arrowok="t"/>
            </v:shape>
            <v:shape style="position:absolute;left:3568;top:-2126;width:2144;height:963" coordorigin="3568,-2126" coordsize="2144,963" path="m3814,-1211l3630,-1211,3568,-1163,3752,-1163,3814,-1211m4282,-1456l4098,-1456,4036,-1408,4220,-1408,4282,-1456m4765,-1456l4581,-1456,4519,-1408,4703,-1408,4765,-1456m5235,-2126l5051,-2126,4989,-2078,5173,-2078,5235,-2126m5711,-2126l5527,-2126,5465,-2078,5649,-2078,5711,-2126e" filled="true" fillcolor="#a7a9ac" stroked="false">
              <v:path arrowok="t"/>
              <v:fill type="solid"/>
            </v:shape>
            <v:line style="position:absolute" from="3315,-1211" to="3315,-585" stroked="true" strokeweight="3.1069pt" strokecolor="#808285"/>
            <v:line style="position:absolute" from="3783,-1211" to="3783,-585" stroked="true" strokeweight="3.107pt" strokecolor="#808285"/>
            <v:line style="position:absolute" from="4250,-1456" to="4250,-586" stroked="true" strokeweight="3.1062pt" strokecolor="#808285"/>
            <v:line style="position:absolute" from="4734,-1456" to="4734,-585" stroked="true" strokeweight="3.122pt" strokecolor="#808285"/>
            <v:line style="position:absolute" from="5204,-2126" to="5204,-585" stroked="true" strokeweight="3.1163pt" strokecolor="#808285"/>
            <v:line style="position:absolute" from="5680,-2126" to="5680,-585" stroked="true" strokeweight="3.1177pt" strokecolor="#808285"/>
            <v:shape style="position:absolute;left:2753;top:-2093;width:113;height:1604" type="#_x0000_t202" filled="false" stroked="false">
              <v:textbox inset="0,0,0,0">
                <w:txbxContent>
                  <w:p>
                    <w:pPr>
                      <w:spacing w:line="98" w:lineRule="exact" w:before="0"/>
                      <w:ind w:left="0" w:right="-19" w:firstLine="0"/>
                      <w:jc w:val="left"/>
                      <w:rPr>
                        <w:sz w:val="10"/>
                      </w:rPr>
                    </w:pPr>
                    <w:r>
                      <w:rPr>
                        <w:color w:val="231F20"/>
                        <w:sz w:val="10"/>
                      </w:rPr>
                      <w:t>90</w:t>
                    </w:r>
                  </w:p>
                  <w:p>
                    <w:pPr>
                      <w:spacing w:before="57"/>
                      <w:ind w:left="0" w:right="-19" w:firstLine="0"/>
                      <w:jc w:val="left"/>
                      <w:rPr>
                        <w:sz w:val="10"/>
                      </w:rPr>
                    </w:pPr>
                    <w:r>
                      <w:rPr>
                        <w:color w:val="231F20"/>
                        <w:sz w:val="10"/>
                      </w:rPr>
                      <w:t>80</w:t>
                    </w:r>
                  </w:p>
                  <w:p>
                    <w:pPr>
                      <w:spacing w:before="44"/>
                      <w:ind w:left="0" w:right="-19" w:firstLine="0"/>
                      <w:jc w:val="left"/>
                      <w:rPr>
                        <w:sz w:val="10"/>
                      </w:rPr>
                    </w:pPr>
                    <w:r>
                      <w:rPr>
                        <w:color w:val="231F20"/>
                        <w:sz w:val="10"/>
                      </w:rPr>
                      <w:t>70</w:t>
                    </w:r>
                  </w:p>
                  <w:p>
                    <w:pPr>
                      <w:spacing w:before="50"/>
                      <w:ind w:left="0" w:right="-19" w:firstLine="0"/>
                      <w:jc w:val="left"/>
                      <w:rPr>
                        <w:sz w:val="10"/>
                      </w:rPr>
                    </w:pPr>
                    <w:r>
                      <w:rPr>
                        <w:color w:val="231F20"/>
                        <w:sz w:val="10"/>
                      </w:rPr>
                      <w:t>60</w:t>
                    </w:r>
                  </w:p>
                  <w:p>
                    <w:pPr>
                      <w:spacing w:before="55"/>
                      <w:ind w:left="0" w:right="-19" w:firstLine="0"/>
                      <w:jc w:val="left"/>
                      <w:rPr>
                        <w:sz w:val="10"/>
                      </w:rPr>
                    </w:pPr>
                    <w:r>
                      <w:rPr>
                        <w:color w:val="231F20"/>
                        <w:sz w:val="10"/>
                      </w:rPr>
                      <w:t>50</w:t>
                    </w:r>
                  </w:p>
                  <w:p>
                    <w:pPr>
                      <w:spacing w:before="55"/>
                      <w:ind w:left="0" w:right="-19" w:firstLine="0"/>
                      <w:jc w:val="left"/>
                      <w:rPr>
                        <w:sz w:val="10"/>
                      </w:rPr>
                    </w:pPr>
                    <w:r>
                      <w:rPr>
                        <w:color w:val="231F20"/>
                        <w:sz w:val="10"/>
                      </w:rPr>
                      <w:t>40</w:t>
                    </w:r>
                  </w:p>
                  <w:p>
                    <w:pPr>
                      <w:spacing w:before="49"/>
                      <w:ind w:left="0" w:right="-19" w:firstLine="0"/>
                      <w:jc w:val="left"/>
                      <w:rPr>
                        <w:sz w:val="10"/>
                      </w:rPr>
                    </w:pPr>
                    <w:r>
                      <w:rPr>
                        <w:color w:val="231F20"/>
                        <w:sz w:val="10"/>
                      </w:rPr>
                      <w:t>30</w:t>
                    </w:r>
                  </w:p>
                  <w:p>
                    <w:pPr>
                      <w:spacing w:before="54"/>
                      <w:ind w:left="0" w:right="-19" w:firstLine="0"/>
                      <w:jc w:val="left"/>
                      <w:rPr>
                        <w:sz w:val="10"/>
                      </w:rPr>
                    </w:pPr>
                    <w:r>
                      <w:rPr>
                        <w:color w:val="231F20"/>
                        <w:sz w:val="10"/>
                      </w:rPr>
                      <w:t>20</w:t>
                    </w:r>
                  </w:p>
                  <w:p>
                    <w:pPr>
                      <w:spacing w:before="50"/>
                      <w:ind w:left="0" w:right="-19" w:firstLine="0"/>
                      <w:jc w:val="left"/>
                      <w:rPr>
                        <w:sz w:val="10"/>
                      </w:rPr>
                    </w:pPr>
                    <w:r>
                      <w:rPr>
                        <w:color w:val="231F20"/>
                        <w:sz w:val="10"/>
                      </w:rPr>
                      <w:t>10</w:t>
                    </w:r>
                  </w:p>
                  <w:p>
                    <w:pPr>
                      <w:spacing w:before="51"/>
                      <w:ind w:left="55" w:right="0" w:firstLine="0"/>
                      <w:jc w:val="left"/>
                      <w:rPr>
                        <w:sz w:val="10"/>
                      </w:rPr>
                    </w:pPr>
                    <w:r>
                      <w:rPr>
                        <w:color w:val="231F20"/>
                        <w:w w:val="100"/>
                        <w:sz w:val="10"/>
                      </w:rPr>
                      <w:t>0</w:t>
                    </w:r>
                  </w:p>
                </w:txbxContent>
              </v:textbox>
              <w10:wrap type="none"/>
            </v:shape>
            <v:shape style="position:absolute;left:4988;top:-2078;width:184;height:1493" type="#_x0000_t202" filled="true" fillcolor="#d1d3d4" stroked="false">
              <v:textbox inset="0,0,0,0">
                <w:txbxContent>
                  <w:p>
                    <w:pPr>
                      <w:spacing w:line="240" w:lineRule="auto" w:before="0"/>
                      <w:rPr>
                        <w:rFonts w:ascii="Times New Roman"/>
                        <w:sz w:val="8"/>
                      </w:rPr>
                    </w:pPr>
                  </w:p>
                  <w:p>
                    <w:pPr>
                      <w:spacing w:line="240" w:lineRule="auto" w:before="0"/>
                      <w:rPr>
                        <w:rFonts w:ascii="Times New Roman"/>
                        <w:sz w:val="8"/>
                      </w:rPr>
                    </w:pPr>
                  </w:p>
                  <w:p>
                    <w:pPr>
                      <w:spacing w:line="240" w:lineRule="auto" w:before="0"/>
                      <w:rPr>
                        <w:rFonts w:ascii="Times New Roman"/>
                        <w:sz w:val="8"/>
                      </w:rPr>
                    </w:pPr>
                  </w:p>
                  <w:p>
                    <w:pPr>
                      <w:spacing w:line="240" w:lineRule="auto" w:before="0"/>
                      <w:rPr>
                        <w:rFonts w:ascii="Times New Roman"/>
                        <w:sz w:val="8"/>
                      </w:rPr>
                    </w:pPr>
                  </w:p>
                  <w:p>
                    <w:pPr>
                      <w:spacing w:line="240" w:lineRule="auto" w:before="0"/>
                      <w:rPr>
                        <w:rFonts w:ascii="Times New Roman"/>
                        <w:sz w:val="8"/>
                      </w:rPr>
                    </w:pPr>
                  </w:p>
                  <w:p>
                    <w:pPr>
                      <w:spacing w:line="240" w:lineRule="auto" w:before="0"/>
                      <w:rPr>
                        <w:rFonts w:ascii="Times New Roman"/>
                        <w:sz w:val="8"/>
                      </w:rPr>
                    </w:pPr>
                  </w:p>
                  <w:p>
                    <w:pPr>
                      <w:spacing w:line="240" w:lineRule="auto" w:before="0"/>
                      <w:rPr>
                        <w:rFonts w:ascii="Times New Roman"/>
                        <w:sz w:val="8"/>
                      </w:rPr>
                    </w:pPr>
                  </w:p>
                  <w:p>
                    <w:pPr>
                      <w:spacing w:before="59"/>
                      <w:ind w:left="58" w:right="0" w:firstLine="0"/>
                      <w:jc w:val="left"/>
                      <w:rPr>
                        <w:sz w:val="8"/>
                      </w:rPr>
                    </w:pPr>
                    <w:r>
                      <w:rPr>
                        <w:color w:val="231F20"/>
                        <w:w w:val="110"/>
                        <w:sz w:val="8"/>
                      </w:rPr>
                      <w:t>90</w:t>
                    </w:r>
                  </w:p>
                </w:txbxContent>
              </v:textbox>
              <v:fill type="solid"/>
              <w10:wrap type="none"/>
            </v:shape>
            <v:shape style="position:absolute;left:5465;top:-2078;width:184;height:1494" type="#_x0000_t202" filled="true" fillcolor="#d1d3d4" stroked="false">
              <v:textbox inset="0,0,0,0">
                <w:txbxContent>
                  <w:p>
                    <w:pPr>
                      <w:spacing w:line="240" w:lineRule="auto" w:before="0"/>
                      <w:rPr>
                        <w:rFonts w:ascii="Times New Roman"/>
                        <w:sz w:val="8"/>
                      </w:rPr>
                    </w:pPr>
                  </w:p>
                  <w:p>
                    <w:pPr>
                      <w:spacing w:line="240" w:lineRule="auto" w:before="0"/>
                      <w:rPr>
                        <w:rFonts w:ascii="Times New Roman"/>
                        <w:sz w:val="8"/>
                      </w:rPr>
                    </w:pPr>
                  </w:p>
                  <w:p>
                    <w:pPr>
                      <w:spacing w:line="240" w:lineRule="auto" w:before="0"/>
                      <w:rPr>
                        <w:rFonts w:ascii="Times New Roman"/>
                        <w:sz w:val="8"/>
                      </w:rPr>
                    </w:pPr>
                  </w:p>
                  <w:p>
                    <w:pPr>
                      <w:spacing w:line="240" w:lineRule="auto" w:before="0"/>
                      <w:rPr>
                        <w:rFonts w:ascii="Times New Roman"/>
                        <w:sz w:val="8"/>
                      </w:rPr>
                    </w:pPr>
                  </w:p>
                  <w:p>
                    <w:pPr>
                      <w:spacing w:line="240" w:lineRule="auto" w:before="0"/>
                      <w:rPr>
                        <w:rFonts w:ascii="Times New Roman"/>
                        <w:sz w:val="8"/>
                      </w:rPr>
                    </w:pPr>
                  </w:p>
                  <w:p>
                    <w:pPr>
                      <w:spacing w:line="240" w:lineRule="auto" w:before="0"/>
                      <w:rPr>
                        <w:rFonts w:ascii="Times New Roman"/>
                        <w:sz w:val="8"/>
                      </w:rPr>
                    </w:pPr>
                  </w:p>
                  <w:p>
                    <w:pPr>
                      <w:spacing w:line="240" w:lineRule="auto" w:before="0"/>
                      <w:rPr>
                        <w:rFonts w:ascii="Times New Roman"/>
                        <w:sz w:val="8"/>
                      </w:rPr>
                    </w:pPr>
                  </w:p>
                  <w:p>
                    <w:pPr>
                      <w:spacing w:before="59"/>
                      <w:ind w:left="56" w:right="0" w:firstLine="0"/>
                      <w:jc w:val="left"/>
                      <w:rPr>
                        <w:sz w:val="8"/>
                      </w:rPr>
                    </w:pPr>
                    <w:r>
                      <w:rPr>
                        <w:color w:val="231F20"/>
                        <w:w w:val="110"/>
                        <w:sz w:val="8"/>
                      </w:rPr>
                      <w:t>90</w:t>
                    </w:r>
                  </w:p>
                </w:txbxContent>
              </v:textbox>
              <v:fill type="solid"/>
              <w10:wrap type="none"/>
            </v:shape>
            <v:shape style="position:absolute;left:4036;top:-1408;width:184;height:824" type="#_x0000_t202" filled="true" fillcolor="#d1d3d4" stroked="false">
              <v:textbox inset="0,0,0,0">
                <w:txbxContent>
                  <w:p>
                    <w:pPr>
                      <w:spacing w:line="240" w:lineRule="auto" w:before="0"/>
                      <w:rPr>
                        <w:rFonts w:ascii="Times New Roman"/>
                        <w:sz w:val="8"/>
                      </w:rPr>
                    </w:pPr>
                  </w:p>
                  <w:p>
                    <w:pPr>
                      <w:spacing w:line="240" w:lineRule="auto" w:before="0"/>
                      <w:rPr>
                        <w:rFonts w:ascii="Times New Roman"/>
                        <w:sz w:val="8"/>
                      </w:rPr>
                    </w:pPr>
                  </w:p>
                  <w:p>
                    <w:pPr>
                      <w:spacing w:line="240" w:lineRule="auto" w:before="0"/>
                      <w:rPr>
                        <w:rFonts w:ascii="Times New Roman"/>
                        <w:sz w:val="8"/>
                      </w:rPr>
                    </w:pPr>
                  </w:p>
                  <w:p>
                    <w:pPr>
                      <w:spacing w:line="240" w:lineRule="auto" w:before="8"/>
                      <w:rPr>
                        <w:rFonts w:ascii="Times New Roman"/>
                        <w:sz w:val="7"/>
                      </w:rPr>
                    </w:pPr>
                  </w:p>
                  <w:p>
                    <w:pPr>
                      <w:spacing w:before="1"/>
                      <w:ind w:left="55" w:right="0" w:firstLine="0"/>
                      <w:jc w:val="left"/>
                      <w:rPr>
                        <w:sz w:val="8"/>
                      </w:rPr>
                    </w:pPr>
                    <w:r>
                      <w:rPr>
                        <w:color w:val="231F20"/>
                        <w:w w:val="110"/>
                        <w:sz w:val="8"/>
                      </w:rPr>
                      <w:t>50</w:t>
                    </w:r>
                  </w:p>
                </w:txbxContent>
              </v:textbox>
              <v:fill type="solid"/>
              <w10:wrap type="none"/>
            </v:shape>
            <v:shape style="position:absolute;left:4518;top:-1408;width:184;height:823" type="#_x0000_t202" filled="true" fillcolor="#d1d3d4" stroked="false">
              <v:textbox inset="0,0,0,0">
                <w:txbxContent>
                  <w:p>
                    <w:pPr>
                      <w:spacing w:line="240" w:lineRule="auto" w:before="0"/>
                      <w:rPr>
                        <w:rFonts w:ascii="Times New Roman"/>
                        <w:sz w:val="8"/>
                      </w:rPr>
                    </w:pPr>
                  </w:p>
                  <w:p>
                    <w:pPr>
                      <w:spacing w:line="240" w:lineRule="auto" w:before="0"/>
                      <w:rPr>
                        <w:rFonts w:ascii="Times New Roman"/>
                        <w:sz w:val="8"/>
                      </w:rPr>
                    </w:pPr>
                  </w:p>
                  <w:p>
                    <w:pPr>
                      <w:spacing w:line="240" w:lineRule="auto" w:before="0"/>
                      <w:rPr>
                        <w:rFonts w:ascii="Times New Roman"/>
                        <w:sz w:val="8"/>
                      </w:rPr>
                    </w:pPr>
                  </w:p>
                  <w:p>
                    <w:pPr>
                      <w:spacing w:line="240" w:lineRule="auto" w:before="8"/>
                      <w:rPr>
                        <w:rFonts w:ascii="Times New Roman"/>
                        <w:sz w:val="7"/>
                      </w:rPr>
                    </w:pPr>
                  </w:p>
                  <w:p>
                    <w:pPr>
                      <w:spacing w:before="1"/>
                      <w:ind w:left="55" w:right="0" w:firstLine="0"/>
                      <w:jc w:val="left"/>
                      <w:rPr>
                        <w:sz w:val="8"/>
                      </w:rPr>
                    </w:pPr>
                    <w:r>
                      <w:rPr>
                        <w:color w:val="231F20"/>
                        <w:w w:val="110"/>
                        <w:sz w:val="8"/>
                      </w:rPr>
                      <w:t>50</w:t>
                    </w:r>
                  </w:p>
                </w:txbxContent>
              </v:textbox>
              <v:fill type="solid"/>
              <w10:wrap type="none"/>
            </v:shape>
            <v:shape style="position:absolute;left:3100;top:-1162;width:184;height:578" type="#_x0000_t202" filled="true" fillcolor="#d1d3d4" stroked="false">
              <v:textbox inset="0,0,0,0">
                <w:txbxContent>
                  <w:p>
                    <w:pPr>
                      <w:spacing w:line="240" w:lineRule="auto" w:before="0"/>
                      <w:rPr>
                        <w:rFonts w:ascii="Times New Roman"/>
                        <w:sz w:val="8"/>
                      </w:rPr>
                    </w:pPr>
                  </w:p>
                  <w:p>
                    <w:pPr>
                      <w:spacing w:line="240" w:lineRule="auto" w:before="0"/>
                      <w:rPr>
                        <w:rFonts w:ascii="Times New Roman"/>
                        <w:sz w:val="8"/>
                      </w:rPr>
                    </w:pPr>
                  </w:p>
                  <w:p>
                    <w:pPr>
                      <w:spacing w:before="48"/>
                      <w:ind w:left="40" w:right="0" w:firstLine="0"/>
                      <w:jc w:val="left"/>
                      <w:rPr>
                        <w:sz w:val="8"/>
                      </w:rPr>
                    </w:pPr>
                    <w:r>
                      <w:rPr>
                        <w:color w:val="231F20"/>
                        <w:w w:val="110"/>
                        <w:sz w:val="8"/>
                      </w:rPr>
                      <w:t>35</w:t>
                    </w:r>
                  </w:p>
                </w:txbxContent>
              </v:textbox>
              <v:fill type="solid"/>
              <w10:wrap type="none"/>
            </v:shape>
            <v:shape style="position:absolute;left:3567;top:-1164;width:184;height:579" type="#_x0000_t202" filled="true" fillcolor="#d1d3d4" stroked="false">
              <v:textbox inset="0,0,0,0">
                <w:txbxContent>
                  <w:p>
                    <w:pPr>
                      <w:spacing w:line="240" w:lineRule="auto" w:before="0"/>
                      <w:rPr>
                        <w:rFonts w:ascii="Times New Roman"/>
                        <w:sz w:val="8"/>
                      </w:rPr>
                    </w:pPr>
                  </w:p>
                  <w:p>
                    <w:pPr>
                      <w:spacing w:line="240" w:lineRule="auto" w:before="0"/>
                      <w:rPr>
                        <w:rFonts w:ascii="Times New Roman"/>
                        <w:sz w:val="8"/>
                      </w:rPr>
                    </w:pPr>
                  </w:p>
                  <w:p>
                    <w:pPr>
                      <w:spacing w:before="49"/>
                      <w:ind w:left="49" w:right="0" w:firstLine="0"/>
                      <w:jc w:val="left"/>
                      <w:rPr>
                        <w:sz w:val="8"/>
                      </w:rPr>
                    </w:pPr>
                    <w:r>
                      <w:rPr>
                        <w:color w:val="231F20"/>
                        <w:w w:val="110"/>
                        <w:sz w:val="8"/>
                      </w:rPr>
                      <w:t>35</w:t>
                    </w:r>
                  </w:p>
                </w:txbxContent>
              </v:textbox>
              <v:fill type="solid"/>
              <w10:wrap type="none"/>
            </v:shape>
            <w10:wrap type="none"/>
          </v:group>
        </w:pict>
      </w:r>
      <w:r>
        <w:rPr/>
        <w:pict>
          <v:shape style="position:absolute;margin-left:139.859634pt;margin-top:-18.168135pt;width:25.5pt;height:4.350pt;mso-position-horizontal-relative:page;mso-position-vertical-relative:paragraph;z-index:2344;rotation:315" type="#_x0000_t136" fillcolor="#231f20" stroked="f">
            <o:extrusion v:ext="view" autorotationcenter="t"/>
            <v:textpath style="font-family:&amp;quot;Arial&amp;quot;;font-size:4pt;v-text-kern:t;mso-text-shadow:auto" string="CYMOXANIL"/>
            <w10:wrap type="none"/>
          </v:shape>
        </w:pict>
      </w:r>
      <w:r>
        <w:rPr/>
        <w:pict>
          <v:shape style="position:absolute;margin-left:162.99115pt;margin-top:-18.388445pt;width:24.5pt;height:4.350pt;mso-position-horizontal-relative:page;mso-position-vertical-relative:paragraph;z-index:2368;rotation:315" type="#_x0000_t136" fillcolor="#231f20" stroked="f">
            <o:extrusion v:ext="view" autorotationcenter="t"/>
            <v:textpath style="font-family:&amp;quot;Arial&amp;quot;;font-size:4pt;v-text-kern:t;mso-text-shadow:auto" string="MANCOZEB"/>
            <w10:wrap type="none"/>
          </v:shape>
        </w:pict>
      </w:r>
      <w:r>
        <w:rPr/>
        <w:pict>
          <v:shape style="position:absolute;margin-left:184.167709pt;margin-top:-16.914204pt;width:28.85pt;height:4.350pt;mso-position-horizontal-relative:page;mso-position-vertical-relative:paragraph;z-index:2392;rotation:315" type="#_x0000_t136" fillcolor="#231f20" stroked="f">
            <o:extrusion v:ext="view" autorotationcenter="t"/>
            <v:textpath style="font-family:&amp;quot;Arial&amp;quot;;font-size:4pt;v-text-kern:t;mso-text-shadow:auto" string="FENEMIDONE"/>
            <w10:wrap type="none"/>
          </v:shape>
        </w:pict>
      </w:r>
      <w:r>
        <w:rPr/>
        <w:pict>
          <v:shape style="position:absolute;margin-left:203.148117pt;margin-top:-15.22004pt;width:33.8pt;height:4.350pt;mso-position-horizontal-relative:page;mso-position-vertical-relative:paragraph;z-index:2416;rotation:315" type="#_x0000_t136" fillcolor="#231f20" stroked="f">
            <o:extrusion v:ext="view" autorotationcenter="t"/>
            <v:textpath style="font-family:&amp;quot;Arial&amp;quot;;font-size:4pt;v-text-kern:t;mso-text-shadow:auto" string="PROPAMOCARB"/>
            <w10:wrap type="none"/>
          </v:shape>
        </w:pict>
      </w:r>
      <w:r>
        <w:rPr/>
        <w:pict>
          <v:shape style="position:absolute;margin-left:235.887573pt;margin-top:-18.848989pt;width:23.5pt;height:4.350pt;mso-position-horizontal-relative:page;mso-position-vertical-relative:paragraph;z-index:2440;rotation:315" type="#_x0000_t136" fillcolor="#231f20" stroked="f">
            <o:extrusion v:ext="view" autorotationcenter="t"/>
            <v:textpath style="font-family:&amp;quot;Arial&amp;quot;;font-size:4pt;v-text-kern:t;mso-text-shadow:auto" string="METALAXIL"/>
            <w10:wrap type="none"/>
          </v:shape>
        </w:pict>
      </w:r>
      <w:r>
        <w:rPr/>
        <w:pict>
          <v:shape style="position:absolute;margin-left:251.792725pt;margin-top:-15.571959pt;width:33.1pt;height:4.350pt;mso-position-horizontal-relative:page;mso-position-vertical-relative:paragraph;z-index:2464;rotation:315" type="#_x0000_t136" fillcolor="#231f20" stroked="f">
            <o:extrusion v:ext="view" autorotationcenter="t"/>
            <v:textpath style="font-family:&amp;quot;Arial&amp;quot;;font-size:4pt;v-text-kern:t;mso-text-shadow:auto" string="CLOROTALONIL"/>
            <w10:wrap type="none"/>
          </v:shape>
        </w:pict>
      </w:r>
      <w:r>
        <w:rPr>
          <w:color w:val="231F20"/>
          <w:sz w:val="10"/>
        </w:rPr>
        <w:t>Ingrediente activo</w:t>
      </w:r>
    </w:p>
    <w:p>
      <w:pPr>
        <w:spacing w:line="144" w:lineRule="exact" w:before="68"/>
        <w:ind w:left="1182" w:right="0" w:firstLine="0"/>
        <w:jc w:val="center"/>
        <w:rPr>
          <w:rFonts w:ascii="Times New Roman" w:hAnsi="Times New Roman"/>
          <w:sz w:val="13"/>
        </w:rPr>
      </w:pPr>
      <w:r>
        <w:rPr>
          <w:rFonts w:ascii="Times New Roman" w:hAnsi="Times New Roman"/>
          <w:b/>
          <w:color w:val="231F20"/>
          <w:sz w:val="13"/>
        </w:rPr>
        <w:t>Fig. 3.  </w:t>
      </w:r>
      <w:r>
        <w:rPr>
          <w:rFonts w:ascii="Times New Roman" w:hAnsi="Times New Roman"/>
          <w:color w:val="231F20"/>
          <w:sz w:val="13"/>
        </w:rPr>
        <w:t>Distribución de fungicidas por superficie destinada   al</w:t>
      </w:r>
    </w:p>
    <w:p>
      <w:pPr>
        <w:spacing w:line="144" w:lineRule="exact" w:before="0"/>
        <w:ind w:left="1244" w:right="0" w:firstLine="0"/>
        <w:jc w:val="center"/>
        <w:rPr>
          <w:rFonts w:ascii="Times New Roman"/>
          <w:sz w:val="13"/>
        </w:rPr>
      </w:pPr>
      <w:r>
        <w:rPr>
          <w:rFonts w:ascii="Times New Roman"/>
          <w:color w:val="231F20"/>
          <w:sz w:val="13"/>
        </w:rPr>
        <w:t>cultivo de papa en el municipio de Zinacantepec</w:t>
      </w:r>
    </w:p>
    <w:p>
      <w:pPr>
        <w:pStyle w:val="BodyText"/>
        <w:spacing w:before="10"/>
        <w:rPr>
          <w:rFonts w:ascii="Times New Roman"/>
          <w:sz w:val="15"/>
        </w:rPr>
      </w:pPr>
    </w:p>
    <w:p>
      <w:pPr>
        <w:spacing w:before="0"/>
        <w:ind w:left="2769" w:right="0" w:firstLine="0"/>
        <w:jc w:val="left"/>
        <w:rPr>
          <w:sz w:val="13"/>
        </w:rPr>
      </w:pPr>
      <w:r>
        <w:rPr/>
        <w:pict>
          <v:group style="position:absolute;margin-left:132.126602pt;margin-top:8.502205pt;width:163.65pt;height:105.7pt;mso-position-horizontal-relative:page;mso-position-vertical-relative:paragraph;z-index:2272" coordorigin="2643,170" coordsize="3273,2114">
            <v:shape style="position:absolute;left:3125;top:1494;width:244;height:48" coordorigin="3125,1494" coordsize="244,48" path="m3369,1494l3187,1494,3125,1541,3308,1541,3369,1494xe" filled="true" fillcolor="#a7a9ac" stroked="false">
              <v:path arrowok="t"/>
              <v:fill type="solid"/>
            </v:shape>
            <v:shape style="position:absolute;left:2643;top:1164;width:3273;height:1119" type="#_x0000_t75" stroked="false">
              <v:imagedata r:id="rId45" o:title=""/>
            </v:shape>
            <v:line style="position:absolute" from="2934,297" to="2934,1795" stroked="true" strokeweight=".361pt" strokecolor="#231f20"/>
            <v:line style="position:absolute" from="2914,294" to="2938,294" stroked="true" strokeweight=".3pt" strokecolor="#231f20"/>
            <v:shape style="position:absolute;left:2932;top:170;width:2984;height:1620" coordorigin="2932,170" coordsize="2984,1620" path="m5908,1442l3099,1442,2932,1563,2936,1569,3101,1449,5908,1449,5908,1442m5908,1239l3099,1239,2932,1361,2936,1366,3101,1246,5908,1246,5908,1239m5908,1022l3099,1022,2932,1144,2936,1150,3101,1029,5908,1029,5908,1022m5908,806l3099,806,2932,928,2936,934,3101,813,5908,813,5908,806m5908,598l3099,598,2932,720,2936,726,3101,605,5908,605,5908,598m5908,386l3099,386,2932,508,2936,514,3101,394,5908,394,5908,386m5908,170l3099,170,2932,292,2936,298,3101,177,5908,177,5908,170m5915,1654l3087,1654,2932,1784,2936,1789,3090,1662,5897,1662,5742,1781,5746,1787,5909,1662,5915,1657,5915,1654e" filled="true" fillcolor="#231f20" stroked="false">
              <v:path arrowok="t"/>
              <v:fill type="solid"/>
            </v:shape>
            <v:shape style="position:absolute;left:2914;top:511;width:21;height:420" coordorigin="2914,511" coordsize="21,420" path="m2914,723l2934,723m2914,511l2934,511m2914,931l2934,931e" filled="false" stroked="true" strokeweight=".361016pt" strokecolor="#231f20">
              <v:path arrowok="t"/>
            </v:shape>
            <v:line style="position:absolute" from="2914,1147" to="2934,1147" stroked="true" strokeweight=".360294pt" strokecolor="#231f20"/>
            <v:shape style="position:absolute;left:2914;top:1363;width:21;height:414" coordorigin="2914,1363" coordsize="21,414" path="m2914,1363l2934,1363m2914,1566l2934,1566m2914,1777l2934,1777e" filled="false" stroked="true" strokeweight=".361016pt" strokecolor="#231f20">
              <v:path arrowok="t"/>
            </v:shape>
            <v:line style="position:absolute" from="5740,1791" to="5748,1791" stroked="true" strokeweight=".4pt" strokecolor="#231f20"/>
            <v:line style="position:absolute" from="2934,1783" to="5748,1783" stroked="true" strokeweight=".4pt" strokecolor="#231f20"/>
            <v:shape style="position:absolute;left:3398;top:1784;width:1878;height:2" coordorigin="3398,1784" coordsize="1878,0" path="m5269,1784l5276,1784m4807,1784l4814,1784m4335,1784l4343,1784m3869,1784l3876,1784m3398,1784l3406,1784e" filled="false" stroked="true" strokeweight="1.10832pt" strokecolor="#231f20">
              <v:path arrowok="t"/>
            </v:shape>
            <v:shape style="position:absolute;left:3588;top:321;width:2124;height:1192" coordorigin="3588,321" coordsize="2124,1192" path="m3832,1465l3650,1465,3588,1513,3771,1513,3832,1465m4296,1421l4114,1421,4052,1469,4234,1469,4296,1421m4774,1147l4592,1147,4531,1195,4713,1195,4774,1147m5240,1006l5058,1006,4996,1054,5178,1054,5240,1006m5712,321l5530,321,5468,369,5651,369,5712,321e" filled="true" fillcolor="#a7a9ac" stroked="false">
              <v:path arrowok="t"/>
              <v:fill type="solid"/>
            </v:shape>
            <v:shape style="position:absolute;left:3308;top:1147;width:1467;height:598" coordorigin="3308,1147" coordsize="1467,598" path="m3369,1494l3308,1541,3308,1745,3369,1701,3369,1494m3832,1465l3771,1513,3771,1745,3832,1697,3832,1465m4295,1421l4234,1469,4234,1743,4295,1701,4295,1421m4774,1147l4713,1195,4713,1744,4774,1700,4774,1147e" filled="true" fillcolor="#808285" stroked="false">
              <v:path arrowok="t"/>
              <v:fill type="solid"/>
            </v:shape>
            <v:line style="position:absolute" from="5209,1006" to="5209,1745" stroked="true" strokeweight="3.0881pt" strokecolor="#808285"/>
            <v:line style="position:absolute" from="5681,321" to="5681,1745" stroked="true" strokeweight="3.0896pt" strokecolor="#808285"/>
            <v:shape style="position:absolute;left:2758;top:241;width:141;height:1590" type="#_x0000_t202" filled="false" stroked="false">
              <v:textbox inset="0,0,0,0">
                <w:txbxContent>
                  <w:p>
                    <w:pPr>
                      <w:spacing w:line="98" w:lineRule="exact" w:before="0"/>
                      <w:ind w:left="0" w:right="-18" w:firstLine="0"/>
                      <w:jc w:val="left"/>
                      <w:rPr>
                        <w:sz w:val="10"/>
                      </w:rPr>
                    </w:pPr>
                    <w:r>
                      <w:rPr>
                        <w:color w:val="231F20"/>
                        <w:sz w:val="10"/>
                      </w:rPr>
                      <w:t>1.4</w:t>
                    </w:r>
                  </w:p>
                  <w:p>
                    <w:pPr>
                      <w:spacing w:line="240" w:lineRule="auto" w:before="8"/>
                      <w:rPr>
                        <w:rFonts w:ascii="Times New Roman"/>
                        <w:sz w:val="8"/>
                      </w:rPr>
                    </w:pPr>
                  </w:p>
                  <w:p>
                    <w:pPr>
                      <w:spacing w:before="1"/>
                      <w:ind w:left="0" w:right="-18" w:firstLine="0"/>
                      <w:jc w:val="left"/>
                      <w:rPr>
                        <w:sz w:val="10"/>
                      </w:rPr>
                    </w:pPr>
                    <w:r>
                      <w:rPr>
                        <w:color w:val="231F20"/>
                        <w:sz w:val="10"/>
                      </w:rPr>
                      <w:t>1.2</w:t>
                    </w:r>
                  </w:p>
                  <w:p>
                    <w:pPr>
                      <w:spacing w:line="240" w:lineRule="auto" w:before="6"/>
                      <w:rPr>
                        <w:rFonts w:ascii="Times New Roman"/>
                        <w:sz w:val="8"/>
                      </w:rPr>
                    </w:pPr>
                  </w:p>
                  <w:p>
                    <w:pPr>
                      <w:spacing w:before="0"/>
                      <w:ind w:left="81" w:right="0" w:firstLine="0"/>
                      <w:jc w:val="left"/>
                      <w:rPr>
                        <w:sz w:val="10"/>
                      </w:rPr>
                    </w:pPr>
                    <w:r>
                      <w:rPr>
                        <w:color w:val="231F20"/>
                        <w:w w:val="100"/>
                        <w:sz w:val="10"/>
                      </w:rPr>
                      <w:t>1</w:t>
                    </w:r>
                  </w:p>
                  <w:p>
                    <w:pPr>
                      <w:spacing w:line="240" w:lineRule="auto" w:before="4"/>
                      <w:rPr>
                        <w:rFonts w:ascii="Times New Roman"/>
                        <w:sz w:val="8"/>
                      </w:rPr>
                    </w:pPr>
                  </w:p>
                  <w:p>
                    <w:pPr>
                      <w:spacing w:before="0"/>
                      <w:ind w:left="0" w:right="-18" w:firstLine="0"/>
                      <w:jc w:val="left"/>
                      <w:rPr>
                        <w:sz w:val="10"/>
                      </w:rPr>
                    </w:pPr>
                    <w:r>
                      <w:rPr>
                        <w:color w:val="231F20"/>
                        <w:sz w:val="10"/>
                      </w:rPr>
                      <w:t>0.6</w:t>
                    </w:r>
                  </w:p>
                  <w:p>
                    <w:pPr>
                      <w:spacing w:line="240" w:lineRule="auto" w:before="9"/>
                      <w:rPr>
                        <w:rFonts w:ascii="Times New Roman"/>
                        <w:sz w:val="8"/>
                      </w:rPr>
                    </w:pPr>
                  </w:p>
                  <w:p>
                    <w:pPr>
                      <w:spacing w:before="1"/>
                      <w:ind w:left="0" w:right="-18" w:firstLine="0"/>
                      <w:jc w:val="left"/>
                      <w:rPr>
                        <w:sz w:val="10"/>
                      </w:rPr>
                    </w:pPr>
                    <w:r>
                      <w:rPr>
                        <w:color w:val="231F20"/>
                        <w:sz w:val="10"/>
                      </w:rPr>
                      <w:t>0.5</w:t>
                    </w:r>
                  </w:p>
                  <w:p>
                    <w:pPr>
                      <w:spacing w:line="240" w:lineRule="auto" w:before="5"/>
                      <w:rPr>
                        <w:rFonts w:ascii="Times New Roman"/>
                        <w:sz w:val="8"/>
                      </w:rPr>
                    </w:pPr>
                  </w:p>
                  <w:p>
                    <w:pPr>
                      <w:spacing w:before="0"/>
                      <w:ind w:left="0" w:right="-18" w:firstLine="0"/>
                      <w:jc w:val="left"/>
                      <w:rPr>
                        <w:sz w:val="10"/>
                      </w:rPr>
                    </w:pPr>
                    <w:r>
                      <w:rPr>
                        <w:color w:val="231F20"/>
                        <w:sz w:val="10"/>
                      </w:rPr>
                      <w:t>0.4</w:t>
                    </w:r>
                  </w:p>
                  <w:p>
                    <w:pPr>
                      <w:spacing w:before="82"/>
                      <w:ind w:left="0" w:right="-18" w:firstLine="0"/>
                      <w:jc w:val="left"/>
                      <w:rPr>
                        <w:sz w:val="10"/>
                      </w:rPr>
                    </w:pPr>
                    <w:r>
                      <w:rPr>
                        <w:color w:val="231F20"/>
                        <w:sz w:val="10"/>
                      </w:rPr>
                      <w:t>0.2</w:t>
                    </w:r>
                  </w:p>
                  <w:p>
                    <w:pPr>
                      <w:spacing w:line="240" w:lineRule="auto" w:before="2"/>
                      <w:rPr>
                        <w:rFonts w:ascii="Times New Roman"/>
                        <w:sz w:val="9"/>
                      </w:rPr>
                    </w:pPr>
                  </w:p>
                  <w:p>
                    <w:pPr>
                      <w:spacing w:before="1"/>
                      <w:ind w:left="81" w:right="0" w:firstLine="0"/>
                      <w:jc w:val="left"/>
                      <w:rPr>
                        <w:sz w:val="10"/>
                      </w:rPr>
                    </w:pPr>
                    <w:r>
                      <w:rPr>
                        <w:color w:val="231F20"/>
                        <w:w w:val="100"/>
                        <w:sz w:val="10"/>
                      </w:rPr>
                      <w:t>0</w:t>
                    </w:r>
                  </w:p>
                </w:txbxContent>
              </v:textbox>
              <w10:wrap type="none"/>
            </v:shape>
            <v:shape style="position:absolute;left:5468;top:368;width:183;height:1377" type="#_x0000_t202" filled="true" fillcolor="#d1d3d4" stroked="false">
              <v:textbox inset="0,0,0,0">
                <w:txbxContent>
                  <w:p>
                    <w:pPr>
                      <w:spacing w:line="240" w:lineRule="auto" w:before="0"/>
                      <w:rPr>
                        <w:rFonts w:ascii="Times New Roman"/>
                        <w:sz w:val="8"/>
                      </w:rPr>
                    </w:pPr>
                  </w:p>
                  <w:p>
                    <w:pPr>
                      <w:spacing w:line="240" w:lineRule="auto" w:before="0"/>
                      <w:rPr>
                        <w:rFonts w:ascii="Times New Roman"/>
                        <w:sz w:val="8"/>
                      </w:rPr>
                    </w:pPr>
                  </w:p>
                  <w:p>
                    <w:pPr>
                      <w:spacing w:line="240" w:lineRule="auto" w:before="0"/>
                      <w:rPr>
                        <w:rFonts w:ascii="Times New Roman"/>
                        <w:sz w:val="8"/>
                      </w:rPr>
                    </w:pPr>
                  </w:p>
                  <w:p>
                    <w:pPr>
                      <w:spacing w:line="240" w:lineRule="auto" w:before="0"/>
                      <w:rPr>
                        <w:rFonts w:ascii="Times New Roman"/>
                        <w:sz w:val="8"/>
                      </w:rPr>
                    </w:pPr>
                  </w:p>
                  <w:p>
                    <w:pPr>
                      <w:spacing w:line="240" w:lineRule="auto" w:before="0"/>
                      <w:rPr>
                        <w:rFonts w:ascii="Times New Roman"/>
                        <w:sz w:val="8"/>
                      </w:rPr>
                    </w:pPr>
                  </w:p>
                  <w:p>
                    <w:pPr>
                      <w:spacing w:line="240" w:lineRule="auto" w:before="0"/>
                      <w:rPr>
                        <w:rFonts w:ascii="Times New Roman"/>
                        <w:sz w:val="8"/>
                      </w:rPr>
                    </w:pPr>
                  </w:p>
                  <w:p>
                    <w:pPr>
                      <w:spacing w:line="240" w:lineRule="auto" w:before="7"/>
                      <w:rPr>
                        <w:rFonts w:ascii="Times New Roman"/>
                        <w:sz w:val="7"/>
                      </w:rPr>
                    </w:pPr>
                  </w:p>
                  <w:p>
                    <w:pPr>
                      <w:spacing w:before="0"/>
                      <w:ind w:left="26" w:right="-15" w:firstLine="0"/>
                      <w:jc w:val="left"/>
                      <w:rPr>
                        <w:sz w:val="8"/>
                      </w:rPr>
                    </w:pPr>
                    <w:r>
                      <w:rPr>
                        <w:color w:val="231F20"/>
                        <w:w w:val="110"/>
                        <w:sz w:val="8"/>
                      </w:rPr>
                      <w:t>1.3</w:t>
                    </w:r>
                  </w:p>
                </w:txbxContent>
              </v:textbox>
              <v:fill type="solid"/>
              <w10:wrap type="none"/>
            </v:shape>
            <v:shape style="position:absolute;left:4996;top:1054;width:183;height:692" type="#_x0000_t202" filled="true" fillcolor="#d1d3d4" stroked="false">
              <v:textbox inset="0,0,0,0">
                <w:txbxContent>
                  <w:p>
                    <w:pPr>
                      <w:spacing w:line="240" w:lineRule="auto" w:before="0"/>
                      <w:rPr>
                        <w:rFonts w:ascii="Times New Roman"/>
                        <w:sz w:val="8"/>
                      </w:rPr>
                    </w:pPr>
                  </w:p>
                  <w:p>
                    <w:pPr>
                      <w:spacing w:line="240" w:lineRule="auto" w:before="0"/>
                      <w:rPr>
                        <w:rFonts w:ascii="Times New Roman"/>
                        <w:sz w:val="8"/>
                      </w:rPr>
                    </w:pPr>
                  </w:p>
                  <w:p>
                    <w:pPr>
                      <w:spacing w:line="240" w:lineRule="auto" w:before="5"/>
                      <w:rPr>
                        <w:rFonts w:ascii="Times New Roman"/>
                        <w:sz w:val="9"/>
                      </w:rPr>
                    </w:pPr>
                  </w:p>
                  <w:p>
                    <w:pPr>
                      <w:spacing w:before="0"/>
                      <w:ind w:left="6" w:right="-15" w:firstLine="0"/>
                      <w:jc w:val="left"/>
                      <w:rPr>
                        <w:sz w:val="8"/>
                      </w:rPr>
                    </w:pPr>
                    <w:r>
                      <w:rPr>
                        <w:color w:val="231F20"/>
                        <w:w w:val="110"/>
                        <w:sz w:val="8"/>
                      </w:rPr>
                      <w:t>0.65</w:t>
                    </w:r>
                  </w:p>
                </w:txbxContent>
              </v:textbox>
              <v:fill type="solid"/>
              <w10:wrap type="none"/>
            </v:shape>
            <v:shape style="position:absolute;left:4530;top:1195;width:183;height:549" type="#_x0000_t202" filled="true" fillcolor="#d1d3d4" stroked="false">
              <v:textbox inset="0,0,0,0">
                <w:txbxContent>
                  <w:p>
                    <w:pPr>
                      <w:spacing w:line="240" w:lineRule="auto" w:before="0"/>
                      <w:rPr>
                        <w:rFonts w:ascii="Times New Roman"/>
                        <w:sz w:val="8"/>
                      </w:rPr>
                    </w:pPr>
                  </w:p>
                  <w:p>
                    <w:pPr>
                      <w:spacing w:line="240" w:lineRule="auto" w:before="10"/>
                      <w:rPr>
                        <w:rFonts w:ascii="Times New Roman"/>
                        <w:sz w:val="11"/>
                      </w:rPr>
                    </w:pPr>
                  </w:p>
                  <w:p>
                    <w:pPr>
                      <w:spacing w:before="0"/>
                      <w:ind w:left="4" w:right="-13" w:firstLine="0"/>
                      <w:jc w:val="left"/>
                      <w:rPr>
                        <w:sz w:val="8"/>
                      </w:rPr>
                    </w:pPr>
                    <w:r>
                      <w:rPr>
                        <w:color w:val="231F20"/>
                        <w:w w:val="110"/>
                        <w:sz w:val="8"/>
                      </w:rPr>
                      <w:t>0.52</w:t>
                    </w:r>
                  </w:p>
                </w:txbxContent>
              </v:textbox>
              <v:fill type="solid"/>
              <w10:wrap type="none"/>
            </v:shape>
            <v:shape style="position:absolute;left:4052;top:1468;width:183;height:277" type="#_x0000_t202" filled="true" fillcolor="#d1d3d4" stroked="false">
              <v:textbox inset="0,0,0,0">
                <w:txbxContent>
                  <w:p>
                    <w:pPr>
                      <w:spacing w:line="240" w:lineRule="auto" w:before="9"/>
                      <w:rPr>
                        <w:rFonts w:ascii="Times New Roman"/>
                        <w:sz w:val="6"/>
                      </w:rPr>
                    </w:pPr>
                  </w:p>
                  <w:p>
                    <w:pPr>
                      <w:spacing w:before="0"/>
                      <w:ind w:left="4" w:right="-13" w:firstLine="0"/>
                      <w:jc w:val="left"/>
                      <w:rPr>
                        <w:sz w:val="8"/>
                      </w:rPr>
                    </w:pPr>
                    <w:r>
                      <w:rPr>
                        <w:color w:val="231F20"/>
                        <w:w w:val="110"/>
                        <w:sz w:val="8"/>
                      </w:rPr>
                      <w:t>0.26</w:t>
                    </w:r>
                  </w:p>
                </w:txbxContent>
              </v:textbox>
              <v:fill type="solid"/>
              <w10:wrap type="none"/>
            </v:shape>
            <v:shape style="position:absolute;left:3125;top:1541;width:183;height:204" type="#_x0000_t202" filled="true" fillcolor="#d1d3d4" stroked="false">
              <v:textbox inset="0,0,0,0">
                <w:txbxContent>
                  <w:p>
                    <w:pPr>
                      <w:spacing w:before="61"/>
                      <w:ind w:left="13" w:right="-14" w:firstLine="0"/>
                      <w:jc w:val="left"/>
                      <w:rPr>
                        <w:sz w:val="8"/>
                      </w:rPr>
                    </w:pPr>
                    <w:r>
                      <w:rPr>
                        <w:color w:val="231F20"/>
                        <w:w w:val="105"/>
                        <w:sz w:val="8"/>
                      </w:rPr>
                      <w:t>0.19</w:t>
                    </w:r>
                  </w:p>
                </w:txbxContent>
              </v:textbox>
              <v:fill type="solid"/>
              <w10:wrap type="none"/>
            </v:shape>
            <v:shape style="position:absolute;left:3588;top:1512;width:183;height:232" type="#_x0000_t202" filled="true" fillcolor="#d1d3d4" stroked="false">
              <v:textbox inset="0,0,0,0">
                <w:txbxContent>
                  <w:p>
                    <w:pPr>
                      <w:spacing w:line="240" w:lineRule="auto" w:before="10"/>
                      <w:rPr>
                        <w:rFonts w:ascii="Times New Roman"/>
                        <w:sz w:val="6"/>
                      </w:rPr>
                    </w:pPr>
                  </w:p>
                  <w:p>
                    <w:pPr>
                      <w:spacing w:before="0"/>
                      <w:ind w:left="8" w:right="-17" w:firstLine="0"/>
                      <w:jc w:val="left"/>
                      <w:rPr>
                        <w:sz w:val="8"/>
                      </w:rPr>
                    </w:pPr>
                    <w:r>
                      <w:rPr>
                        <w:color w:val="231F20"/>
                        <w:w w:val="110"/>
                        <w:sz w:val="8"/>
                      </w:rPr>
                      <w:t>0.22</w:t>
                    </w:r>
                  </w:p>
                </w:txbxContent>
              </v:textbox>
              <v:fill type="solid"/>
              <w10:wrap type="none"/>
            </v:shape>
            <w10:wrap type="none"/>
          </v:group>
        </w:pict>
      </w:r>
      <w:r>
        <w:rPr/>
        <w:pict>
          <v:shape style="position:absolute;margin-left:131.166061pt;margin-top:28.736818pt;width:7.1pt;height:44.55pt;mso-position-horizontal-relative:page;mso-position-vertical-relative:paragraph;z-index:2296" type="#_x0000_t202" filled="false" stroked="false">
            <v:textbox inset="0,0,0,0" style="layout-flow:vertical;mso-layout-flow-alt:bottom-to-top">
              <w:txbxContent>
                <w:p>
                  <w:pPr>
                    <w:spacing w:before="2"/>
                    <w:ind w:left="20" w:right="-405" w:firstLine="0"/>
                    <w:jc w:val="left"/>
                    <w:rPr>
                      <w:sz w:val="10"/>
                    </w:rPr>
                  </w:pPr>
                  <w:r>
                    <w:rPr>
                      <w:color w:val="231F20"/>
                      <w:w w:val="101"/>
                      <w:sz w:val="10"/>
                    </w:rPr>
                    <w:t>Sobredosis</w:t>
                  </w:r>
                  <w:r>
                    <w:rPr>
                      <w:color w:val="231F20"/>
                      <w:sz w:val="10"/>
                    </w:rPr>
                    <w:t> </w:t>
                  </w:r>
                  <w:r>
                    <w:rPr>
                      <w:color w:val="231F20"/>
                      <w:w w:val="101"/>
                      <w:sz w:val="10"/>
                    </w:rPr>
                    <w:t>(kg/ha)</w:t>
                  </w:r>
                </w:p>
              </w:txbxContent>
            </v:textbox>
            <w10:wrap type="none"/>
          </v:shape>
        </w:pict>
      </w:r>
      <w:r>
        <w:rPr>
          <w:color w:val="231F20"/>
          <w:sz w:val="13"/>
        </w:rPr>
        <w:t>Temporal</w:t>
      </w:r>
    </w:p>
    <w:p>
      <w:pPr>
        <w:pStyle w:val="BodyText"/>
        <w:rPr>
          <w:sz w:val="16"/>
        </w:rPr>
      </w:pPr>
      <w:r>
        <w:rPr/>
        <w:br w:type="column"/>
      </w:r>
      <w:r>
        <w:rPr>
          <w:sz w:val="16"/>
        </w:rPr>
      </w:r>
    </w:p>
    <w:p>
      <w:pPr>
        <w:pStyle w:val="BodyText"/>
        <w:spacing w:before="7"/>
        <w:rPr>
          <w:sz w:val="12"/>
        </w:rPr>
      </w:pPr>
    </w:p>
    <w:p>
      <w:pPr>
        <w:spacing w:line="174" w:lineRule="exact" w:before="0"/>
        <w:ind w:left="369" w:right="2638" w:firstLine="0"/>
        <w:jc w:val="both"/>
        <w:rPr>
          <w:rFonts w:ascii="Times New Roman" w:hAnsi="Times New Roman"/>
          <w:sz w:val="16"/>
        </w:rPr>
      </w:pPr>
      <w:r>
        <w:rPr/>
        <w:pict>
          <v:shape style="position:absolute;margin-left:164.110199pt;margin-top:240.085876pt;width:24.5pt;height:4.350pt;mso-position-horizontal-relative:page;mso-position-vertical-relative:paragraph;z-index:2512;rotation:315" type="#_x0000_t136" fillcolor="#231f20" stroked="f">
            <o:extrusion v:ext="view" autorotationcenter="t"/>
            <v:textpath style="font-family:&amp;quot;Arial&amp;quot;;font-size:4pt;v-text-kern:t;mso-text-shadow:auto" string="MANCOZEB"/>
            <w10:wrap type="none"/>
          </v:shape>
        </w:pict>
      </w:r>
      <w:r>
        <w:rPr/>
        <w:pict>
          <v:shape style="position:absolute;margin-left:187.120193pt;margin-top:240.316513pt;width:25.5pt;height:4.350pt;mso-position-horizontal-relative:page;mso-position-vertical-relative:paragraph;z-index:2536;rotation:315" type="#_x0000_t136" fillcolor="#231f20" stroked="f">
            <o:extrusion v:ext="view" autorotationcenter="t"/>
            <v:textpath style="font-family:&amp;quot;Arial&amp;quot;;font-size:4pt;v-text-kern:t;mso-text-shadow:auto" string="CYMOXANIL"/>
            <w10:wrap type="none"/>
          </v:shape>
        </w:pict>
      </w:r>
      <w:r>
        <w:rPr/>
        <w:pict>
          <v:shape style="position:absolute;margin-left:208.235794pt;margin-top:241.614777pt;width:28.85pt;height:4.350pt;mso-position-horizontal-relative:page;mso-position-vertical-relative:paragraph;z-index:2560;rotation:315" type="#_x0000_t136" fillcolor="#231f20" stroked="f">
            <o:extrusion v:ext="view" autorotationcenter="t"/>
            <v:textpath style="font-family:&amp;quot;Arial&amp;quot;;font-size:4pt;v-text-kern:t;mso-text-shadow:auto" string="FENEMIDONE"/>
            <w10:wrap type="none"/>
          </v:shape>
        </w:pict>
      </w:r>
      <w:r>
        <w:rPr/>
        <w:pict>
          <v:shape style="position:absolute;margin-left:236.340988pt;margin-top:239.610397pt;width:23.5pt;height:4.350pt;mso-position-horizontal-relative:page;mso-position-vertical-relative:paragraph;z-index:2584;rotation:315" type="#_x0000_t136" fillcolor="#231f20" stroked="f">
            <o:extrusion v:ext="view" autorotationcenter="t"/>
            <v:textpath style="font-family:&amp;quot;Arial&amp;quot;;font-size:4pt;v-text-kern:t;mso-text-shadow:auto" string="METALAXIL"/>
            <w10:wrap type="none"/>
          </v:shape>
        </w:pict>
      </w:r>
      <w:r>
        <w:rPr/>
        <w:pict>
          <v:shape style="position:absolute;margin-left:253.311661pt;margin-top:243.005112pt;width:33.1pt;height:4.350pt;mso-position-horizontal-relative:page;mso-position-vertical-relative:paragraph;z-index:2608;rotation:315" type="#_x0000_t136" fillcolor="#231f20" stroked="f">
            <o:extrusion v:ext="view" autorotationcenter="t"/>
            <v:textpath style="font-family:&amp;quot;Arial&amp;quot;;font-size:4pt;v-text-kern:t;mso-text-shadow:auto" string="CLOROTALONIL"/>
            <w10:wrap type="none"/>
          </v:shape>
        </w:pict>
      </w:r>
      <w:r>
        <w:rPr>
          <w:rFonts w:ascii="Times New Roman" w:hAnsi="Times New Roman"/>
          <w:color w:val="231F20"/>
          <w:sz w:val="16"/>
        </w:rPr>
        <w:t>temporal),</w:t>
      </w:r>
      <w:r>
        <w:rPr>
          <w:rFonts w:ascii="Times New Roman" w:hAnsi="Times New Roman"/>
          <w:color w:val="231F20"/>
          <w:spacing w:val="-19"/>
          <w:sz w:val="16"/>
        </w:rPr>
        <w:t> </w:t>
      </w:r>
      <w:r>
        <w:rPr>
          <w:rFonts w:ascii="Times New Roman" w:hAnsi="Times New Roman"/>
          <w:color w:val="231F20"/>
          <w:sz w:val="16"/>
        </w:rPr>
        <w:t>así</w:t>
      </w:r>
      <w:r>
        <w:rPr>
          <w:rFonts w:ascii="Times New Roman" w:hAnsi="Times New Roman"/>
          <w:color w:val="231F20"/>
          <w:spacing w:val="-19"/>
          <w:sz w:val="16"/>
        </w:rPr>
        <w:t> </w:t>
      </w:r>
      <w:r>
        <w:rPr>
          <w:rFonts w:ascii="Times New Roman" w:hAnsi="Times New Roman"/>
          <w:color w:val="231F20"/>
          <w:sz w:val="16"/>
        </w:rPr>
        <w:t>como</w:t>
      </w:r>
      <w:r>
        <w:rPr>
          <w:rFonts w:ascii="Times New Roman" w:hAnsi="Times New Roman"/>
          <w:color w:val="231F20"/>
          <w:spacing w:val="-19"/>
          <w:sz w:val="16"/>
        </w:rPr>
        <w:t> </w:t>
      </w:r>
      <w:r>
        <w:rPr>
          <w:rFonts w:ascii="Times New Roman" w:hAnsi="Times New Roman"/>
          <w:color w:val="231F20"/>
          <w:sz w:val="16"/>
        </w:rPr>
        <w:t>entre</w:t>
      </w:r>
      <w:r>
        <w:rPr>
          <w:rFonts w:ascii="Times New Roman" w:hAnsi="Times New Roman"/>
          <w:color w:val="231F20"/>
          <w:spacing w:val="-19"/>
          <w:sz w:val="16"/>
        </w:rPr>
        <w:t> </w:t>
      </w:r>
      <w:r>
        <w:rPr>
          <w:rFonts w:ascii="Times New Roman" w:hAnsi="Times New Roman"/>
          <w:color w:val="231F20"/>
          <w:sz w:val="16"/>
        </w:rPr>
        <w:t>los</w:t>
      </w:r>
      <w:r>
        <w:rPr>
          <w:rFonts w:ascii="Times New Roman" w:hAnsi="Times New Roman"/>
          <w:color w:val="231F20"/>
          <w:spacing w:val="-19"/>
          <w:sz w:val="16"/>
        </w:rPr>
        <w:t> </w:t>
      </w:r>
      <w:r>
        <w:rPr>
          <w:rFonts w:ascii="Times New Roman" w:hAnsi="Times New Roman"/>
          <w:color w:val="231F20"/>
          <w:sz w:val="16"/>
        </w:rPr>
        <w:t>niveles</w:t>
      </w:r>
      <w:r>
        <w:rPr>
          <w:rFonts w:ascii="Times New Roman" w:hAnsi="Times New Roman"/>
          <w:color w:val="231F20"/>
          <w:spacing w:val="-19"/>
          <w:sz w:val="16"/>
        </w:rPr>
        <w:t> </w:t>
      </w:r>
      <w:r>
        <w:rPr>
          <w:rFonts w:ascii="Times New Roman" w:hAnsi="Times New Roman"/>
          <w:color w:val="231F20"/>
          <w:sz w:val="16"/>
        </w:rPr>
        <w:t>de</w:t>
      </w:r>
      <w:r>
        <w:rPr>
          <w:rFonts w:ascii="Times New Roman" w:hAnsi="Times New Roman"/>
          <w:color w:val="231F20"/>
          <w:spacing w:val="-19"/>
          <w:sz w:val="16"/>
        </w:rPr>
        <w:t> </w:t>
      </w:r>
      <w:r>
        <w:rPr>
          <w:rFonts w:ascii="Times New Roman" w:hAnsi="Times New Roman"/>
          <w:color w:val="231F20"/>
          <w:sz w:val="16"/>
        </w:rPr>
        <w:t>dosis</w:t>
      </w:r>
      <w:r>
        <w:rPr>
          <w:rFonts w:ascii="Times New Roman" w:hAnsi="Times New Roman"/>
          <w:color w:val="231F20"/>
          <w:spacing w:val="-19"/>
          <w:sz w:val="16"/>
        </w:rPr>
        <w:t> </w:t>
      </w:r>
      <w:r>
        <w:rPr>
          <w:rFonts w:ascii="Times New Roman" w:hAnsi="Times New Roman"/>
          <w:color w:val="231F20"/>
          <w:sz w:val="16"/>
        </w:rPr>
        <w:t>de</w:t>
      </w:r>
      <w:r>
        <w:rPr>
          <w:rFonts w:ascii="Times New Roman" w:hAnsi="Times New Roman"/>
          <w:color w:val="231F20"/>
          <w:spacing w:val="-19"/>
          <w:sz w:val="16"/>
        </w:rPr>
        <w:t> </w:t>
      </w:r>
      <w:r>
        <w:rPr>
          <w:rFonts w:ascii="Times New Roman" w:hAnsi="Times New Roman"/>
          <w:color w:val="231F20"/>
          <w:sz w:val="16"/>
        </w:rPr>
        <w:t>fun- gicida</w:t>
      </w:r>
      <w:r>
        <w:rPr>
          <w:rFonts w:ascii="Times New Roman" w:hAnsi="Times New Roman"/>
          <w:color w:val="231F20"/>
          <w:spacing w:val="-6"/>
          <w:sz w:val="16"/>
        </w:rPr>
        <w:t> </w:t>
      </w:r>
      <w:r>
        <w:rPr>
          <w:rFonts w:ascii="Times New Roman" w:hAnsi="Times New Roman"/>
          <w:color w:val="231F20"/>
          <w:sz w:val="16"/>
        </w:rPr>
        <w:t>utilizados</w:t>
      </w:r>
      <w:r>
        <w:rPr>
          <w:rFonts w:ascii="Times New Roman" w:hAnsi="Times New Roman"/>
          <w:color w:val="231F20"/>
          <w:spacing w:val="-6"/>
          <w:sz w:val="16"/>
        </w:rPr>
        <w:t> </w:t>
      </w:r>
      <w:r>
        <w:rPr>
          <w:rFonts w:ascii="Times New Roman" w:hAnsi="Times New Roman"/>
          <w:color w:val="231F20"/>
          <w:sz w:val="16"/>
        </w:rPr>
        <w:t>en</w:t>
      </w:r>
      <w:r>
        <w:rPr>
          <w:rFonts w:ascii="Times New Roman" w:hAnsi="Times New Roman"/>
          <w:color w:val="231F20"/>
          <w:spacing w:val="-6"/>
          <w:sz w:val="16"/>
        </w:rPr>
        <w:t> </w:t>
      </w:r>
      <w:r>
        <w:rPr>
          <w:rFonts w:ascii="Times New Roman" w:hAnsi="Times New Roman"/>
          <w:color w:val="231F20"/>
          <w:sz w:val="16"/>
        </w:rPr>
        <w:t>cada</w:t>
      </w:r>
      <w:r>
        <w:rPr>
          <w:rFonts w:ascii="Times New Roman" w:hAnsi="Times New Roman"/>
          <w:color w:val="231F20"/>
          <w:spacing w:val="-6"/>
          <w:sz w:val="16"/>
        </w:rPr>
        <w:t> </w:t>
      </w:r>
      <w:r>
        <w:rPr>
          <w:rFonts w:ascii="Times New Roman" w:hAnsi="Times New Roman"/>
          <w:color w:val="231F20"/>
          <w:sz w:val="16"/>
        </w:rPr>
        <w:t>uno</w:t>
      </w:r>
      <w:r>
        <w:rPr>
          <w:rFonts w:ascii="Times New Roman" w:hAnsi="Times New Roman"/>
          <w:color w:val="231F20"/>
          <w:spacing w:val="-6"/>
          <w:sz w:val="16"/>
        </w:rPr>
        <w:t> </w:t>
      </w:r>
      <w:r>
        <w:rPr>
          <w:rFonts w:ascii="Times New Roman" w:hAnsi="Times New Roman"/>
          <w:color w:val="231F20"/>
          <w:sz w:val="16"/>
        </w:rPr>
        <w:t>de</w:t>
      </w:r>
      <w:r>
        <w:rPr>
          <w:rFonts w:ascii="Times New Roman" w:hAnsi="Times New Roman"/>
          <w:color w:val="231F20"/>
          <w:spacing w:val="-6"/>
          <w:sz w:val="16"/>
        </w:rPr>
        <w:t> </w:t>
      </w:r>
      <w:r>
        <w:rPr>
          <w:rFonts w:ascii="Times New Roman" w:hAnsi="Times New Roman"/>
          <w:color w:val="231F20"/>
          <w:sz w:val="16"/>
        </w:rPr>
        <w:t>estos</w:t>
      </w:r>
      <w:r>
        <w:rPr>
          <w:rFonts w:ascii="Times New Roman" w:hAnsi="Times New Roman"/>
          <w:color w:val="231F20"/>
          <w:spacing w:val="-6"/>
          <w:sz w:val="16"/>
        </w:rPr>
        <w:t> </w:t>
      </w:r>
      <w:r>
        <w:rPr>
          <w:rFonts w:ascii="Times New Roman" w:hAnsi="Times New Roman"/>
          <w:color w:val="231F20"/>
          <w:sz w:val="16"/>
        </w:rPr>
        <w:t>(</w:t>
      </w:r>
      <w:r>
        <w:rPr>
          <w:rFonts w:ascii="Times New Roman" w:hAnsi="Times New Roman"/>
          <w:b/>
          <w:color w:val="231F20"/>
          <w:sz w:val="16"/>
        </w:rPr>
        <w:t>Cuadro</w:t>
      </w:r>
      <w:r>
        <w:rPr>
          <w:rFonts w:ascii="Times New Roman" w:hAnsi="Times New Roman"/>
          <w:b/>
          <w:color w:val="231F20"/>
          <w:spacing w:val="-6"/>
          <w:sz w:val="16"/>
        </w:rPr>
        <w:t> </w:t>
      </w:r>
      <w:r>
        <w:rPr>
          <w:rFonts w:ascii="Times New Roman" w:hAnsi="Times New Roman"/>
          <w:b/>
          <w:color w:val="231F20"/>
          <w:sz w:val="16"/>
        </w:rPr>
        <w:t>II</w:t>
      </w:r>
      <w:r>
        <w:rPr>
          <w:rFonts w:ascii="Times New Roman" w:hAnsi="Times New Roman"/>
          <w:color w:val="231F20"/>
          <w:sz w:val="16"/>
        </w:rPr>
        <w:t>). En los sistemas de producción de riego que aplican los </w:t>
      </w:r>
      <w:r>
        <w:rPr>
          <w:rFonts w:ascii="Times New Roman" w:hAnsi="Times New Roman"/>
          <w:color w:val="231F20"/>
          <w:spacing w:val="2"/>
          <w:sz w:val="16"/>
        </w:rPr>
        <w:t>fungicidas </w:t>
      </w:r>
      <w:r>
        <w:rPr>
          <w:rFonts w:ascii="Times New Roman" w:hAnsi="Times New Roman"/>
          <w:color w:val="231F20"/>
          <w:sz w:val="16"/>
        </w:rPr>
        <w:t>por </w:t>
      </w:r>
      <w:r>
        <w:rPr>
          <w:rFonts w:ascii="Times New Roman" w:hAnsi="Times New Roman"/>
          <w:color w:val="231F20"/>
          <w:spacing w:val="2"/>
          <w:sz w:val="16"/>
        </w:rPr>
        <w:t>arriba </w:t>
      </w:r>
      <w:r>
        <w:rPr>
          <w:rFonts w:ascii="Times New Roman" w:hAnsi="Times New Roman"/>
          <w:color w:val="231F20"/>
          <w:sz w:val="16"/>
        </w:rPr>
        <w:t>de lo </w:t>
      </w:r>
      <w:r>
        <w:rPr>
          <w:rFonts w:ascii="Times New Roman" w:hAnsi="Times New Roman"/>
          <w:color w:val="231F20"/>
          <w:spacing w:val="2"/>
          <w:sz w:val="16"/>
        </w:rPr>
        <w:t>recomendado </w:t>
      </w:r>
      <w:r>
        <w:rPr>
          <w:rFonts w:ascii="Times New Roman" w:hAnsi="Times New Roman"/>
          <w:color w:val="231F20"/>
          <w:sz w:val="16"/>
        </w:rPr>
        <w:t>se obtuvo un rendimiento promedio de 39.25 ton/ha, lo cual representa casi el doble de producción que se obtiene en sistemas de temporal que aplican los fungicidas en dosis debajo de lo recomendado por el</w:t>
      </w:r>
      <w:r>
        <w:rPr>
          <w:rFonts w:ascii="Times New Roman" w:hAnsi="Times New Roman"/>
          <w:color w:val="231F20"/>
          <w:spacing w:val="-17"/>
          <w:sz w:val="16"/>
        </w:rPr>
        <w:t> </w:t>
      </w:r>
      <w:r>
        <w:rPr>
          <w:rFonts w:ascii="Times New Roman" w:hAnsi="Times New Roman"/>
          <w:color w:val="231F20"/>
          <w:sz w:val="16"/>
        </w:rPr>
        <w:t>FRAC</w:t>
      </w:r>
      <w:r>
        <w:rPr>
          <w:rFonts w:ascii="Times New Roman" w:hAnsi="Times New Roman"/>
          <w:color w:val="231F20"/>
          <w:spacing w:val="-18"/>
          <w:sz w:val="16"/>
        </w:rPr>
        <w:t> </w:t>
      </w:r>
      <w:r>
        <w:rPr>
          <w:rFonts w:ascii="Times New Roman" w:hAnsi="Times New Roman"/>
          <w:color w:val="231F20"/>
          <w:sz w:val="16"/>
        </w:rPr>
        <w:t>(</w:t>
      </w:r>
      <w:r>
        <w:rPr>
          <w:rFonts w:ascii="Times New Roman" w:hAnsi="Times New Roman"/>
          <w:b/>
          <w:color w:val="231F20"/>
          <w:sz w:val="16"/>
        </w:rPr>
        <w:t>Cuadro</w:t>
      </w:r>
      <w:r>
        <w:rPr>
          <w:rFonts w:ascii="Times New Roman" w:hAnsi="Times New Roman"/>
          <w:b/>
          <w:color w:val="231F20"/>
          <w:spacing w:val="-18"/>
          <w:sz w:val="16"/>
        </w:rPr>
        <w:t> </w:t>
      </w:r>
      <w:r>
        <w:rPr>
          <w:rFonts w:ascii="Times New Roman" w:hAnsi="Times New Roman"/>
          <w:b/>
          <w:color w:val="231F20"/>
          <w:sz w:val="16"/>
        </w:rPr>
        <w:t>II</w:t>
      </w:r>
      <w:r>
        <w:rPr>
          <w:rFonts w:ascii="Times New Roman" w:hAnsi="Times New Roman"/>
          <w:color w:val="231F20"/>
          <w:sz w:val="16"/>
        </w:rPr>
        <w:t>).</w:t>
      </w:r>
      <w:r>
        <w:rPr>
          <w:rFonts w:ascii="Times New Roman" w:hAnsi="Times New Roman"/>
          <w:color w:val="231F20"/>
          <w:spacing w:val="-18"/>
          <w:sz w:val="16"/>
        </w:rPr>
        <w:t> </w:t>
      </w:r>
      <w:r>
        <w:rPr>
          <w:rFonts w:ascii="Times New Roman" w:hAnsi="Times New Roman"/>
          <w:color w:val="231F20"/>
          <w:sz w:val="16"/>
        </w:rPr>
        <w:t>El</w:t>
      </w:r>
      <w:r>
        <w:rPr>
          <w:rFonts w:ascii="Times New Roman" w:hAnsi="Times New Roman"/>
          <w:color w:val="231F20"/>
          <w:spacing w:val="-18"/>
          <w:sz w:val="16"/>
        </w:rPr>
        <w:t> </w:t>
      </w:r>
      <w:r>
        <w:rPr>
          <w:rFonts w:ascii="Times New Roman" w:hAnsi="Times New Roman"/>
          <w:color w:val="231F20"/>
          <w:sz w:val="16"/>
        </w:rPr>
        <w:t>costo</w:t>
      </w:r>
      <w:r>
        <w:rPr>
          <w:rFonts w:ascii="Times New Roman" w:hAnsi="Times New Roman"/>
          <w:color w:val="231F20"/>
          <w:spacing w:val="-18"/>
          <w:sz w:val="16"/>
        </w:rPr>
        <w:t> </w:t>
      </w:r>
      <w:r>
        <w:rPr>
          <w:rFonts w:ascii="Times New Roman" w:hAnsi="Times New Roman"/>
          <w:color w:val="231F20"/>
          <w:sz w:val="16"/>
        </w:rPr>
        <w:t>promedio</w:t>
      </w:r>
      <w:r>
        <w:rPr>
          <w:rFonts w:ascii="Times New Roman" w:hAnsi="Times New Roman"/>
          <w:color w:val="231F20"/>
          <w:spacing w:val="-18"/>
          <w:sz w:val="16"/>
        </w:rPr>
        <w:t> </w:t>
      </w:r>
      <w:r>
        <w:rPr>
          <w:rFonts w:ascii="Times New Roman" w:hAnsi="Times New Roman"/>
          <w:color w:val="231F20"/>
          <w:sz w:val="16"/>
        </w:rPr>
        <w:t>de</w:t>
      </w:r>
      <w:r>
        <w:rPr>
          <w:rFonts w:ascii="Times New Roman" w:hAnsi="Times New Roman"/>
          <w:color w:val="231F20"/>
          <w:spacing w:val="-18"/>
          <w:sz w:val="16"/>
        </w:rPr>
        <w:t> </w:t>
      </w:r>
      <w:r>
        <w:rPr>
          <w:rFonts w:ascii="Times New Roman" w:hAnsi="Times New Roman"/>
          <w:color w:val="231F20"/>
          <w:sz w:val="16"/>
        </w:rPr>
        <w:t>produc- ción</w:t>
      </w:r>
      <w:r>
        <w:rPr>
          <w:rFonts w:ascii="Times New Roman" w:hAnsi="Times New Roman"/>
          <w:color w:val="231F20"/>
          <w:spacing w:val="-18"/>
          <w:sz w:val="16"/>
        </w:rPr>
        <w:t> </w:t>
      </w:r>
      <w:r>
        <w:rPr>
          <w:rFonts w:ascii="Times New Roman" w:hAnsi="Times New Roman"/>
          <w:color w:val="231F20"/>
          <w:sz w:val="16"/>
        </w:rPr>
        <w:t>en</w:t>
      </w:r>
      <w:r>
        <w:rPr>
          <w:rFonts w:ascii="Times New Roman" w:hAnsi="Times New Roman"/>
          <w:color w:val="231F20"/>
          <w:spacing w:val="-18"/>
          <w:sz w:val="16"/>
        </w:rPr>
        <w:t> </w:t>
      </w:r>
      <w:r>
        <w:rPr>
          <w:rFonts w:ascii="Times New Roman" w:hAnsi="Times New Roman"/>
          <w:color w:val="231F20"/>
          <w:sz w:val="16"/>
        </w:rPr>
        <w:t>los</w:t>
      </w:r>
      <w:r>
        <w:rPr>
          <w:rFonts w:ascii="Times New Roman" w:hAnsi="Times New Roman"/>
          <w:color w:val="231F20"/>
          <w:spacing w:val="-18"/>
          <w:sz w:val="16"/>
        </w:rPr>
        <w:t> </w:t>
      </w:r>
      <w:r>
        <w:rPr>
          <w:rFonts w:ascii="Times New Roman" w:hAnsi="Times New Roman"/>
          <w:color w:val="231F20"/>
          <w:sz w:val="16"/>
        </w:rPr>
        <w:t>sistemas</w:t>
      </w:r>
      <w:r>
        <w:rPr>
          <w:rFonts w:ascii="Times New Roman" w:hAnsi="Times New Roman"/>
          <w:color w:val="231F20"/>
          <w:spacing w:val="-18"/>
          <w:sz w:val="16"/>
        </w:rPr>
        <w:t> </w:t>
      </w:r>
      <w:r>
        <w:rPr>
          <w:rFonts w:ascii="Times New Roman" w:hAnsi="Times New Roman"/>
          <w:color w:val="231F20"/>
          <w:sz w:val="16"/>
        </w:rPr>
        <w:t>de</w:t>
      </w:r>
      <w:r>
        <w:rPr>
          <w:rFonts w:ascii="Times New Roman" w:hAnsi="Times New Roman"/>
          <w:color w:val="231F20"/>
          <w:spacing w:val="-18"/>
          <w:sz w:val="16"/>
        </w:rPr>
        <w:t> </w:t>
      </w:r>
      <w:r>
        <w:rPr>
          <w:rFonts w:ascii="Times New Roman" w:hAnsi="Times New Roman"/>
          <w:color w:val="231F20"/>
          <w:sz w:val="16"/>
        </w:rPr>
        <w:t>temporal</w:t>
      </w:r>
      <w:r>
        <w:rPr>
          <w:rFonts w:ascii="Times New Roman" w:hAnsi="Times New Roman"/>
          <w:color w:val="231F20"/>
          <w:spacing w:val="-18"/>
          <w:sz w:val="16"/>
        </w:rPr>
        <w:t> </w:t>
      </w:r>
      <w:r>
        <w:rPr>
          <w:rFonts w:ascii="Times New Roman" w:hAnsi="Times New Roman"/>
          <w:color w:val="231F20"/>
          <w:sz w:val="16"/>
        </w:rPr>
        <w:t>fue</w:t>
      </w:r>
      <w:r>
        <w:rPr>
          <w:rFonts w:ascii="Times New Roman" w:hAnsi="Times New Roman"/>
          <w:color w:val="231F20"/>
          <w:spacing w:val="-18"/>
          <w:sz w:val="16"/>
        </w:rPr>
        <w:t> </w:t>
      </w:r>
      <w:r>
        <w:rPr>
          <w:rFonts w:ascii="Times New Roman" w:hAnsi="Times New Roman"/>
          <w:color w:val="231F20"/>
          <w:sz w:val="16"/>
        </w:rPr>
        <w:t>de</w:t>
      </w:r>
      <w:r>
        <w:rPr>
          <w:rFonts w:ascii="Times New Roman" w:hAnsi="Times New Roman"/>
          <w:color w:val="231F20"/>
          <w:spacing w:val="-18"/>
          <w:sz w:val="16"/>
        </w:rPr>
        <w:t> </w:t>
      </w:r>
      <w:r>
        <w:rPr>
          <w:rFonts w:ascii="Times New Roman" w:hAnsi="Times New Roman"/>
          <w:color w:val="231F20"/>
          <w:sz w:val="16"/>
        </w:rPr>
        <w:t>76</w:t>
      </w:r>
      <w:r>
        <w:rPr>
          <w:rFonts w:ascii="Times New Roman" w:hAnsi="Times New Roman"/>
          <w:color w:val="231F20"/>
          <w:spacing w:val="-26"/>
          <w:sz w:val="16"/>
        </w:rPr>
        <w:t> </w:t>
      </w:r>
      <w:r>
        <w:rPr>
          <w:rFonts w:ascii="Times New Roman" w:hAnsi="Times New Roman"/>
          <w:color w:val="231F20"/>
          <w:sz w:val="16"/>
        </w:rPr>
        <w:t>170.00</w:t>
      </w:r>
      <w:r>
        <w:rPr>
          <w:rFonts w:ascii="Times New Roman" w:hAnsi="Times New Roman"/>
          <w:color w:val="231F20"/>
          <w:spacing w:val="-18"/>
          <w:sz w:val="16"/>
        </w:rPr>
        <w:t> </w:t>
      </w:r>
      <w:r>
        <w:rPr>
          <w:rFonts w:ascii="Times New Roman" w:hAnsi="Times New Roman"/>
          <w:color w:val="231F20"/>
          <w:sz w:val="16"/>
        </w:rPr>
        <w:t>pe- sos</w:t>
      </w:r>
      <w:r>
        <w:rPr>
          <w:rFonts w:ascii="Times New Roman" w:hAnsi="Times New Roman"/>
          <w:color w:val="231F20"/>
          <w:spacing w:val="-17"/>
          <w:sz w:val="16"/>
        </w:rPr>
        <w:t> </w:t>
      </w:r>
      <w:r>
        <w:rPr>
          <w:rFonts w:ascii="Times New Roman" w:hAnsi="Times New Roman"/>
          <w:color w:val="231F20"/>
          <w:sz w:val="16"/>
        </w:rPr>
        <w:t>MXN/ha</w:t>
      </w:r>
      <w:r>
        <w:rPr>
          <w:rFonts w:ascii="Times New Roman" w:hAnsi="Times New Roman"/>
          <w:color w:val="231F20"/>
          <w:spacing w:val="-17"/>
          <w:sz w:val="16"/>
        </w:rPr>
        <w:t> </w:t>
      </w:r>
      <w:r>
        <w:rPr>
          <w:rFonts w:ascii="Times New Roman" w:hAnsi="Times New Roman"/>
          <w:color w:val="231F20"/>
          <w:sz w:val="16"/>
        </w:rPr>
        <w:t>y</w:t>
      </w:r>
      <w:r>
        <w:rPr>
          <w:rFonts w:ascii="Times New Roman" w:hAnsi="Times New Roman"/>
          <w:color w:val="231F20"/>
          <w:spacing w:val="-17"/>
          <w:sz w:val="16"/>
        </w:rPr>
        <w:t> </w:t>
      </w:r>
      <w:r>
        <w:rPr>
          <w:rFonts w:ascii="Times New Roman" w:hAnsi="Times New Roman"/>
          <w:color w:val="231F20"/>
          <w:sz w:val="16"/>
        </w:rPr>
        <w:t>en</w:t>
      </w:r>
      <w:r>
        <w:rPr>
          <w:rFonts w:ascii="Times New Roman" w:hAnsi="Times New Roman"/>
          <w:color w:val="231F20"/>
          <w:spacing w:val="-17"/>
          <w:sz w:val="16"/>
        </w:rPr>
        <w:t> </w:t>
      </w:r>
      <w:r>
        <w:rPr>
          <w:rFonts w:ascii="Times New Roman" w:hAnsi="Times New Roman"/>
          <w:color w:val="231F20"/>
          <w:sz w:val="16"/>
        </w:rPr>
        <w:t>riego</w:t>
      </w:r>
      <w:r>
        <w:rPr>
          <w:rFonts w:ascii="Times New Roman" w:hAnsi="Times New Roman"/>
          <w:color w:val="231F20"/>
          <w:spacing w:val="-17"/>
          <w:sz w:val="16"/>
        </w:rPr>
        <w:t> </w:t>
      </w:r>
      <w:r>
        <w:rPr>
          <w:rFonts w:ascii="Times New Roman" w:hAnsi="Times New Roman"/>
          <w:color w:val="231F20"/>
          <w:sz w:val="16"/>
        </w:rPr>
        <w:t>de</w:t>
      </w:r>
      <w:r>
        <w:rPr>
          <w:rFonts w:ascii="Times New Roman" w:hAnsi="Times New Roman"/>
          <w:color w:val="231F20"/>
          <w:spacing w:val="-17"/>
          <w:sz w:val="16"/>
        </w:rPr>
        <w:t> </w:t>
      </w:r>
      <w:r>
        <w:rPr>
          <w:rFonts w:ascii="Times New Roman" w:hAnsi="Times New Roman"/>
          <w:color w:val="231F20"/>
          <w:sz w:val="16"/>
        </w:rPr>
        <w:t>68</w:t>
      </w:r>
      <w:r>
        <w:rPr>
          <w:rFonts w:ascii="Times New Roman" w:hAnsi="Times New Roman"/>
          <w:color w:val="231F20"/>
          <w:spacing w:val="-24"/>
          <w:sz w:val="16"/>
        </w:rPr>
        <w:t> </w:t>
      </w:r>
      <w:r>
        <w:rPr>
          <w:rFonts w:ascii="Times New Roman" w:hAnsi="Times New Roman"/>
          <w:color w:val="231F20"/>
          <w:sz w:val="16"/>
        </w:rPr>
        <w:t>153.90</w:t>
      </w:r>
      <w:r>
        <w:rPr>
          <w:rFonts w:ascii="Times New Roman" w:hAnsi="Times New Roman"/>
          <w:color w:val="231F20"/>
          <w:spacing w:val="-17"/>
          <w:sz w:val="16"/>
        </w:rPr>
        <w:t> </w:t>
      </w:r>
      <w:r>
        <w:rPr>
          <w:rFonts w:ascii="Times New Roman" w:hAnsi="Times New Roman"/>
          <w:color w:val="231F20"/>
          <w:sz w:val="16"/>
        </w:rPr>
        <w:t>pesos</w:t>
      </w:r>
      <w:r>
        <w:rPr>
          <w:rFonts w:ascii="Times New Roman" w:hAnsi="Times New Roman"/>
          <w:color w:val="231F20"/>
          <w:spacing w:val="-17"/>
          <w:sz w:val="16"/>
        </w:rPr>
        <w:t> </w:t>
      </w:r>
      <w:r>
        <w:rPr>
          <w:rFonts w:ascii="Times New Roman" w:hAnsi="Times New Roman"/>
          <w:color w:val="231F20"/>
          <w:sz w:val="16"/>
        </w:rPr>
        <w:t>MXN/ha, esta</w:t>
      </w:r>
      <w:r>
        <w:rPr>
          <w:rFonts w:ascii="Times New Roman" w:hAnsi="Times New Roman"/>
          <w:color w:val="231F20"/>
          <w:spacing w:val="-4"/>
          <w:sz w:val="16"/>
        </w:rPr>
        <w:t> </w:t>
      </w:r>
      <w:r>
        <w:rPr>
          <w:rFonts w:ascii="Times New Roman" w:hAnsi="Times New Roman"/>
          <w:color w:val="231F20"/>
          <w:sz w:val="16"/>
        </w:rPr>
        <w:t>diferencia</w:t>
      </w:r>
      <w:r>
        <w:rPr>
          <w:rFonts w:ascii="Times New Roman" w:hAnsi="Times New Roman"/>
          <w:color w:val="231F20"/>
          <w:spacing w:val="-4"/>
          <w:sz w:val="16"/>
        </w:rPr>
        <w:t> </w:t>
      </w:r>
      <w:r>
        <w:rPr>
          <w:rFonts w:ascii="Times New Roman" w:hAnsi="Times New Roman"/>
          <w:color w:val="231F20"/>
          <w:sz w:val="16"/>
        </w:rPr>
        <w:t>se</w:t>
      </w:r>
      <w:r>
        <w:rPr>
          <w:rFonts w:ascii="Times New Roman" w:hAnsi="Times New Roman"/>
          <w:color w:val="231F20"/>
          <w:spacing w:val="-4"/>
          <w:sz w:val="16"/>
        </w:rPr>
        <w:t> </w:t>
      </w:r>
      <w:r>
        <w:rPr>
          <w:rFonts w:ascii="Times New Roman" w:hAnsi="Times New Roman"/>
          <w:color w:val="231F20"/>
          <w:sz w:val="16"/>
        </w:rPr>
        <w:t>debe</w:t>
      </w:r>
      <w:r>
        <w:rPr>
          <w:rFonts w:ascii="Times New Roman" w:hAnsi="Times New Roman"/>
          <w:color w:val="231F20"/>
          <w:spacing w:val="-4"/>
          <w:sz w:val="16"/>
        </w:rPr>
        <w:t> </w:t>
      </w:r>
      <w:r>
        <w:rPr>
          <w:rFonts w:ascii="Times New Roman" w:hAnsi="Times New Roman"/>
          <w:color w:val="231F20"/>
          <w:sz w:val="16"/>
        </w:rPr>
        <w:t>a</w:t>
      </w:r>
      <w:r>
        <w:rPr>
          <w:rFonts w:ascii="Times New Roman" w:hAnsi="Times New Roman"/>
          <w:color w:val="231F20"/>
          <w:spacing w:val="-4"/>
          <w:sz w:val="16"/>
        </w:rPr>
        <w:t> </w:t>
      </w:r>
      <w:r>
        <w:rPr>
          <w:rFonts w:ascii="Times New Roman" w:hAnsi="Times New Roman"/>
          <w:color w:val="231F20"/>
          <w:sz w:val="16"/>
        </w:rPr>
        <w:t>la</w:t>
      </w:r>
      <w:r>
        <w:rPr>
          <w:rFonts w:ascii="Times New Roman" w:hAnsi="Times New Roman"/>
          <w:color w:val="231F20"/>
          <w:spacing w:val="-4"/>
          <w:sz w:val="16"/>
        </w:rPr>
        <w:t> </w:t>
      </w:r>
      <w:r>
        <w:rPr>
          <w:rFonts w:ascii="Times New Roman" w:hAnsi="Times New Roman"/>
          <w:color w:val="231F20"/>
          <w:sz w:val="16"/>
        </w:rPr>
        <w:t>frecuencia</w:t>
      </w:r>
      <w:r>
        <w:rPr>
          <w:rFonts w:ascii="Times New Roman" w:hAnsi="Times New Roman"/>
          <w:color w:val="231F20"/>
          <w:spacing w:val="-4"/>
          <w:sz w:val="16"/>
        </w:rPr>
        <w:t> </w:t>
      </w:r>
      <w:r>
        <w:rPr>
          <w:rFonts w:ascii="Times New Roman" w:hAnsi="Times New Roman"/>
          <w:color w:val="231F20"/>
          <w:sz w:val="16"/>
        </w:rPr>
        <w:t>con</w:t>
      </w:r>
      <w:r>
        <w:rPr>
          <w:rFonts w:ascii="Times New Roman" w:hAnsi="Times New Roman"/>
          <w:color w:val="231F20"/>
          <w:spacing w:val="-4"/>
          <w:sz w:val="16"/>
        </w:rPr>
        <w:t> </w:t>
      </w:r>
      <w:r>
        <w:rPr>
          <w:rFonts w:ascii="Times New Roman" w:hAnsi="Times New Roman"/>
          <w:color w:val="231F20"/>
          <w:sz w:val="16"/>
        </w:rPr>
        <w:t>la</w:t>
      </w:r>
      <w:r>
        <w:rPr>
          <w:rFonts w:ascii="Times New Roman" w:hAnsi="Times New Roman"/>
          <w:color w:val="231F20"/>
          <w:spacing w:val="-4"/>
          <w:sz w:val="16"/>
        </w:rPr>
        <w:t> </w:t>
      </w:r>
      <w:r>
        <w:rPr>
          <w:rFonts w:ascii="Times New Roman" w:hAnsi="Times New Roman"/>
          <w:color w:val="231F20"/>
          <w:sz w:val="16"/>
        </w:rPr>
        <w:t>que</w:t>
      </w:r>
      <w:r>
        <w:rPr>
          <w:rFonts w:ascii="Times New Roman" w:hAnsi="Times New Roman"/>
          <w:color w:val="231F20"/>
          <w:spacing w:val="-4"/>
          <w:sz w:val="16"/>
        </w:rPr>
        <w:t> </w:t>
      </w:r>
      <w:r>
        <w:rPr>
          <w:rFonts w:ascii="Times New Roman" w:hAnsi="Times New Roman"/>
          <w:color w:val="231F20"/>
          <w:sz w:val="16"/>
        </w:rPr>
        <w:t>se aplican</w:t>
      </w:r>
      <w:r>
        <w:rPr>
          <w:rFonts w:ascii="Times New Roman" w:hAnsi="Times New Roman"/>
          <w:color w:val="231F20"/>
          <w:spacing w:val="-4"/>
          <w:sz w:val="16"/>
        </w:rPr>
        <w:t> </w:t>
      </w:r>
      <w:r>
        <w:rPr>
          <w:rFonts w:ascii="Times New Roman" w:hAnsi="Times New Roman"/>
          <w:color w:val="231F20"/>
          <w:sz w:val="16"/>
        </w:rPr>
        <w:t>los</w:t>
      </w:r>
      <w:r>
        <w:rPr>
          <w:rFonts w:ascii="Times New Roman" w:hAnsi="Times New Roman"/>
          <w:color w:val="231F20"/>
          <w:spacing w:val="-4"/>
          <w:sz w:val="16"/>
        </w:rPr>
        <w:t> </w:t>
      </w:r>
      <w:r>
        <w:rPr>
          <w:rFonts w:ascii="Times New Roman" w:hAnsi="Times New Roman"/>
          <w:color w:val="231F20"/>
          <w:sz w:val="16"/>
        </w:rPr>
        <w:t>fungicidas</w:t>
      </w:r>
      <w:r>
        <w:rPr>
          <w:rFonts w:ascii="Times New Roman" w:hAnsi="Times New Roman"/>
          <w:color w:val="231F20"/>
          <w:spacing w:val="-4"/>
          <w:sz w:val="16"/>
        </w:rPr>
        <w:t> </w:t>
      </w:r>
      <w:r>
        <w:rPr>
          <w:rFonts w:ascii="Times New Roman" w:hAnsi="Times New Roman"/>
          <w:color w:val="231F20"/>
          <w:sz w:val="16"/>
        </w:rPr>
        <w:t>en</w:t>
      </w:r>
      <w:r>
        <w:rPr>
          <w:rFonts w:ascii="Times New Roman" w:hAnsi="Times New Roman"/>
          <w:color w:val="231F20"/>
          <w:spacing w:val="-4"/>
          <w:sz w:val="16"/>
        </w:rPr>
        <w:t> </w:t>
      </w:r>
      <w:r>
        <w:rPr>
          <w:rFonts w:ascii="Times New Roman" w:hAnsi="Times New Roman"/>
          <w:color w:val="231F20"/>
          <w:sz w:val="16"/>
        </w:rPr>
        <w:t>cada</w:t>
      </w:r>
      <w:r>
        <w:rPr>
          <w:rFonts w:ascii="Times New Roman" w:hAnsi="Times New Roman"/>
          <w:color w:val="231F20"/>
          <w:spacing w:val="-4"/>
          <w:sz w:val="16"/>
        </w:rPr>
        <w:t> </w:t>
      </w:r>
      <w:r>
        <w:rPr>
          <w:rFonts w:ascii="Times New Roman" w:hAnsi="Times New Roman"/>
          <w:color w:val="231F20"/>
          <w:sz w:val="16"/>
        </w:rPr>
        <w:t>sistema</w:t>
      </w:r>
      <w:r>
        <w:rPr>
          <w:rFonts w:ascii="Times New Roman" w:hAnsi="Times New Roman"/>
          <w:color w:val="231F20"/>
          <w:spacing w:val="-4"/>
          <w:sz w:val="16"/>
        </w:rPr>
        <w:t> </w:t>
      </w:r>
      <w:r>
        <w:rPr>
          <w:rFonts w:ascii="Times New Roman" w:hAnsi="Times New Roman"/>
          <w:color w:val="231F20"/>
          <w:sz w:val="16"/>
        </w:rPr>
        <w:t>tal</w:t>
      </w:r>
      <w:r>
        <w:rPr>
          <w:rFonts w:ascii="Times New Roman" w:hAnsi="Times New Roman"/>
          <w:color w:val="231F20"/>
          <w:spacing w:val="-4"/>
          <w:sz w:val="16"/>
        </w:rPr>
        <w:t> </w:t>
      </w:r>
      <w:r>
        <w:rPr>
          <w:rFonts w:ascii="Times New Roman" w:hAnsi="Times New Roman"/>
          <w:color w:val="231F20"/>
          <w:sz w:val="16"/>
        </w:rPr>
        <w:t>como</w:t>
      </w:r>
      <w:r>
        <w:rPr>
          <w:rFonts w:ascii="Times New Roman" w:hAnsi="Times New Roman"/>
          <w:color w:val="231F20"/>
          <w:spacing w:val="-4"/>
          <w:sz w:val="16"/>
        </w:rPr>
        <w:t> </w:t>
      </w:r>
      <w:r>
        <w:rPr>
          <w:rFonts w:ascii="Times New Roman" w:hAnsi="Times New Roman"/>
          <w:color w:val="231F20"/>
          <w:sz w:val="16"/>
        </w:rPr>
        <w:t>fue mencionado anteriormente. Considerando un valor de mercado por kg de papa de 5.00 pesos MXN (SIAP</w:t>
      </w:r>
      <w:r>
        <w:rPr>
          <w:rFonts w:ascii="Times New Roman" w:hAnsi="Times New Roman"/>
          <w:color w:val="231F20"/>
          <w:spacing w:val="-18"/>
          <w:sz w:val="16"/>
        </w:rPr>
        <w:t> </w:t>
      </w:r>
      <w:r>
        <w:rPr>
          <w:rFonts w:ascii="Times New Roman" w:hAnsi="Times New Roman"/>
          <w:color w:val="231F20"/>
          <w:sz w:val="16"/>
        </w:rPr>
        <w:t>2010),</w:t>
      </w:r>
      <w:r>
        <w:rPr>
          <w:rFonts w:ascii="Times New Roman" w:hAnsi="Times New Roman"/>
          <w:color w:val="231F20"/>
          <w:spacing w:val="-12"/>
          <w:sz w:val="16"/>
        </w:rPr>
        <w:t> </w:t>
      </w:r>
      <w:r>
        <w:rPr>
          <w:rFonts w:ascii="Times New Roman" w:hAnsi="Times New Roman"/>
          <w:color w:val="231F20"/>
          <w:sz w:val="16"/>
        </w:rPr>
        <w:t>el</w:t>
      </w:r>
      <w:r>
        <w:rPr>
          <w:rFonts w:ascii="Times New Roman" w:hAnsi="Times New Roman"/>
          <w:color w:val="231F20"/>
          <w:spacing w:val="-12"/>
          <w:sz w:val="16"/>
        </w:rPr>
        <w:t> </w:t>
      </w:r>
      <w:r>
        <w:rPr>
          <w:rFonts w:ascii="Times New Roman" w:hAnsi="Times New Roman"/>
          <w:color w:val="231F20"/>
          <w:sz w:val="16"/>
        </w:rPr>
        <w:t>ingreso</w:t>
      </w:r>
      <w:r>
        <w:rPr>
          <w:rFonts w:ascii="Times New Roman" w:hAnsi="Times New Roman"/>
          <w:color w:val="231F20"/>
          <w:spacing w:val="-12"/>
          <w:sz w:val="16"/>
        </w:rPr>
        <w:t> </w:t>
      </w:r>
      <w:r>
        <w:rPr>
          <w:rFonts w:ascii="Times New Roman" w:hAnsi="Times New Roman"/>
          <w:color w:val="231F20"/>
          <w:sz w:val="16"/>
        </w:rPr>
        <w:t>libre</w:t>
      </w:r>
      <w:r>
        <w:rPr>
          <w:rFonts w:ascii="Times New Roman" w:hAnsi="Times New Roman"/>
          <w:color w:val="231F20"/>
          <w:spacing w:val="-12"/>
          <w:sz w:val="16"/>
        </w:rPr>
        <w:t> </w:t>
      </w:r>
      <w:r>
        <w:rPr>
          <w:rFonts w:ascii="Times New Roman" w:hAnsi="Times New Roman"/>
          <w:color w:val="231F20"/>
          <w:sz w:val="16"/>
        </w:rPr>
        <w:t>promedio</w:t>
      </w:r>
      <w:r>
        <w:rPr>
          <w:rFonts w:ascii="Times New Roman" w:hAnsi="Times New Roman"/>
          <w:color w:val="231F20"/>
          <w:spacing w:val="-12"/>
          <w:sz w:val="16"/>
        </w:rPr>
        <w:t> </w:t>
      </w:r>
      <w:r>
        <w:rPr>
          <w:rFonts w:ascii="Times New Roman" w:hAnsi="Times New Roman"/>
          <w:color w:val="231F20"/>
          <w:sz w:val="16"/>
        </w:rPr>
        <w:t>por</w:t>
      </w:r>
      <w:r>
        <w:rPr>
          <w:rFonts w:ascii="Times New Roman" w:hAnsi="Times New Roman"/>
          <w:color w:val="231F20"/>
          <w:spacing w:val="-12"/>
          <w:sz w:val="16"/>
        </w:rPr>
        <w:t> </w:t>
      </w:r>
      <w:r>
        <w:rPr>
          <w:rFonts w:ascii="Times New Roman" w:hAnsi="Times New Roman"/>
          <w:color w:val="231F20"/>
          <w:sz w:val="16"/>
        </w:rPr>
        <w:t>hectárea de</w:t>
      </w:r>
      <w:r>
        <w:rPr>
          <w:rFonts w:ascii="Times New Roman" w:hAnsi="Times New Roman"/>
          <w:color w:val="231F20"/>
          <w:spacing w:val="-5"/>
          <w:sz w:val="16"/>
        </w:rPr>
        <w:t> </w:t>
      </w:r>
      <w:r>
        <w:rPr>
          <w:rFonts w:ascii="Times New Roman" w:hAnsi="Times New Roman"/>
          <w:color w:val="231F20"/>
          <w:sz w:val="16"/>
        </w:rPr>
        <w:t>riego</w:t>
      </w:r>
      <w:r>
        <w:rPr>
          <w:rFonts w:ascii="Times New Roman" w:hAnsi="Times New Roman"/>
          <w:color w:val="231F20"/>
          <w:spacing w:val="-5"/>
          <w:sz w:val="16"/>
        </w:rPr>
        <w:t> </w:t>
      </w:r>
      <w:r>
        <w:rPr>
          <w:rFonts w:ascii="Times New Roman" w:hAnsi="Times New Roman"/>
          <w:color w:val="231F20"/>
          <w:sz w:val="16"/>
        </w:rPr>
        <w:t>aplicando</w:t>
      </w:r>
      <w:r>
        <w:rPr>
          <w:rFonts w:ascii="Times New Roman" w:hAnsi="Times New Roman"/>
          <w:color w:val="231F20"/>
          <w:spacing w:val="-5"/>
          <w:sz w:val="16"/>
        </w:rPr>
        <w:t> </w:t>
      </w:r>
      <w:r>
        <w:rPr>
          <w:rFonts w:ascii="Times New Roman" w:hAnsi="Times New Roman"/>
          <w:color w:val="231F20"/>
          <w:sz w:val="16"/>
        </w:rPr>
        <w:t>los</w:t>
      </w:r>
      <w:r>
        <w:rPr>
          <w:rFonts w:ascii="Times New Roman" w:hAnsi="Times New Roman"/>
          <w:color w:val="231F20"/>
          <w:spacing w:val="-5"/>
          <w:sz w:val="16"/>
        </w:rPr>
        <w:t> </w:t>
      </w:r>
      <w:r>
        <w:rPr>
          <w:rFonts w:ascii="Times New Roman" w:hAnsi="Times New Roman"/>
          <w:color w:val="231F20"/>
          <w:sz w:val="16"/>
        </w:rPr>
        <w:t>fungicidas</w:t>
      </w:r>
      <w:r>
        <w:rPr>
          <w:rFonts w:ascii="Times New Roman" w:hAnsi="Times New Roman"/>
          <w:color w:val="231F20"/>
          <w:spacing w:val="-5"/>
          <w:sz w:val="16"/>
        </w:rPr>
        <w:t> </w:t>
      </w:r>
      <w:r>
        <w:rPr>
          <w:rFonts w:ascii="Times New Roman" w:hAnsi="Times New Roman"/>
          <w:color w:val="231F20"/>
          <w:sz w:val="16"/>
        </w:rPr>
        <w:t>en</w:t>
      </w:r>
      <w:r>
        <w:rPr>
          <w:rFonts w:ascii="Times New Roman" w:hAnsi="Times New Roman"/>
          <w:color w:val="231F20"/>
          <w:spacing w:val="-5"/>
          <w:sz w:val="16"/>
        </w:rPr>
        <w:t> </w:t>
      </w:r>
      <w:r>
        <w:rPr>
          <w:rFonts w:ascii="Times New Roman" w:hAnsi="Times New Roman"/>
          <w:color w:val="231F20"/>
          <w:sz w:val="16"/>
        </w:rPr>
        <w:t>dosis</w:t>
      </w:r>
      <w:r>
        <w:rPr>
          <w:rFonts w:ascii="Times New Roman" w:hAnsi="Times New Roman"/>
          <w:color w:val="231F20"/>
          <w:spacing w:val="-5"/>
          <w:sz w:val="16"/>
        </w:rPr>
        <w:t> </w:t>
      </w:r>
      <w:r>
        <w:rPr>
          <w:rFonts w:ascii="Times New Roman" w:hAnsi="Times New Roman"/>
          <w:color w:val="231F20"/>
          <w:sz w:val="16"/>
        </w:rPr>
        <w:t>arriba</w:t>
      </w:r>
      <w:r>
        <w:rPr>
          <w:rFonts w:ascii="Times New Roman" w:hAnsi="Times New Roman"/>
          <w:color w:val="231F20"/>
          <w:spacing w:val="-5"/>
          <w:sz w:val="16"/>
        </w:rPr>
        <w:t> </w:t>
      </w:r>
      <w:r>
        <w:rPr>
          <w:rFonts w:ascii="Times New Roman" w:hAnsi="Times New Roman"/>
          <w:color w:val="231F20"/>
          <w:sz w:val="16"/>
        </w:rPr>
        <w:t>de lo recomendado fue de 128 </w:t>
      </w:r>
      <w:r>
        <w:rPr>
          <w:rFonts w:ascii="Times New Roman" w:hAnsi="Times New Roman"/>
          <w:color w:val="231F20"/>
          <w:spacing w:val="2"/>
          <w:sz w:val="16"/>
        </w:rPr>
        <w:t>096.10 pesos MXN, </w:t>
      </w:r>
      <w:r>
        <w:rPr>
          <w:rFonts w:ascii="Times New Roman" w:hAnsi="Times New Roman"/>
          <w:color w:val="231F20"/>
          <w:sz w:val="16"/>
        </w:rPr>
        <w:t>y en la de </w:t>
      </w:r>
      <w:r>
        <w:rPr>
          <w:rFonts w:ascii="Times New Roman" w:hAnsi="Times New Roman"/>
          <w:color w:val="231F20"/>
          <w:spacing w:val="2"/>
          <w:sz w:val="16"/>
        </w:rPr>
        <w:t>temporal </w:t>
      </w:r>
      <w:r>
        <w:rPr>
          <w:rFonts w:ascii="Times New Roman" w:hAnsi="Times New Roman"/>
          <w:color w:val="231F20"/>
          <w:sz w:val="16"/>
        </w:rPr>
        <w:t>de 49 </w:t>
      </w:r>
      <w:r>
        <w:rPr>
          <w:rFonts w:ascii="Times New Roman" w:hAnsi="Times New Roman"/>
          <w:color w:val="231F20"/>
          <w:spacing w:val="2"/>
          <w:sz w:val="16"/>
        </w:rPr>
        <w:t>130.00 pesos </w:t>
      </w:r>
      <w:r>
        <w:rPr>
          <w:rFonts w:ascii="Times New Roman" w:hAnsi="Times New Roman"/>
          <w:color w:val="231F20"/>
          <w:sz w:val="16"/>
        </w:rPr>
        <w:t>MXN </w:t>
      </w:r>
      <w:r>
        <w:rPr>
          <w:rFonts w:ascii="Times New Roman" w:hAnsi="Times New Roman"/>
          <w:color w:val="231F20"/>
          <w:spacing w:val="2"/>
          <w:sz w:val="16"/>
        </w:rPr>
        <w:t>bajo </w:t>
      </w:r>
      <w:r>
        <w:rPr>
          <w:rFonts w:ascii="Times New Roman" w:hAnsi="Times New Roman"/>
          <w:color w:val="231F20"/>
          <w:sz w:val="16"/>
        </w:rPr>
        <w:t>el </w:t>
      </w:r>
      <w:r>
        <w:rPr>
          <w:rFonts w:ascii="Times New Roman" w:hAnsi="Times New Roman"/>
          <w:color w:val="231F20"/>
          <w:spacing w:val="2"/>
          <w:sz w:val="16"/>
        </w:rPr>
        <w:t>mismo nivel </w:t>
      </w:r>
      <w:r>
        <w:rPr>
          <w:rFonts w:ascii="Times New Roman" w:hAnsi="Times New Roman"/>
          <w:color w:val="231F20"/>
          <w:sz w:val="16"/>
        </w:rPr>
        <w:t>de </w:t>
      </w:r>
      <w:r>
        <w:rPr>
          <w:rFonts w:ascii="Times New Roman" w:hAnsi="Times New Roman"/>
          <w:color w:val="231F20"/>
          <w:spacing w:val="2"/>
          <w:sz w:val="16"/>
        </w:rPr>
        <w:t>dosis empleada </w:t>
      </w:r>
      <w:r>
        <w:rPr>
          <w:rFonts w:ascii="Times New Roman" w:hAnsi="Times New Roman"/>
          <w:color w:val="231F20"/>
          <w:sz w:val="16"/>
        </w:rPr>
        <w:t>de </w:t>
      </w:r>
      <w:r>
        <w:rPr>
          <w:rFonts w:ascii="Times New Roman" w:hAnsi="Times New Roman"/>
          <w:color w:val="231F20"/>
          <w:spacing w:val="2"/>
          <w:sz w:val="16"/>
        </w:rPr>
        <w:t>fungicidas, pero </w:t>
      </w:r>
      <w:r>
        <w:rPr>
          <w:rFonts w:ascii="Times New Roman" w:hAnsi="Times New Roman"/>
          <w:color w:val="231F20"/>
          <w:sz w:val="16"/>
        </w:rPr>
        <w:t>con </w:t>
      </w:r>
      <w:r>
        <w:rPr>
          <w:rFonts w:ascii="Times New Roman" w:hAnsi="Times New Roman"/>
          <w:color w:val="231F20"/>
          <w:spacing w:val="2"/>
          <w:sz w:val="16"/>
        </w:rPr>
        <w:t>intervalos </w:t>
      </w:r>
      <w:r>
        <w:rPr>
          <w:rFonts w:ascii="Times New Roman" w:hAnsi="Times New Roman"/>
          <w:color w:val="231F20"/>
          <w:sz w:val="16"/>
        </w:rPr>
        <w:t>de </w:t>
      </w:r>
      <w:r>
        <w:rPr>
          <w:rFonts w:ascii="Times New Roman" w:hAnsi="Times New Roman"/>
          <w:color w:val="231F20"/>
          <w:spacing w:val="2"/>
          <w:sz w:val="16"/>
        </w:rPr>
        <w:t>aplicación </w:t>
      </w:r>
      <w:r>
        <w:rPr>
          <w:rFonts w:ascii="Times New Roman" w:hAnsi="Times New Roman"/>
          <w:color w:val="231F20"/>
          <w:sz w:val="16"/>
        </w:rPr>
        <w:t>más </w:t>
      </w:r>
      <w:r>
        <w:rPr>
          <w:rFonts w:ascii="Times New Roman" w:hAnsi="Times New Roman"/>
          <w:color w:val="231F20"/>
          <w:spacing w:val="2"/>
          <w:sz w:val="16"/>
        </w:rPr>
        <w:t>cortos. </w:t>
      </w:r>
      <w:r>
        <w:rPr>
          <w:rFonts w:ascii="Times New Roman" w:hAnsi="Times New Roman"/>
          <w:color w:val="231F20"/>
          <w:sz w:val="16"/>
        </w:rPr>
        <w:t>El 80 % de la </w:t>
      </w:r>
      <w:r>
        <w:rPr>
          <w:rFonts w:ascii="Times New Roman" w:hAnsi="Times New Roman"/>
          <w:color w:val="231F20"/>
          <w:spacing w:val="2"/>
          <w:sz w:val="16"/>
        </w:rPr>
        <w:t>superficie </w:t>
      </w:r>
      <w:r>
        <w:rPr>
          <w:rFonts w:ascii="Times New Roman" w:hAnsi="Times New Roman"/>
          <w:color w:val="231F20"/>
          <w:sz w:val="16"/>
        </w:rPr>
        <w:t>del </w:t>
      </w:r>
      <w:r>
        <w:rPr>
          <w:rFonts w:ascii="Times New Roman" w:hAnsi="Times New Roman"/>
          <w:color w:val="231F20"/>
          <w:spacing w:val="2"/>
          <w:sz w:val="16"/>
        </w:rPr>
        <w:t>ciclo agrícola </w:t>
      </w:r>
      <w:r>
        <w:rPr>
          <w:rFonts w:ascii="Times New Roman" w:hAnsi="Times New Roman"/>
          <w:color w:val="231F20"/>
          <w:sz w:val="16"/>
        </w:rPr>
        <w:t>de </w:t>
      </w:r>
      <w:r>
        <w:rPr>
          <w:rFonts w:ascii="Times New Roman" w:hAnsi="Times New Roman"/>
          <w:color w:val="231F20"/>
          <w:spacing w:val="2"/>
          <w:sz w:val="16"/>
        </w:rPr>
        <w:t>riego también produce papa </w:t>
      </w:r>
      <w:r>
        <w:rPr>
          <w:rFonts w:ascii="Times New Roman" w:hAnsi="Times New Roman"/>
          <w:color w:val="231F20"/>
          <w:sz w:val="16"/>
        </w:rPr>
        <w:t>en </w:t>
      </w:r>
      <w:r>
        <w:rPr>
          <w:rFonts w:ascii="Times New Roman" w:hAnsi="Times New Roman"/>
          <w:color w:val="231F20"/>
          <w:spacing w:val="2"/>
          <w:sz w:val="16"/>
        </w:rPr>
        <w:t>temporal, generando </w:t>
      </w:r>
      <w:r>
        <w:rPr>
          <w:rFonts w:ascii="Times New Roman" w:hAnsi="Times New Roman"/>
          <w:color w:val="231F20"/>
          <w:sz w:val="16"/>
        </w:rPr>
        <w:t>así dos </w:t>
      </w:r>
      <w:r>
        <w:rPr>
          <w:rFonts w:ascii="Times New Roman" w:hAnsi="Times New Roman"/>
          <w:color w:val="231F20"/>
          <w:spacing w:val="2"/>
          <w:sz w:val="16"/>
        </w:rPr>
        <w:t>ciclos </w:t>
      </w:r>
      <w:r>
        <w:rPr>
          <w:rFonts w:ascii="Times New Roman" w:hAnsi="Times New Roman"/>
          <w:color w:val="231F20"/>
          <w:sz w:val="16"/>
        </w:rPr>
        <w:t>de </w:t>
      </w:r>
      <w:r>
        <w:rPr>
          <w:rFonts w:ascii="Times New Roman" w:hAnsi="Times New Roman"/>
          <w:color w:val="231F20"/>
          <w:spacing w:val="2"/>
          <w:sz w:val="16"/>
        </w:rPr>
        <w:t>cultivo </w:t>
      </w:r>
      <w:r>
        <w:rPr>
          <w:rFonts w:ascii="Times New Roman" w:hAnsi="Times New Roman"/>
          <w:color w:val="231F20"/>
          <w:sz w:val="16"/>
        </w:rPr>
        <w:t>en el </w:t>
      </w:r>
      <w:r>
        <w:rPr>
          <w:rFonts w:ascii="Times New Roman" w:hAnsi="Times New Roman"/>
          <w:color w:val="231F20"/>
          <w:spacing w:val="2"/>
          <w:sz w:val="16"/>
        </w:rPr>
        <w:t>mismo predio, </w:t>
      </w:r>
      <w:r>
        <w:rPr>
          <w:rFonts w:ascii="Times New Roman" w:hAnsi="Times New Roman"/>
          <w:color w:val="231F20"/>
          <w:sz w:val="16"/>
        </w:rPr>
        <w:t>por lo que una </w:t>
      </w:r>
      <w:r>
        <w:rPr>
          <w:rFonts w:ascii="Times New Roman" w:hAnsi="Times New Roman"/>
          <w:color w:val="231F20"/>
          <w:spacing w:val="2"/>
          <w:sz w:val="16"/>
        </w:rPr>
        <w:t>hectárea </w:t>
      </w:r>
      <w:r>
        <w:rPr>
          <w:rFonts w:ascii="Times New Roman" w:hAnsi="Times New Roman"/>
          <w:color w:val="231F20"/>
          <w:sz w:val="16"/>
        </w:rPr>
        <w:t>de </w:t>
      </w:r>
      <w:r>
        <w:rPr>
          <w:rFonts w:ascii="Times New Roman" w:hAnsi="Times New Roman"/>
          <w:color w:val="231F20"/>
          <w:spacing w:val="2"/>
          <w:sz w:val="16"/>
        </w:rPr>
        <w:t>doble ciclo agrícola genera </w:t>
      </w:r>
      <w:r>
        <w:rPr>
          <w:rFonts w:ascii="Times New Roman" w:hAnsi="Times New Roman"/>
          <w:color w:val="231F20"/>
          <w:sz w:val="16"/>
        </w:rPr>
        <w:t>un </w:t>
      </w:r>
      <w:r>
        <w:rPr>
          <w:rFonts w:ascii="Times New Roman" w:hAnsi="Times New Roman"/>
          <w:color w:val="231F20"/>
          <w:spacing w:val="3"/>
          <w:sz w:val="16"/>
        </w:rPr>
        <w:t>ingreso libre promedio </w:t>
      </w:r>
      <w:r>
        <w:rPr>
          <w:rFonts w:ascii="Times New Roman" w:hAnsi="Times New Roman"/>
          <w:color w:val="231F20"/>
          <w:sz w:val="16"/>
        </w:rPr>
        <w:t>de </w:t>
      </w:r>
      <w:r>
        <w:rPr>
          <w:rFonts w:ascii="Times New Roman" w:hAnsi="Times New Roman"/>
          <w:color w:val="231F20"/>
          <w:spacing w:val="2"/>
          <w:sz w:val="16"/>
        </w:rPr>
        <w:t>177 </w:t>
      </w:r>
      <w:r>
        <w:rPr>
          <w:rFonts w:ascii="Times New Roman" w:hAnsi="Times New Roman"/>
          <w:color w:val="231F20"/>
          <w:spacing w:val="3"/>
          <w:sz w:val="16"/>
        </w:rPr>
        <w:t>226.10 pesos </w:t>
      </w:r>
      <w:r>
        <w:rPr>
          <w:rFonts w:ascii="Times New Roman" w:hAnsi="Times New Roman"/>
          <w:color w:val="231F20"/>
          <w:sz w:val="16"/>
        </w:rPr>
        <w:t>MXN al</w:t>
      </w:r>
      <w:r>
        <w:rPr>
          <w:rFonts w:ascii="Times New Roman" w:hAnsi="Times New Roman"/>
          <w:color w:val="231F20"/>
          <w:spacing w:val="15"/>
          <w:sz w:val="16"/>
        </w:rPr>
        <w:t> </w:t>
      </w:r>
      <w:r>
        <w:rPr>
          <w:rFonts w:ascii="Times New Roman" w:hAnsi="Times New Roman"/>
          <w:color w:val="231F20"/>
          <w:spacing w:val="3"/>
          <w:sz w:val="16"/>
        </w:rPr>
        <w:t>año.</w:t>
      </w:r>
    </w:p>
    <w:p>
      <w:pPr>
        <w:spacing w:after="0" w:line="174" w:lineRule="exact"/>
        <w:jc w:val="both"/>
        <w:rPr>
          <w:rFonts w:ascii="Times New Roman" w:hAnsi="Times New Roman"/>
          <w:sz w:val="16"/>
        </w:rPr>
        <w:sectPr>
          <w:type w:val="continuous"/>
          <w:pgSz w:w="12240" w:h="15840"/>
          <w:pgMar w:top="1500" w:bottom="1820" w:left="1460" w:right="0"/>
          <w:cols w:num="2" w:equalWidth="0">
            <w:col w:w="4456" w:space="40"/>
            <w:col w:w="6284"/>
          </w:cols>
        </w:sectPr>
      </w:pPr>
    </w:p>
    <w:p>
      <w:pPr>
        <w:pStyle w:val="BodyText"/>
        <w:spacing w:before="4"/>
        <w:rPr>
          <w:rFonts w:ascii="Times New Roman"/>
          <w:sz w:val="11"/>
        </w:rPr>
      </w:pPr>
    </w:p>
    <w:p>
      <w:pPr>
        <w:spacing w:after="0"/>
        <w:rPr>
          <w:rFonts w:ascii="Times New Roman"/>
          <w:sz w:val="11"/>
        </w:rPr>
        <w:sectPr>
          <w:type w:val="continuous"/>
          <w:pgSz w:w="12240" w:h="15840"/>
          <w:pgMar w:top="1500" w:bottom="1820" w:left="1460" w:right="0"/>
        </w:sectPr>
      </w:pPr>
    </w:p>
    <w:p>
      <w:pPr>
        <w:pStyle w:val="BodyText"/>
        <w:rPr>
          <w:rFonts w:ascii="Times New Roman"/>
          <w:sz w:val="10"/>
        </w:rPr>
      </w:pPr>
    </w:p>
    <w:p>
      <w:pPr>
        <w:pStyle w:val="BodyText"/>
        <w:rPr>
          <w:rFonts w:ascii="Times New Roman"/>
          <w:sz w:val="10"/>
        </w:rPr>
      </w:pPr>
    </w:p>
    <w:p>
      <w:pPr>
        <w:spacing w:before="88"/>
        <w:ind w:left="0" w:right="0" w:firstLine="0"/>
        <w:jc w:val="right"/>
        <w:rPr>
          <w:sz w:val="10"/>
        </w:rPr>
      </w:pPr>
      <w:r>
        <w:rPr/>
        <w:pict>
          <v:shape style="position:absolute;margin-left:135.079605pt;margin-top:-8.646759pt;width:33.8pt;height:4.350pt;mso-position-horizontal-relative:page;mso-position-vertical-relative:paragraph;z-index:2488;rotation:315" type="#_x0000_t136" fillcolor="#231f20" stroked="f">
            <o:extrusion v:ext="view" autorotationcenter="t"/>
            <v:textpath style="font-family:&amp;quot;Arial&amp;quot;;font-size:4pt;v-text-kern:t;mso-text-shadow:auto" string="PROPAMOCARB"/>
            <w10:wrap type="none"/>
          </v:shape>
        </w:pict>
      </w:r>
      <w:r>
        <w:rPr>
          <w:color w:val="231F20"/>
          <w:sz w:val="10"/>
        </w:rPr>
        <w:t>Ingrediente activo</w:t>
      </w:r>
    </w:p>
    <w:p>
      <w:pPr>
        <w:spacing w:line="138" w:lineRule="exact" w:before="95"/>
        <w:ind w:left="2359" w:right="2641" w:hanging="778"/>
        <w:jc w:val="both"/>
        <w:rPr>
          <w:rFonts w:ascii="Times New Roman" w:hAnsi="Times New Roman"/>
          <w:sz w:val="13"/>
        </w:rPr>
      </w:pPr>
      <w:r>
        <w:rPr/>
        <w:br w:type="column"/>
      </w:r>
      <w:r>
        <w:rPr>
          <w:rFonts w:ascii="Times New Roman" w:hAnsi="Times New Roman"/>
          <w:b/>
          <w:color w:val="231F20"/>
          <w:sz w:val="13"/>
        </w:rPr>
        <w:t>CUADRO</w:t>
      </w:r>
      <w:r>
        <w:rPr>
          <w:rFonts w:ascii="Times New Roman" w:hAnsi="Times New Roman"/>
          <w:b/>
          <w:color w:val="231F20"/>
          <w:spacing w:val="-7"/>
          <w:sz w:val="13"/>
        </w:rPr>
        <w:t> </w:t>
      </w:r>
      <w:r>
        <w:rPr>
          <w:rFonts w:ascii="Times New Roman" w:hAnsi="Times New Roman"/>
          <w:b/>
          <w:color w:val="231F20"/>
          <w:sz w:val="13"/>
        </w:rPr>
        <w:t>II.</w:t>
      </w:r>
      <w:r>
        <w:rPr>
          <w:rFonts w:ascii="Times New Roman" w:hAnsi="Times New Roman"/>
          <w:b/>
          <w:color w:val="231F20"/>
          <w:spacing w:val="-1"/>
          <w:sz w:val="13"/>
        </w:rPr>
        <w:t> </w:t>
      </w:r>
      <w:r>
        <w:rPr>
          <w:rFonts w:ascii="Times New Roman" w:hAnsi="Times New Roman"/>
          <w:color w:val="231F20"/>
          <w:sz w:val="13"/>
        </w:rPr>
        <w:t>RENDIMIENTO</w:t>
      </w:r>
      <w:r>
        <w:rPr>
          <w:rFonts w:ascii="Times New Roman" w:hAnsi="Times New Roman"/>
          <w:color w:val="231F20"/>
          <w:spacing w:val="-15"/>
          <w:sz w:val="13"/>
        </w:rPr>
        <w:t> </w:t>
      </w:r>
      <w:r>
        <w:rPr>
          <w:rFonts w:ascii="Times New Roman" w:hAnsi="Times New Roman"/>
          <w:color w:val="231F20"/>
          <w:sz w:val="13"/>
        </w:rPr>
        <w:t>DE</w:t>
      </w:r>
      <w:r>
        <w:rPr>
          <w:rFonts w:ascii="Times New Roman" w:hAnsi="Times New Roman"/>
          <w:color w:val="231F20"/>
          <w:spacing w:val="-21"/>
          <w:sz w:val="13"/>
        </w:rPr>
        <w:t> </w:t>
      </w:r>
      <w:r>
        <w:rPr>
          <w:rFonts w:ascii="Times New Roman" w:hAnsi="Times New Roman"/>
          <w:color w:val="231F20"/>
          <w:sz w:val="13"/>
        </w:rPr>
        <w:t>ACUERDO</w:t>
      </w:r>
      <w:r>
        <w:rPr>
          <w:rFonts w:ascii="Times New Roman" w:hAnsi="Times New Roman"/>
          <w:color w:val="231F20"/>
          <w:spacing w:val="-21"/>
          <w:sz w:val="13"/>
        </w:rPr>
        <w:t> </w:t>
      </w:r>
      <w:r>
        <w:rPr>
          <w:rFonts w:ascii="Times New Roman" w:hAnsi="Times New Roman"/>
          <w:color w:val="231F20"/>
          <w:sz w:val="13"/>
        </w:rPr>
        <w:t>AL</w:t>
      </w:r>
      <w:r>
        <w:rPr>
          <w:rFonts w:ascii="Times New Roman" w:hAnsi="Times New Roman"/>
          <w:color w:val="231F20"/>
          <w:spacing w:val="-19"/>
          <w:sz w:val="13"/>
        </w:rPr>
        <w:t> </w:t>
      </w:r>
      <w:r>
        <w:rPr>
          <w:rFonts w:ascii="Times New Roman" w:hAnsi="Times New Roman"/>
          <w:color w:val="231F20"/>
          <w:sz w:val="13"/>
        </w:rPr>
        <w:t>SISTEMA DE PRODUCCIÓN Y NIVEL DE DOSIS DE FUNGICIDA</w:t>
      </w:r>
      <w:r>
        <w:rPr>
          <w:rFonts w:ascii="Times New Roman" w:hAnsi="Times New Roman"/>
          <w:color w:val="231F20"/>
          <w:spacing w:val="-17"/>
          <w:sz w:val="13"/>
        </w:rPr>
        <w:t> </w:t>
      </w:r>
      <w:r>
        <w:rPr>
          <w:rFonts w:ascii="Times New Roman" w:hAnsi="Times New Roman"/>
          <w:color w:val="231F20"/>
          <w:sz w:val="13"/>
        </w:rPr>
        <w:t>UTILIZADA</w:t>
      </w:r>
    </w:p>
    <w:p>
      <w:pPr>
        <w:spacing w:after="0" w:line="138" w:lineRule="exact"/>
        <w:jc w:val="both"/>
        <w:rPr>
          <w:rFonts w:ascii="Times New Roman" w:hAnsi="Times New Roman"/>
          <w:sz w:val="13"/>
        </w:rPr>
        <w:sectPr>
          <w:type w:val="continuous"/>
          <w:pgSz w:w="12240" w:h="15840"/>
          <w:pgMar w:top="1500" w:bottom="1820" w:left="1460" w:right="0"/>
          <w:cols w:num="2" w:equalWidth="0">
            <w:col w:w="3251" w:space="40"/>
            <w:col w:w="7489"/>
          </w:cols>
        </w:sectPr>
      </w:pPr>
    </w:p>
    <w:p>
      <w:pPr>
        <w:tabs>
          <w:tab w:pos="4871" w:val="left" w:leader="none"/>
          <w:tab w:pos="8129" w:val="left" w:leader="none"/>
        </w:tabs>
        <w:spacing w:line="149" w:lineRule="exact" w:before="0"/>
        <w:ind w:left="1182" w:right="0" w:firstLine="0"/>
        <w:jc w:val="left"/>
        <w:rPr>
          <w:rFonts w:ascii="Times New Roman" w:hAnsi="Times New Roman"/>
          <w:sz w:val="13"/>
        </w:rPr>
      </w:pPr>
      <w:r>
        <w:rPr>
          <w:rFonts w:ascii="Times New Roman" w:hAnsi="Times New Roman"/>
          <w:b/>
          <w:color w:val="231F20"/>
          <w:sz w:val="13"/>
        </w:rPr>
        <w:t>Fig. 4.  </w:t>
      </w:r>
      <w:r>
        <w:rPr>
          <w:rFonts w:ascii="Times New Roman" w:hAnsi="Times New Roman"/>
          <w:color w:val="231F20"/>
          <w:sz w:val="13"/>
        </w:rPr>
        <w:t>Excedentes de fungicidas aplicados por hectárea en </w:t>
      </w:r>
      <w:r>
        <w:rPr>
          <w:rFonts w:ascii="Times New Roman" w:hAnsi="Times New Roman"/>
          <w:color w:val="231F20"/>
          <w:spacing w:val="30"/>
          <w:sz w:val="13"/>
        </w:rPr>
        <w:t> </w:t>
      </w:r>
      <w:r>
        <w:rPr>
          <w:rFonts w:ascii="Times New Roman" w:hAnsi="Times New Roman"/>
          <w:color w:val="231F20"/>
          <w:sz w:val="13"/>
        </w:rPr>
        <w:t>el</w:t>
        <w:tab/>
      </w:r>
      <w:r>
        <w:rPr>
          <w:rFonts w:ascii="Times New Roman" w:hAnsi="Times New Roman"/>
          <w:color w:val="231F20"/>
          <w:sz w:val="13"/>
          <w:u w:val="single" w:color="231F20"/>
        </w:rPr>
        <w:t> </w:t>
        <w:tab/>
      </w:r>
    </w:p>
    <w:p>
      <w:pPr>
        <w:spacing w:after="0" w:line="149" w:lineRule="exact"/>
        <w:jc w:val="left"/>
        <w:rPr>
          <w:rFonts w:ascii="Times New Roman" w:hAnsi="Times New Roman"/>
          <w:sz w:val="13"/>
        </w:rPr>
        <w:sectPr>
          <w:type w:val="continuous"/>
          <w:pgSz w:w="12240" w:h="15840"/>
          <w:pgMar w:top="1500" w:bottom="1820" w:left="1460" w:right="0"/>
        </w:sectPr>
      </w:pPr>
    </w:p>
    <w:p>
      <w:pPr>
        <w:spacing w:line="223" w:lineRule="auto" w:before="0"/>
        <w:ind w:left="1591" w:right="0" w:firstLine="0"/>
        <w:jc w:val="left"/>
        <w:rPr>
          <w:rFonts w:ascii="Times New Roman"/>
          <w:sz w:val="13"/>
        </w:rPr>
      </w:pPr>
      <w:r>
        <w:rPr>
          <w:rFonts w:ascii="Times New Roman"/>
          <w:color w:val="231F20"/>
          <w:sz w:val="13"/>
        </w:rPr>
        <w:t>cultivo del municipio de Zinacantepec en el ciclo de temporal</w:t>
      </w:r>
    </w:p>
    <w:p>
      <w:pPr>
        <w:pStyle w:val="BodyText"/>
        <w:spacing w:before="10"/>
        <w:rPr>
          <w:rFonts w:ascii="Times New Roman"/>
          <w:sz w:val="11"/>
        </w:rPr>
      </w:pPr>
    </w:p>
    <w:p>
      <w:pPr>
        <w:spacing w:line="174" w:lineRule="exact" w:before="0"/>
        <w:ind w:left="1182" w:right="0" w:firstLine="0"/>
        <w:jc w:val="left"/>
        <w:rPr>
          <w:rFonts w:ascii="Times New Roman"/>
          <w:sz w:val="16"/>
        </w:rPr>
      </w:pPr>
      <w:r>
        <w:rPr>
          <w:rFonts w:ascii="Times New Roman"/>
          <w:color w:val="231F20"/>
          <w:sz w:val="16"/>
        </w:rPr>
        <w:t>respectivamente, lo que representa el doble de los excedentes aplicados en los predios de riego.   Los</w:t>
      </w:r>
    </w:p>
    <w:p>
      <w:pPr>
        <w:spacing w:line="138" w:lineRule="exact" w:before="8"/>
        <w:ind w:left="704" w:right="-20" w:firstLine="133"/>
        <w:jc w:val="left"/>
        <w:rPr>
          <w:rFonts w:ascii="Times New Roman"/>
          <w:sz w:val="13"/>
        </w:rPr>
      </w:pPr>
      <w:r>
        <w:rPr/>
        <w:br w:type="column"/>
      </w:r>
      <w:r>
        <w:rPr>
          <w:rFonts w:ascii="Times New Roman"/>
          <w:color w:val="231F20"/>
          <w:sz w:val="13"/>
        </w:rPr>
        <w:t>Nivel de dosis</w:t>
      </w:r>
    </w:p>
    <w:p>
      <w:pPr>
        <w:pStyle w:val="BodyText"/>
        <w:spacing w:before="1"/>
        <w:rPr>
          <w:rFonts w:ascii="Times New Roman"/>
          <w:sz w:val="12"/>
        </w:rPr>
      </w:pPr>
    </w:p>
    <w:p>
      <w:pPr>
        <w:spacing w:line="138" w:lineRule="exact" w:before="0"/>
        <w:ind w:left="375" w:right="147" w:firstLine="0"/>
        <w:jc w:val="left"/>
        <w:rPr>
          <w:rFonts w:ascii="Times New Roman" w:hAnsi="Times New Roman"/>
          <w:sz w:val="13"/>
        </w:rPr>
      </w:pPr>
      <w:r>
        <w:rPr/>
        <w:pict>
          <v:line style="position:absolute;mso-position-horizontal-relative:page;mso-position-vertical-relative:paragraph;z-index:-107176" from="316.268982pt,-13.11728pt" to="360.224185pt,5.558804pt" stroked="true" strokeweight=".21661pt" strokecolor="#231f20">
            <w10:wrap type="none"/>
          </v:line>
        </w:pict>
      </w:r>
      <w:r>
        <w:rPr>
          <w:rFonts w:ascii="Times New Roman" w:hAnsi="Times New Roman"/>
          <w:color w:val="231F20"/>
          <w:sz w:val="13"/>
        </w:rPr>
        <w:t>Sistema de producción</w:t>
      </w:r>
    </w:p>
    <w:p>
      <w:pPr>
        <w:pStyle w:val="BodyText"/>
        <w:rPr>
          <w:rFonts w:ascii="Times New Roman"/>
          <w:sz w:val="12"/>
        </w:rPr>
      </w:pPr>
      <w:r>
        <w:rPr/>
        <w:br w:type="column"/>
      </w:r>
      <w:r>
        <w:rPr>
          <w:rFonts w:ascii="Times New Roman"/>
          <w:sz w:val="12"/>
        </w:rPr>
      </w:r>
    </w:p>
    <w:p>
      <w:pPr>
        <w:spacing w:line="138" w:lineRule="exact" w:before="78"/>
        <w:ind w:left="146" w:right="-20" w:firstLine="18"/>
        <w:jc w:val="left"/>
        <w:rPr>
          <w:rFonts w:ascii="Times New Roman"/>
          <w:sz w:val="13"/>
        </w:rPr>
      </w:pPr>
      <w:r>
        <w:rPr>
          <w:rFonts w:ascii="Times New Roman"/>
          <w:color w:val="231F20"/>
          <w:sz w:val="13"/>
        </w:rPr>
        <w:t>Debajo de lo recomendado</w:t>
      </w:r>
    </w:p>
    <w:p>
      <w:pPr>
        <w:pStyle w:val="BodyText"/>
        <w:rPr>
          <w:rFonts w:ascii="Times New Roman"/>
          <w:sz w:val="12"/>
        </w:rPr>
      </w:pPr>
      <w:r>
        <w:rPr/>
        <w:br w:type="column"/>
      </w:r>
      <w:r>
        <w:rPr>
          <w:rFonts w:ascii="Times New Roman"/>
          <w:sz w:val="12"/>
        </w:rPr>
      </w:r>
    </w:p>
    <w:p>
      <w:pPr>
        <w:pStyle w:val="BodyText"/>
        <w:spacing w:before="10"/>
        <w:rPr>
          <w:rFonts w:ascii="Times New Roman"/>
          <w:sz w:val="11"/>
        </w:rPr>
      </w:pPr>
    </w:p>
    <w:p>
      <w:pPr>
        <w:spacing w:before="0"/>
        <w:ind w:left="26" w:right="-20" w:firstLine="0"/>
        <w:jc w:val="left"/>
        <w:rPr>
          <w:rFonts w:ascii="Times New Roman"/>
          <w:sz w:val="13"/>
        </w:rPr>
      </w:pPr>
      <w:r>
        <w:rPr>
          <w:rFonts w:ascii="Times New Roman"/>
          <w:color w:val="231F20"/>
          <w:sz w:val="13"/>
        </w:rPr>
        <w:t>Recomendado</w:t>
      </w:r>
    </w:p>
    <w:p>
      <w:pPr>
        <w:pStyle w:val="BodyText"/>
        <w:rPr>
          <w:rFonts w:ascii="Times New Roman"/>
          <w:sz w:val="12"/>
        </w:rPr>
      </w:pPr>
      <w:r>
        <w:rPr/>
        <w:br w:type="column"/>
      </w:r>
      <w:r>
        <w:rPr>
          <w:rFonts w:ascii="Times New Roman"/>
          <w:sz w:val="12"/>
        </w:rPr>
      </w:r>
    </w:p>
    <w:p>
      <w:pPr>
        <w:spacing w:line="138" w:lineRule="exact" w:before="78"/>
        <w:ind w:left="31" w:right="2667" w:firstLine="36"/>
        <w:jc w:val="left"/>
        <w:rPr>
          <w:rFonts w:ascii="Times New Roman"/>
          <w:sz w:val="13"/>
        </w:rPr>
      </w:pPr>
      <w:r>
        <w:rPr>
          <w:rFonts w:ascii="Times New Roman"/>
          <w:color w:val="231F20"/>
          <w:sz w:val="13"/>
        </w:rPr>
        <w:t>Arriba de lo recomendado</w:t>
      </w:r>
    </w:p>
    <w:p>
      <w:pPr>
        <w:spacing w:after="0" w:line="138" w:lineRule="exact"/>
        <w:jc w:val="left"/>
        <w:rPr>
          <w:rFonts w:ascii="Times New Roman"/>
          <w:sz w:val="13"/>
        </w:rPr>
        <w:sectPr>
          <w:type w:val="continuous"/>
          <w:pgSz w:w="12240" w:h="15840"/>
          <w:pgMar w:top="1500" w:bottom="1820" w:left="1460" w:right="0"/>
          <w:cols w:num="5" w:equalWidth="0">
            <w:col w:w="4457" w:space="40"/>
            <w:col w:w="1127" w:space="40"/>
            <w:col w:w="847" w:space="40"/>
            <w:col w:w="770" w:space="40"/>
            <w:col w:w="3419"/>
          </w:cols>
        </w:sectPr>
      </w:pPr>
    </w:p>
    <w:p>
      <w:pPr>
        <w:spacing w:line="174" w:lineRule="exact" w:before="0"/>
        <w:ind w:left="1182" w:right="0" w:firstLine="0"/>
        <w:jc w:val="both"/>
        <w:rPr>
          <w:rFonts w:ascii="Times New Roman" w:hAnsi="Times New Roman"/>
          <w:sz w:val="16"/>
        </w:rPr>
      </w:pPr>
      <w:r>
        <w:rPr>
          <w:rFonts w:ascii="Times New Roman" w:hAnsi="Times New Roman"/>
          <w:color w:val="231F20"/>
          <w:sz w:val="16"/>
        </w:rPr>
        <w:t>predios de temporal se ubican en las partes más altas de las zonas productoras de papa, por lo que se </w:t>
      </w:r>
      <w:r>
        <w:rPr>
          <w:rFonts w:ascii="Times New Roman" w:hAnsi="Times New Roman"/>
          <w:color w:val="231F20"/>
          <w:spacing w:val="2"/>
          <w:sz w:val="16"/>
        </w:rPr>
        <w:t>presenta contaminación difusa, </w:t>
      </w:r>
      <w:r>
        <w:rPr>
          <w:rFonts w:ascii="Times New Roman" w:hAnsi="Times New Roman"/>
          <w:color w:val="231F20"/>
          <w:sz w:val="16"/>
        </w:rPr>
        <w:t>ya que </w:t>
      </w:r>
      <w:r>
        <w:rPr>
          <w:rFonts w:ascii="Times New Roman" w:hAnsi="Times New Roman"/>
          <w:color w:val="231F20"/>
          <w:spacing w:val="2"/>
          <w:sz w:val="16"/>
        </w:rPr>
        <w:t>dadas  </w:t>
      </w:r>
      <w:r>
        <w:rPr>
          <w:rFonts w:ascii="Times New Roman" w:hAnsi="Times New Roman"/>
          <w:color w:val="231F20"/>
          <w:sz w:val="16"/>
        </w:rPr>
        <w:t>las propiedades químicas del metalaxil, es fácil su lixiviación y arrastre desde las partes altas hasta  los cuerpos de agua (</w:t>
      </w:r>
      <w:r>
        <w:rPr>
          <w:rFonts w:ascii="Times New Roman" w:hAnsi="Times New Roman"/>
          <w:b/>
          <w:color w:val="231F20"/>
          <w:sz w:val="16"/>
        </w:rPr>
        <w:t>Fig. 1</w:t>
      </w:r>
      <w:r>
        <w:rPr>
          <w:rFonts w:ascii="Times New Roman" w:hAnsi="Times New Roman"/>
          <w:color w:val="231F20"/>
          <w:sz w:val="16"/>
        </w:rPr>
        <w:t>). El clorotalonil fue aplicado</w:t>
      </w:r>
      <w:r>
        <w:rPr>
          <w:rFonts w:ascii="Times New Roman" w:hAnsi="Times New Roman"/>
          <w:color w:val="231F20"/>
          <w:spacing w:val="-7"/>
          <w:sz w:val="16"/>
        </w:rPr>
        <w:t> </w:t>
      </w:r>
      <w:r>
        <w:rPr>
          <w:rFonts w:ascii="Times New Roman" w:hAnsi="Times New Roman"/>
          <w:color w:val="231F20"/>
          <w:sz w:val="16"/>
        </w:rPr>
        <w:t>en</w:t>
      </w:r>
      <w:r>
        <w:rPr>
          <w:rFonts w:ascii="Times New Roman" w:hAnsi="Times New Roman"/>
          <w:color w:val="231F20"/>
          <w:spacing w:val="-7"/>
          <w:sz w:val="16"/>
        </w:rPr>
        <w:t> </w:t>
      </w:r>
      <w:r>
        <w:rPr>
          <w:rFonts w:ascii="Times New Roman" w:hAnsi="Times New Roman"/>
          <w:color w:val="231F20"/>
          <w:sz w:val="16"/>
        </w:rPr>
        <w:t>el</w:t>
      </w:r>
      <w:r>
        <w:rPr>
          <w:rFonts w:ascii="Times New Roman" w:hAnsi="Times New Roman"/>
          <w:color w:val="231F20"/>
          <w:spacing w:val="-7"/>
          <w:sz w:val="16"/>
        </w:rPr>
        <w:t> </w:t>
      </w:r>
      <w:r>
        <w:rPr>
          <w:rFonts w:ascii="Times New Roman" w:hAnsi="Times New Roman"/>
          <w:color w:val="231F20"/>
          <w:sz w:val="16"/>
        </w:rPr>
        <w:t>90</w:t>
      </w:r>
      <w:r>
        <w:rPr>
          <w:rFonts w:ascii="Times New Roman" w:hAnsi="Times New Roman"/>
          <w:color w:val="231F20"/>
          <w:spacing w:val="-7"/>
          <w:sz w:val="16"/>
        </w:rPr>
        <w:t> </w:t>
      </w:r>
      <w:r>
        <w:rPr>
          <w:rFonts w:ascii="Times New Roman" w:hAnsi="Times New Roman"/>
          <w:color w:val="231F20"/>
          <w:sz w:val="16"/>
        </w:rPr>
        <w:t>%</w:t>
      </w:r>
      <w:r>
        <w:rPr>
          <w:rFonts w:ascii="Times New Roman" w:hAnsi="Times New Roman"/>
          <w:color w:val="231F20"/>
          <w:spacing w:val="-7"/>
          <w:sz w:val="16"/>
        </w:rPr>
        <w:t> </w:t>
      </w:r>
      <w:r>
        <w:rPr>
          <w:rFonts w:ascii="Times New Roman" w:hAnsi="Times New Roman"/>
          <w:color w:val="231F20"/>
          <w:sz w:val="16"/>
        </w:rPr>
        <w:t>de</w:t>
      </w:r>
      <w:r>
        <w:rPr>
          <w:rFonts w:ascii="Times New Roman" w:hAnsi="Times New Roman"/>
          <w:color w:val="231F20"/>
          <w:spacing w:val="-7"/>
          <w:sz w:val="16"/>
        </w:rPr>
        <w:t> </w:t>
      </w:r>
      <w:r>
        <w:rPr>
          <w:rFonts w:ascii="Times New Roman" w:hAnsi="Times New Roman"/>
          <w:color w:val="231F20"/>
          <w:sz w:val="16"/>
        </w:rPr>
        <w:t>las</w:t>
      </w:r>
      <w:r>
        <w:rPr>
          <w:rFonts w:ascii="Times New Roman" w:hAnsi="Times New Roman"/>
          <w:color w:val="231F20"/>
          <w:spacing w:val="-7"/>
          <w:sz w:val="16"/>
        </w:rPr>
        <w:t> </w:t>
      </w:r>
      <w:r>
        <w:rPr>
          <w:rFonts w:ascii="Times New Roman" w:hAnsi="Times New Roman"/>
          <w:color w:val="231F20"/>
          <w:sz w:val="16"/>
        </w:rPr>
        <w:t>parcelas</w:t>
      </w:r>
      <w:r>
        <w:rPr>
          <w:rFonts w:ascii="Times New Roman" w:hAnsi="Times New Roman"/>
          <w:color w:val="231F20"/>
          <w:spacing w:val="-7"/>
          <w:sz w:val="16"/>
        </w:rPr>
        <w:t> </w:t>
      </w:r>
      <w:r>
        <w:rPr>
          <w:rFonts w:ascii="Times New Roman" w:hAnsi="Times New Roman"/>
          <w:color w:val="231F20"/>
          <w:sz w:val="16"/>
        </w:rPr>
        <w:t>analizadas</w:t>
      </w:r>
      <w:r>
        <w:rPr>
          <w:rFonts w:ascii="Times New Roman" w:hAnsi="Times New Roman"/>
          <w:color w:val="231F20"/>
          <w:spacing w:val="-7"/>
          <w:sz w:val="16"/>
        </w:rPr>
        <w:t> </w:t>
      </w:r>
      <w:r>
        <w:rPr>
          <w:rFonts w:ascii="Times New Roman" w:hAnsi="Times New Roman"/>
          <w:color w:val="231F20"/>
          <w:sz w:val="16"/>
        </w:rPr>
        <w:t>y</w:t>
      </w:r>
      <w:r>
        <w:rPr>
          <w:rFonts w:ascii="Times New Roman" w:hAnsi="Times New Roman"/>
          <w:color w:val="231F20"/>
          <w:spacing w:val="-7"/>
          <w:sz w:val="16"/>
        </w:rPr>
        <w:t> </w:t>
      </w:r>
      <w:r>
        <w:rPr>
          <w:rFonts w:ascii="Times New Roman" w:hAnsi="Times New Roman"/>
          <w:color w:val="231F20"/>
          <w:sz w:val="16"/>
        </w:rPr>
        <w:t>sus niveles de uso son superiores a los reportados por Guenthner </w:t>
      </w:r>
      <w:r>
        <w:rPr>
          <w:rFonts w:ascii="Times New Roman" w:hAnsi="Times New Roman"/>
          <w:i/>
          <w:color w:val="231F20"/>
          <w:sz w:val="16"/>
        </w:rPr>
        <w:t>et al</w:t>
      </w:r>
      <w:r>
        <w:rPr>
          <w:rFonts w:ascii="Times New Roman" w:hAnsi="Times New Roman"/>
          <w:color w:val="231F20"/>
          <w:sz w:val="16"/>
        </w:rPr>
        <w:t>. (1999), quienes encontraron que en los Estados Unidos de América este compuesto fue aplicado en el 50 % de la superficie destinada al cultivo de papa, lo que demuestra que en la zona de estudio se siguen patrones de uso de fungicidas superiores a los de los países</w:t>
      </w:r>
      <w:r>
        <w:rPr>
          <w:rFonts w:ascii="Times New Roman" w:hAnsi="Times New Roman"/>
          <w:color w:val="231F20"/>
          <w:spacing w:val="29"/>
          <w:sz w:val="16"/>
        </w:rPr>
        <w:t> </w:t>
      </w:r>
      <w:r>
        <w:rPr>
          <w:rFonts w:ascii="Times New Roman" w:hAnsi="Times New Roman"/>
          <w:color w:val="231F20"/>
          <w:sz w:val="16"/>
        </w:rPr>
        <w:t>industrializados.</w:t>
      </w:r>
    </w:p>
    <w:p>
      <w:pPr>
        <w:spacing w:line="174" w:lineRule="exact" w:before="0"/>
        <w:ind w:left="1182" w:right="0" w:firstLine="204"/>
        <w:jc w:val="both"/>
        <w:rPr>
          <w:rFonts w:ascii="Times New Roman" w:hAnsi="Times New Roman"/>
          <w:sz w:val="16"/>
        </w:rPr>
      </w:pPr>
      <w:r>
        <w:rPr>
          <w:rFonts w:ascii="Times New Roman" w:hAnsi="Times New Roman"/>
          <w:color w:val="231F20"/>
          <w:sz w:val="16"/>
        </w:rPr>
        <w:t>El</w:t>
      </w:r>
      <w:r>
        <w:rPr>
          <w:rFonts w:ascii="Times New Roman" w:hAnsi="Times New Roman"/>
          <w:color w:val="231F20"/>
          <w:spacing w:val="-14"/>
          <w:sz w:val="16"/>
        </w:rPr>
        <w:t> </w:t>
      </w:r>
      <w:r>
        <w:rPr>
          <w:rFonts w:ascii="Times New Roman" w:hAnsi="Times New Roman"/>
          <w:color w:val="231F20"/>
          <w:sz w:val="16"/>
        </w:rPr>
        <w:t>análisis</w:t>
      </w:r>
      <w:r>
        <w:rPr>
          <w:rFonts w:ascii="Times New Roman" w:hAnsi="Times New Roman"/>
          <w:color w:val="231F20"/>
          <w:spacing w:val="-14"/>
          <w:sz w:val="16"/>
        </w:rPr>
        <w:t> </w:t>
      </w:r>
      <w:r>
        <w:rPr>
          <w:rFonts w:ascii="Times New Roman" w:hAnsi="Times New Roman"/>
          <w:color w:val="231F20"/>
          <w:sz w:val="16"/>
        </w:rPr>
        <w:t>de</w:t>
      </w:r>
      <w:r>
        <w:rPr>
          <w:rFonts w:ascii="Times New Roman" w:hAnsi="Times New Roman"/>
          <w:color w:val="231F20"/>
          <w:spacing w:val="-14"/>
          <w:sz w:val="16"/>
        </w:rPr>
        <w:t> </w:t>
      </w:r>
      <w:r>
        <w:rPr>
          <w:rFonts w:ascii="Times New Roman" w:hAnsi="Times New Roman"/>
          <w:color w:val="231F20"/>
          <w:sz w:val="16"/>
        </w:rPr>
        <w:t>varianza</w:t>
      </w:r>
      <w:r>
        <w:rPr>
          <w:rFonts w:ascii="Times New Roman" w:hAnsi="Times New Roman"/>
          <w:color w:val="231F20"/>
          <w:spacing w:val="-14"/>
          <w:sz w:val="16"/>
        </w:rPr>
        <w:t> </w:t>
      </w:r>
      <w:r>
        <w:rPr>
          <w:rFonts w:ascii="Times New Roman" w:hAnsi="Times New Roman"/>
          <w:color w:val="231F20"/>
          <w:sz w:val="16"/>
        </w:rPr>
        <w:t>indicó</w:t>
      </w:r>
      <w:r>
        <w:rPr>
          <w:rFonts w:ascii="Times New Roman" w:hAnsi="Times New Roman"/>
          <w:color w:val="231F20"/>
          <w:spacing w:val="-14"/>
          <w:sz w:val="16"/>
        </w:rPr>
        <w:t> </w:t>
      </w:r>
      <w:r>
        <w:rPr>
          <w:rFonts w:ascii="Times New Roman" w:hAnsi="Times New Roman"/>
          <w:color w:val="231F20"/>
          <w:sz w:val="16"/>
        </w:rPr>
        <w:t>que</w:t>
      </w:r>
      <w:r>
        <w:rPr>
          <w:rFonts w:ascii="Times New Roman" w:hAnsi="Times New Roman"/>
          <w:color w:val="231F20"/>
          <w:spacing w:val="-14"/>
          <w:sz w:val="16"/>
        </w:rPr>
        <w:t> </w:t>
      </w:r>
      <w:r>
        <w:rPr>
          <w:rFonts w:ascii="Times New Roman" w:hAnsi="Times New Roman"/>
          <w:color w:val="231F20"/>
          <w:sz w:val="16"/>
        </w:rPr>
        <w:t>hay</w:t>
      </w:r>
      <w:r>
        <w:rPr>
          <w:rFonts w:ascii="Times New Roman" w:hAnsi="Times New Roman"/>
          <w:color w:val="231F20"/>
          <w:spacing w:val="-14"/>
          <w:sz w:val="16"/>
        </w:rPr>
        <w:t> </w:t>
      </w:r>
      <w:r>
        <w:rPr>
          <w:rFonts w:ascii="Times New Roman" w:hAnsi="Times New Roman"/>
          <w:color w:val="231F20"/>
          <w:sz w:val="16"/>
        </w:rPr>
        <w:t>diferencias significativas</w:t>
      </w:r>
      <w:r>
        <w:rPr>
          <w:rFonts w:ascii="Times New Roman" w:hAnsi="Times New Roman"/>
          <w:color w:val="231F20"/>
          <w:spacing w:val="-8"/>
          <w:sz w:val="16"/>
        </w:rPr>
        <w:t> </w:t>
      </w:r>
      <w:r>
        <w:rPr>
          <w:rFonts w:ascii="Times New Roman" w:hAnsi="Times New Roman"/>
          <w:color w:val="231F20"/>
          <w:sz w:val="16"/>
        </w:rPr>
        <w:t>en</w:t>
      </w:r>
      <w:r>
        <w:rPr>
          <w:rFonts w:ascii="Times New Roman" w:hAnsi="Times New Roman"/>
          <w:color w:val="231F20"/>
          <w:spacing w:val="-8"/>
          <w:sz w:val="16"/>
        </w:rPr>
        <w:t> </w:t>
      </w:r>
      <w:r>
        <w:rPr>
          <w:rFonts w:ascii="Times New Roman" w:hAnsi="Times New Roman"/>
          <w:color w:val="231F20"/>
          <w:sz w:val="16"/>
        </w:rPr>
        <w:t>los</w:t>
      </w:r>
      <w:r>
        <w:rPr>
          <w:rFonts w:ascii="Times New Roman" w:hAnsi="Times New Roman"/>
          <w:color w:val="231F20"/>
          <w:spacing w:val="-8"/>
          <w:sz w:val="16"/>
        </w:rPr>
        <w:t> </w:t>
      </w:r>
      <w:r>
        <w:rPr>
          <w:rFonts w:ascii="Times New Roman" w:hAnsi="Times New Roman"/>
          <w:color w:val="231F20"/>
          <w:sz w:val="16"/>
        </w:rPr>
        <w:t>rendimientos</w:t>
      </w:r>
      <w:r>
        <w:rPr>
          <w:rFonts w:ascii="Times New Roman" w:hAnsi="Times New Roman"/>
          <w:color w:val="231F20"/>
          <w:spacing w:val="-8"/>
          <w:sz w:val="16"/>
        </w:rPr>
        <w:t> </w:t>
      </w:r>
      <w:r>
        <w:rPr>
          <w:rFonts w:ascii="Times New Roman" w:hAnsi="Times New Roman"/>
          <w:color w:val="231F20"/>
          <w:sz w:val="16"/>
        </w:rPr>
        <w:t>de</w:t>
      </w:r>
      <w:r>
        <w:rPr>
          <w:rFonts w:ascii="Times New Roman" w:hAnsi="Times New Roman"/>
          <w:color w:val="231F20"/>
          <w:spacing w:val="-8"/>
          <w:sz w:val="16"/>
        </w:rPr>
        <w:t> </w:t>
      </w:r>
      <w:r>
        <w:rPr>
          <w:rFonts w:ascii="Times New Roman" w:hAnsi="Times New Roman"/>
          <w:color w:val="231F20"/>
          <w:sz w:val="16"/>
        </w:rPr>
        <w:t>producción</w:t>
      </w:r>
      <w:r>
        <w:rPr>
          <w:rFonts w:ascii="Times New Roman" w:hAnsi="Times New Roman"/>
          <w:color w:val="231F20"/>
          <w:spacing w:val="-8"/>
          <w:sz w:val="16"/>
        </w:rPr>
        <w:t> </w:t>
      </w:r>
      <w:r>
        <w:rPr>
          <w:rFonts w:ascii="Times New Roman" w:hAnsi="Times New Roman"/>
          <w:color w:val="231F20"/>
          <w:sz w:val="16"/>
        </w:rPr>
        <w:t>de papa entre los dos sistemas de producción (riego</w:t>
      </w:r>
      <w:r>
        <w:rPr>
          <w:rFonts w:ascii="Times New Roman" w:hAnsi="Times New Roman"/>
          <w:color w:val="231F20"/>
          <w:spacing w:val="28"/>
          <w:sz w:val="16"/>
        </w:rPr>
        <w:t> </w:t>
      </w:r>
      <w:r>
        <w:rPr>
          <w:rFonts w:ascii="Times New Roman" w:hAnsi="Times New Roman"/>
          <w:color w:val="231F20"/>
          <w:sz w:val="16"/>
        </w:rPr>
        <w:t>y</w:t>
      </w:r>
    </w:p>
    <w:p>
      <w:pPr>
        <w:pStyle w:val="BodyText"/>
        <w:spacing w:line="20" w:lineRule="exact"/>
        <w:ind w:left="370"/>
        <w:rPr>
          <w:rFonts w:ascii="Times New Roman"/>
          <w:sz w:val="2"/>
        </w:rPr>
      </w:pPr>
      <w:r>
        <w:rPr/>
        <w:br w:type="column"/>
      </w:r>
      <w:r>
        <w:rPr>
          <w:rFonts w:ascii="Times New Roman"/>
          <w:sz w:val="2"/>
        </w:rPr>
        <w:pict>
          <v:group style="width:163.35pt;height:.4pt;mso-position-horizontal-relative:char;mso-position-vertical-relative:line" coordorigin="0,0" coordsize="3267,8">
            <v:line style="position:absolute" from="4,4" to="903,4" stroked="true" strokeweight=".361016pt" strokecolor="#231f20"/>
            <v:line style="position:absolute" from="903,4" to="1679,4" stroked="true" strokeweight=".361016pt" strokecolor="#231f20"/>
            <v:line style="position:absolute" from="1679,4" to="2479,4" stroked="true" strokeweight=".361016pt" strokecolor="#231f20"/>
            <v:line style="position:absolute" from="2479,4" to="3262,4" stroked="true" strokeweight=".361016pt" strokecolor="#231f20"/>
          </v:group>
        </w:pict>
      </w:r>
      <w:r>
        <w:rPr>
          <w:rFonts w:ascii="Times New Roman"/>
          <w:sz w:val="2"/>
        </w:rPr>
      </w:r>
    </w:p>
    <w:p>
      <w:pPr>
        <w:tabs>
          <w:tab w:pos="1495" w:val="left" w:leader="none"/>
          <w:tab w:pos="2280" w:val="left" w:leader="none"/>
          <w:tab w:pos="3076" w:val="left" w:leader="none"/>
        </w:tabs>
        <w:spacing w:line="152" w:lineRule="exact" w:before="23"/>
        <w:ind w:left="374" w:right="0" w:firstLine="0"/>
        <w:jc w:val="left"/>
        <w:rPr>
          <w:rFonts w:ascii="Times New Roman"/>
          <w:sz w:val="9"/>
        </w:rPr>
      </w:pPr>
      <w:r>
        <w:rPr>
          <w:rFonts w:ascii="Times New Roman"/>
          <w:color w:val="231F20"/>
          <w:sz w:val="13"/>
        </w:rPr>
        <w:t>Riego</w:t>
        <w:tab/>
        <w:t>35.00</w:t>
      </w:r>
      <w:r>
        <w:rPr>
          <w:rFonts w:ascii="Times New Roman"/>
          <w:color w:val="231F20"/>
          <w:position w:val="4"/>
          <w:sz w:val="9"/>
        </w:rPr>
        <w:t>c</w:t>
        <w:tab/>
      </w:r>
      <w:r>
        <w:rPr>
          <w:rFonts w:ascii="Times New Roman"/>
          <w:color w:val="231F20"/>
          <w:sz w:val="13"/>
        </w:rPr>
        <w:t>36.25</w:t>
      </w:r>
      <w:r>
        <w:rPr>
          <w:rFonts w:ascii="Times New Roman"/>
          <w:color w:val="231F20"/>
          <w:position w:val="4"/>
          <w:sz w:val="9"/>
        </w:rPr>
        <w:t>b</w:t>
        <w:tab/>
      </w:r>
      <w:r>
        <w:rPr>
          <w:rFonts w:ascii="Times New Roman"/>
          <w:color w:val="231F20"/>
          <w:sz w:val="13"/>
        </w:rPr>
        <w:t>39.25</w:t>
      </w:r>
      <w:r>
        <w:rPr>
          <w:rFonts w:ascii="Times New Roman"/>
          <w:color w:val="231F20"/>
          <w:position w:val="4"/>
          <w:sz w:val="9"/>
        </w:rPr>
        <w:t>a</w:t>
      </w:r>
    </w:p>
    <w:p>
      <w:pPr>
        <w:tabs>
          <w:tab w:pos="1500" w:val="left" w:leader="none"/>
          <w:tab w:pos="2283" w:val="left" w:leader="none"/>
          <w:tab w:pos="3074" w:val="left" w:leader="none"/>
        </w:tabs>
        <w:spacing w:line="152" w:lineRule="exact" w:before="0"/>
        <w:ind w:left="374" w:right="0" w:firstLine="0"/>
        <w:jc w:val="left"/>
        <w:rPr>
          <w:rFonts w:ascii="Times New Roman"/>
          <w:sz w:val="9"/>
        </w:rPr>
      </w:pPr>
      <w:r>
        <w:rPr>
          <w:rFonts w:ascii="Times New Roman"/>
          <w:color w:val="231F20"/>
          <w:sz w:val="13"/>
        </w:rPr>
        <w:t>Temporal</w:t>
        <w:tab/>
        <w:t>20.00</w:t>
      </w:r>
      <w:r>
        <w:rPr>
          <w:rFonts w:ascii="Times New Roman"/>
          <w:color w:val="231F20"/>
          <w:position w:val="4"/>
          <w:sz w:val="9"/>
        </w:rPr>
        <w:t>f</w:t>
        <w:tab/>
      </w:r>
      <w:r>
        <w:rPr>
          <w:rFonts w:ascii="Times New Roman"/>
          <w:color w:val="231F20"/>
          <w:sz w:val="13"/>
        </w:rPr>
        <w:t>22.00</w:t>
      </w:r>
      <w:r>
        <w:rPr>
          <w:rFonts w:ascii="Times New Roman"/>
          <w:color w:val="231F20"/>
          <w:position w:val="4"/>
          <w:sz w:val="9"/>
        </w:rPr>
        <w:t>e</w:t>
        <w:tab/>
      </w:r>
      <w:r>
        <w:rPr>
          <w:rFonts w:ascii="Times New Roman"/>
          <w:color w:val="231F20"/>
          <w:sz w:val="13"/>
        </w:rPr>
        <w:t>25.06</w:t>
      </w:r>
      <w:r>
        <w:rPr>
          <w:rFonts w:ascii="Times New Roman"/>
          <w:color w:val="231F20"/>
          <w:position w:val="4"/>
          <w:sz w:val="9"/>
        </w:rPr>
        <w:t>d</w:t>
      </w:r>
    </w:p>
    <w:p>
      <w:pPr>
        <w:pStyle w:val="BodyText"/>
        <w:spacing w:before="3"/>
        <w:rPr>
          <w:rFonts w:ascii="Times New Roman"/>
          <w:sz w:val="4"/>
        </w:rPr>
      </w:pPr>
    </w:p>
    <w:p>
      <w:pPr>
        <w:pStyle w:val="BodyText"/>
        <w:spacing w:line="20" w:lineRule="exact"/>
        <w:ind w:left="370"/>
        <w:rPr>
          <w:rFonts w:ascii="Times New Roman"/>
          <w:sz w:val="2"/>
        </w:rPr>
      </w:pPr>
      <w:r>
        <w:rPr>
          <w:rFonts w:ascii="Times New Roman"/>
          <w:sz w:val="2"/>
        </w:rPr>
        <w:pict>
          <v:group style="width:163.35pt;height:.4pt;mso-position-horizontal-relative:char;mso-position-vertical-relative:line" coordorigin="0,0" coordsize="3267,8">
            <v:line style="position:absolute" from="4,4" to="903,4" stroked="true" strokeweight=".361016pt" strokecolor="#231f20"/>
            <v:line style="position:absolute" from="903,4" to="1679,4" stroked="true" strokeweight=".361016pt" strokecolor="#231f20"/>
            <v:line style="position:absolute" from="1679,4" to="2479,4" stroked="true" strokeweight=".361016pt" strokecolor="#231f20"/>
            <v:line style="position:absolute" from="2479,4" to="3262,4" stroked="true" strokeweight=".361016pt" strokecolor="#231f20"/>
          </v:group>
        </w:pict>
      </w:r>
      <w:r>
        <w:rPr>
          <w:rFonts w:ascii="Times New Roman"/>
          <w:sz w:val="2"/>
        </w:rPr>
      </w:r>
    </w:p>
    <w:p>
      <w:pPr>
        <w:spacing w:line="148" w:lineRule="exact" w:before="70"/>
        <w:ind w:left="374" w:right="0" w:firstLine="0"/>
        <w:jc w:val="left"/>
        <w:rPr>
          <w:rFonts w:ascii="Times New Roman"/>
          <w:sz w:val="9"/>
        </w:rPr>
      </w:pPr>
      <w:r>
        <w:rPr>
          <w:rFonts w:ascii="Times New Roman"/>
          <w:color w:val="231F20"/>
          <w:position w:val="-3"/>
          <w:sz w:val="13"/>
        </w:rPr>
        <w:t>Grupo Tukey: </w:t>
      </w:r>
      <w:r>
        <w:rPr>
          <w:rFonts w:ascii="Times New Roman"/>
          <w:color w:val="231F20"/>
          <w:sz w:val="9"/>
        </w:rPr>
        <w:t>a, b, c, d, e, f</w:t>
      </w:r>
    </w:p>
    <w:p>
      <w:pPr>
        <w:spacing w:line="146" w:lineRule="exact" w:before="0"/>
        <w:ind w:left="374" w:right="0" w:firstLine="0"/>
        <w:jc w:val="left"/>
        <w:rPr>
          <w:rFonts w:ascii="Times New Roman"/>
          <w:sz w:val="13"/>
        </w:rPr>
      </w:pPr>
      <w:r>
        <w:rPr>
          <w:rFonts w:ascii="Times New Roman"/>
          <w:color w:val="231F20"/>
          <w:sz w:val="13"/>
        </w:rPr>
        <w:t>Nivel de significancia de 0.05</w:t>
      </w:r>
    </w:p>
    <w:p>
      <w:pPr>
        <w:pStyle w:val="BodyText"/>
        <w:rPr>
          <w:rFonts w:ascii="Times New Roman"/>
          <w:sz w:val="12"/>
        </w:rPr>
      </w:pPr>
    </w:p>
    <w:p>
      <w:pPr>
        <w:pStyle w:val="BodyText"/>
        <w:spacing w:before="4"/>
        <w:rPr>
          <w:rFonts w:ascii="Times New Roman"/>
          <w:sz w:val="11"/>
        </w:rPr>
      </w:pPr>
    </w:p>
    <w:p>
      <w:pPr>
        <w:spacing w:line="174" w:lineRule="exact" w:before="1"/>
        <w:ind w:left="367" w:right="2640" w:firstLine="204"/>
        <w:jc w:val="both"/>
        <w:rPr>
          <w:rFonts w:ascii="Times New Roman" w:hAnsi="Times New Roman"/>
          <w:sz w:val="16"/>
        </w:rPr>
      </w:pPr>
      <w:r>
        <w:rPr>
          <w:rFonts w:ascii="Times New Roman" w:hAnsi="Times New Roman"/>
          <w:color w:val="231F20"/>
          <w:sz w:val="16"/>
        </w:rPr>
        <w:t>Para fines del presente estudio se consideró un costo de remediación de 410.00 pesos MXN por tonelada de suelo (valor medio de los costos repor- tados en el proceso de electrorremediación de Loo y Chilingar 1997), y un alcance de contaminación de medio metro de profundidad, por lo que la re- moción de los excedentes de fungicidas aplicados a los cultivos de papa tiene un costo de 2.73 millo- nes de pesos MXN/ha. Si se calcula que el tiempo promedio de vida de las parcelas donde se cultiva papa</w:t>
      </w:r>
      <w:r>
        <w:rPr>
          <w:rFonts w:ascii="Times New Roman" w:hAnsi="Times New Roman"/>
          <w:color w:val="231F20"/>
          <w:spacing w:val="-13"/>
          <w:sz w:val="16"/>
        </w:rPr>
        <w:t> </w:t>
      </w:r>
      <w:r>
        <w:rPr>
          <w:rFonts w:ascii="Times New Roman" w:hAnsi="Times New Roman"/>
          <w:color w:val="231F20"/>
          <w:sz w:val="16"/>
        </w:rPr>
        <w:t>empleando</w:t>
      </w:r>
      <w:r>
        <w:rPr>
          <w:rFonts w:ascii="Times New Roman" w:hAnsi="Times New Roman"/>
          <w:color w:val="231F20"/>
          <w:spacing w:val="-14"/>
          <w:sz w:val="16"/>
        </w:rPr>
        <w:t> </w:t>
      </w:r>
      <w:r>
        <w:rPr>
          <w:rFonts w:ascii="Times New Roman" w:hAnsi="Times New Roman"/>
          <w:color w:val="231F20"/>
          <w:sz w:val="16"/>
        </w:rPr>
        <w:t>dosis</w:t>
      </w:r>
      <w:r>
        <w:rPr>
          <w:rFonts w:ascii="Times New Roman" w:hAnsi="Times New Roman"/>
          <w:color w:val="231F20"/>
          <w:spacing w:val="-14"/>
          <w:sz w:val="16"/>
        </w:rPr>
        <w:t> </w:t>
      </w:r>
      <w:r>
        <w:rPr>
          <w:rFonts w:ascii="Times New Roman" w:hAnsi="Times New Roman"/>
          <w:color w:val="231F20"/>
          <w:sz w:val="16"/>
        </w:rPr>
        <w:t>de</w:t>
      </w:r>
      <w:r>
        <w:rPr>
          <w:rFonts w:ascii="Times New Roman" w:hAnsi="Times New Roman"/>
          <w:color w:val="231F20"/>
          <w:spacing w:val="-13"/>
          <w:sz w:val="16"/>
        </w:rPr>
        <w:t> </w:t>
      </w:r>
      <w:r>
        <w:rPr>
          <w:rFonts w:ascii="Times New Roman" w:hAnsi="Times New Roman"/>
          <w:color w:val="231F20"/>
          <w:sz w:val="16"/>
        </w:rPr>
        <w:t>fungicidas</w:t>
      </w:r>
      <w:r>
        <w:rPr>
          <w:rFonts w:ascii="Times New Roman" w:hAnsi="Times New Roman"/>
          <w:color w:val="231F20"/>
          <w:spacing w:val="-14"/>
          <w:sz w:val="16"/>
        </w:rPr>
        <w:t> </w:t>
      </w:r>
      <w:r>
        <w:rPr>
          <w:rFonts w:ascii="Times New Roman" w:hAnsi="Times New Roman"/>
          <w:color w:val="231F20"/>
          <w:sz w:val="16"/>
        </w:rPr>
        <w:t>superiores</w:t>
      </w:r>
      <w:r>
        <w:rPr>
          <w:rFonts w:ascii="Times New Roman" w:hAnsi="Times New Roman"/>
          <w:color w:val="231F20"/>
          <w:spacing w:val="-14"/>
          <w:sz w:val="16"/>
        </w:rPr>
        <w:t> </w:t>
      </w:r>
      <w:r>
        <w:rPr>
          <w:rFonts w:ascii="Times New Roman" w:hAnsi="Times New Roman"/>
          <w:color w:val="231F20"/>
          <w:sz w:val="16"/>
        </w:rPr>
        <w:t>a</w:t>
      </w:r>
      <w:r>
        <w:rPr>
          <w:rFonts w:ascii="Times New Roman" w:hAnsi="Times New Roman"/>
          <w:color w:val="231F20"/>
          <w:spacing w:val="-14"/>
          <w:sz w:val="16"/>
        </w:rPr>
        <w:t> </w:t>
      </w:r>
      <w:r>
        <w:rPr>
          <w:rFonts w:ascii="Times New Roman" w:hAnsi="Times New Roman"/>
          <w:color w:val="231F20"/>
          <w:sz w:val="16"/>
        </w:rPr>
        <w:t>las</w:t>
      </w:r>
    </w:p>
    <w:p>
      <w:pPr>
        <w:spacing w:after="0" w:line="174" w:lineRule="exact"/>
        <w:jc w:val="both"/>
        <w:rPr>
          <w:rFonts w:ascii="Times New Roman" w:hAnsi="Times New Roman"/>
          <w:sz w:val="16"/>
        </w:rPr>
        <w:sectPr>
          <w:type w:val="continuous"/>
          <w:pgSz w:w="12240" w:h="15840"/>
          <w:pgMar w:top="1500" w:bottom="1820" w:left="1460" w:right="0"/>
          <w:cols w:num="2" w:equalWidth="0">
            <w:col w:w="4458" w:space="40"/>
            <w:col w:w="6282"/>
          </w:cols>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28"/>
        </w:rPr>
      </w:pPr>
    </w:p>
    <w:p>
      <w:pPr>
        <w:tabs>
          <w:tab w:pos="4033" w:val="left" w:leader="none"/>
        </w:tabs>
        <w:spacing w:before="81"/>
        <w:ind w:left="1182" w:right="0" w:firstLine="0"/>
        <w:jc w:val="left"/>
        <w:rPr>
          <w:rFonts w:ascii="Times New Roman" w:hAnsi="Times New Roman"/>
          <w:i/>
          <w:sz w:val="13"/>
        </w:rPr>
      </w:pPr>
      <w:r>
        <w:rPr>
          <w:rFonts w:ascii="Times New Roman" w:hAnsi="Times New Roman"/>
          <w:color w:val="231F20"/>
          <w:position w:val="1"/>
          <w:sz w:val="14"/>
        </w:rPr>
        <w:t>300</w:t>
        <w:tab/>
      </w:r>
      <w:r>
        <w:rPr>
          <w:rFonts w:ascii="Times New Roman" w:hAnsi="Times New Roman"/>
          <w:color w:val="231F20"/>
          <w:sz w:val="13"/>
        </w:rPr>
        <w:t>C.A. López Orona </w:t>
      </w:r>
      <w:r>
        <w:rPr>
          <w:rFonts w:ascii="Times New Roman" w:hAnsi="Times New Roman"/>
          <w:i/>
          <w:color w:val="231F20"/>
          <w:sz w:val="13"/>
        </w:rPr>
        <w:t>et</w:t>
      </w:r>
      <w:r>
        <w:rPr>
          <w:rFonts w:ascii="Times New Roman" w:hAnsi="Times New Roman"/>
          <w:i/>
          <w:color w:val="231F20"/>
          <w:spacing w:val="-6"/>
          <w:sz w:val="13"/>
        </w:rPr>
        <w:t> </w:t>
      </w:r>
      <w:r>
        <w:rPr>
          <w:rFonts w:ascii="Times New Roman" w:hAnsi="Times New Roman"/>
          <w:i/>
          <w:color w:val="231F20"/>
          <w:sz w:val="13"/>
        </w:rPr>
        <w:t>al.</w:t>
      </w:r>
    </w:p>
    <w:p>
      <w:pPr>
        <w:pStyle w:val="BodyText"/>
        <w:spacing w:before="1"/>
        <w:rPr>
          <w:rFonts w:ascii="Times New Roman"/>
          <w:i/>
          <w:sz w:val="21"/>
        </w:rPr>
      </w:pPr>
    </w:p>
    <w:p>
      <w:pPr>
        <w:spacing w:after="0"/>
        <w:rPr>
          <w:rFonts w:ascii="Times New Roman"/>
          <w:sz w:val="21"/>
        </w:rPr>
        <w:sectPr>
          <w:pgSz w:w="12240" w:h="15840"/>
          <w:pgMar w:header="719" w:footer="740" w:top="1260" w:bottom="920" w:left="1460" w:right="1440"/>
        </w:sectPr>
      </w:pPr>
    </w:p>
    <w:p>
      <w:pPr>
        <w:spacing w:line="174" w:lineRule="exact" w:before="89"/>
        <w:ind w:left="1182" w:right="0" w:firstLine="0"/>
        <w:jc w:val="both"/>
        <w:rPr>
          <w:rFonts w:ascii="Times New Roman" w:hAnsi="Times New Roman"/>
          <w:sz w:val="16"/>
        </w:rPr>
      </w:pPr>
      <w:r>
        <w:rPr>
          <w:rFonts w:ascii="Times New Roman" w:hAnsi="Times New Roman"/>
          <w:color w:val="231F20"/>
          <w:sz w:val="16"/>
        </w:rPr>
        <w:t>recomendadas es de 15 años, se estima un ingreso libre máximo de 2.66 millones de pesos MXN/ha para ambos ciclos, lo cual no alcanza a cubrir los costos de remoción de estos fungicidas. Por otro lado, los sistemas de riego que aplican fungicidas en dosis inferiores a lo recomendado obtienen un ingreso libre anual de 106 846.10 pesos MXN/ha en el ciclo de riego y de 23 830.00 pesos MXN/ha para el ciclo de temporal. Los sistemas de produc- ción de doble ciclo que aplican los fungicidas en dosis</w:t>
      </w:r>
      <w:r>
        <w:rPr>
          <w:rFonts w:ascii="Times New Roman" w:hAnsi="Times New Roman"/>
          <w:color w:val="231F20"/>
          <w:spacing w:val="-6"/>
          <w:sz w:val="16"/>
        </w:rPr>
        <w:t> </w:t>
      </w:r>
      <w:r>
        <w:rPr>
          <w:rFonts w:ascii="Times New Roman" w:hAnsi="Times New Roman"/>
          <w:color w:val="231F20"/>
          <w:sz w:val="16"/>
        </w:rPr>
        <w:t>inferiores</w:t>
      </w:r>
      <w:r>
        <w:rPr>
          <w:rFonts w:ascii="Times New Roman" w:hAnsi="Times New Roman"/>
          <w:color w:val="231F20"/>
          <w:spacing w:val="-6"/>
          <w:sz w:val="16"/>
        </w:rPr>
        <w:t> </w:t>
      </w:r>
      <w:r>
        <w:rPr>
          <w:rFonts w:ascii="Times New Roman" w:hAnsi="Times New Roman"/>
          <w:color w:val="231F20"/>
          <w:sz w:val="16"/>
        </w:rPr>
        <w:t>a</w:t>
      </w:r>
      <w:r>
        <w:rPr>
          <w:rFonts w:ascii="Times New Roman" w:hAnsi="Times New Roman"/>
          <w:color w:val="231F20"/>
          <w:spacing w:val="-6"/>
          <w:sz w:val="16"/>
        </w:rPr>
        <w:t> </w:t>
      </w:r>
      <w:r>
        <w:rPr>
          <w:rFonts w:ascii="Times New Roman" w:hAnsi="Times New Roman"/>
          <w:color w:val="231F20"/>
          <w:sz w:val="16"/>
        </w:rPr>
        <w:t>las</w:t>
      </w:r>
      <w:r>
        <w:rPr>
          <w:rFonts w:ascii="Times New Roman" w:hAnsi="Times New Roman"/>
          <w:color w:val="231F20"/>
          <w:spacing w:val="-6"/>
          <w:sz w:val="16"/>
        </w:rPr>
        <w:t> </w:t>
      </w:r>
      <w:r>
        <w:rPr>
          <w:rFonts w:ascii="Times New Roman" w:hAnsi="Times New Roman"/>
          <w:color w:val="231F20"/>
          <w:sz w:val="16"/>
        </w:rPr>
        <w:t>recomendadas</w:t>
      </w:r>
      <w:r>
        <w:rPr>
          <w:rFonts w:ascii="Times New Roman" w:hAnsi="Times New Roman"/>
          <w:color w:val="231F20"/>
          <w:spacing w:val="-6"/>
          <w:sz w:val="16"/>
        </w:rPr>
        <w:t> </w:t>
      </w:r>
      <w:r>
        <w:rPr>
          <w:rFonts w:ascii="Times New Roman" w:hAnsi="Times New Roman"/>
          <w:color w:val="231F20"/>
          <w:sz w:val="16"/>
        </w:rPr>
        <w:t>tienen</w:t>
      </w:r>
      <w:r>
        <w:rPr>
          <w:rFonts w:ascii="Times New Roman" w:hAnsi="Times New Roman"/>
          <w:color w:val="231F20"/>
          <w:spacing w:val="-6"/>
          <w:sz w:val="16"/>
        </w:rPr>
        <w:t> </w:t>
      </w:r>
      <w:r>
        <w:rPr>
          <w:rFonts w:ascii="Times New Roman" w:hAnsi="Times New Roman"/>
          <w:color w:val="231F20"/>
          <w:sz w:val="16"/>
        </w:rPr>
        <w:t>una</w:t>
      </w:r>
      <w:r>
        <w:rPr>
          <w:rFonts w:ascii="Times New Roman" w:hAnsi="Times New Roman"/>
          <w:color w:val="231F20"/>
          <w:spacing w:val="-6"/>
          <w:sz w:val="16"/>
        </w:rPr>
        <w:t> </w:t>
      </w:r>
      <w:r>
        <w:rPr>
          <w:rFonts w:ascii="Times New Roman" w:hAnsi="Times New Roman"/>
          <w:color w:val="231F20"/>
          <w:sz w:val="16"/>
        </w:rPr>
        <w:t>vida media de producción de 25 años, tiempo en el cual se obtiene una ganancia total de 3.27 millones de pesos</w:t>
      </w:r>
      <w:r>
        <w:rPr>
          <w:rFonts w:ascii="Times New Roman" w:hAnsi="Times New Roman"/>
          <w:color w:val="231F20"/>
          <w:spacing w:val="6"/>
          <w:sz w:val="16"/>
        </w:rPr>
        <w:t> </w:t>
      </w:r>
      <w:r>
        <w:rPr>
          <w:rFonts w:ascii="Times New Roman" w:hAnsi="Times New Roman"/>
          <w:color w:val="231F20"/>
          <w:sz w:val="16"/>
        </w:rPr>
        <w:t>MXN/ha.</w:t>
      </w:r>
    </w:p>
    <w:p>
      <w:pPr>
        <w:spacing w:line="174" w:lineRule="exact" w:before="0"/>
        <w:ind w:left="1182" w:right="1" w:firstLine="204"/>
        <w:jc w:val="both"/>
        <w:rPr>
          <w:rFonts w:ascii="Times New Roman" w:hAnsi="Times New Roman"/>
          <w:sz w:val="16"/>
        </w:rPr>
      </w:pPr>
      <w:r>
        <w:rPr>
          <w:rFonts w:ascii="Times New Roman" w:hAnsi="Times New Roman"/>
          <w:color w:val="231F20"/>
          <w:sz w:val="16"/>
        </w:rPr>
        <w:t>Sólo</w:t>
      </w:r>
      <w:r>
        <w:rPr>
          <w:rFonts w:ascii="Times New Roman" w:hAnsi="Times New Roman"/>
          <w:color w:val="231F20"/>
          <w:spacing w:val="-7"/>
          <w:sz w:val="16"/>
        </w:rPr>
        <w:t> </w:t>
      </w:r>
      <w:r>
        <w:rPr>
          <w:rFonts w:ascii="Times New Roman" w:hAnsi="Times New Roman"/>
          <w:color w:val="231F20"/>
          <w:sz w:val="16"/>
        </w:rPr>
        <w:t>en</w:t>
      </w:r>
      <w:r>
        <w:rPr>
          <w:rFonts w:ascii="Times New Roman" w:hAnsi="Times New Roman"/>
          <w:color w:val="231F20"/>
          <w:spacing w:val="-7"/>
          <w:sz w:val="16"/>
        </w:rPr>
        <w:t> </w:t>
      </w:r>
      <w:r>
        <w:rPr>
          <w:rFonts w:ascii="Times New Roman" w:hAnsi="Times New Roman"/>
          <w:color w:val="231F20"/>
          <w:sz w:val="16"/>
        </w:rPr>
        <w:t>26.69</w:t>
      </w:r>
      <w:r>
        <w:rPr>
          <w:rFonts w:ascii="Times New Roman" w:hAnsi="Times New Roman"/>
          <w:color w:val="231F20"/>
          <w:spacing w:val="-7"/>
          <w:sz w:val="16"/>
        </w:rPr>
        <w:t> </w:t>
      </w:r>
      <w:r>
        <w:rPr>
          <w:rFonts w:ascii="Times New Roman" w:hAnsi="Times New Roman"/>
          <w:color w:val="231F20"/>
          <w:sz w:val="16"/>
        </w:rPr>
        <w:t>ha</w:t>
      </w:r>
      <w:r>
        <w:rPr>
          <w:rFonts w:ascii="Times New Roman" w:hAnsi="Times New Roman"/>
          <w:color w:val="231F20"/>
          <w:spacing w:val="-7"/>
          <w:sz w:val="16"/>
        </w:rPr>
        <w:t> </w:t>
      </w:r>
      <w:r>
        <w:rPr>
          <w:rFonts w:ascii="Times New Roman" w:hAnsi="Times New Roman"/>
          <w:color w:val="231F20"/>
          <w:sz w:val="16"/>
        </w:rPr>
        <w:t>(11.76</w:t>
      </w:r>
      <w:r>
        <w:rPr>
          <w:rFonts w:ascii="Times New Roman" w:hAnsi="Times New Roman"/>
          <w:color w:val="231F20"/>
          <w:spacing w:val="-7"/>
          <w:sz w:val="16"/>
        </w:rPr>
        <w:t> </w:t>
      </w:r>
      <w:r>
        <w:rPr>
          <w:rFonts w:ascii="Times New Roman" w:hAnsi="Times New Roman"/>
          <w:color w:val="231F20"/>
          <w:sz w:val="16"/>
        </w:rPr>
        <w:t>%</w:t>
      </w:r>
      <w:r>
        <w:rPr>
          <w:rFonts w:ascii="Times New Roman" w:hAnsi="Times New Roman"/>
          <w:color w:val="231F20"/>
          <w:spacing w:val="-7"/>
          <w:sz w:val="16"/>
        </w:rPr>
        <w:t> </w:t>
      </w:r>
      <w:r>
        <w:rPr>
          <w:rFonts w:ascii="Times New Roman" w:hAnsi="Times New Roman"/>
          <w:color w:val="231F20"/>
          <w:sz w:val="16"/>
        </w:rPr>
        <w:t>de</w:t>
      </w:r>
      <w:r>
        <w:rPr>
          <w:rFonts w:ascii="Times New Roman" w:hAnsi="Times New Roman"/>
          <w:color w:val="231F20"/>
          <w:spacing w:val="-7"/>
          <w:sz w:val="16"/>
        </w:rPr>
        <w:t> </w:t>
      </w:r>
      <w:r>
        <w:rPr>
          <w:rFonts w:ascii="Times New Roman" w:hAnsi="Times New Roman"/>
          <w:color w:val="231F20"/>
          <w:sz w:val="16"/>
        </w:rPr>
        <w:t>la</w:t>
      </w:r>
      <w:r>
        <w:rPr>
          <w:rFonts w:ascii="Times New Roman" w:hAnsi="Times New Roman"/>
          <w:color w:val="231F20"/>
          <w:spacing w:val="-7"/>
          <w:sz w:val="16"/>
        </w:rPr>
        <w:t> </w:t>
      </w:r>
      <w:r>
        <w:rPr>
          <w:rFonts w:ascii="Times New Roman" w:hAnsi="Times New Roman"/>
          <w:color w:val="231F20"/>
          <w:sz w:val="16"/>
        </w:rPr>
        <w:t>superficie</w:t>
      </w:r>
      <w:r>
        <w:rPr>
          <w:rFonts w:ascii="Times New Roman" w:hAnsi="Times New Roman"/>
          <w:color w:val="231F20"/>
          <w:spacing w:val="-7"/>
          <w:sz w:val="16"/>
        </w:rPr>
        <w:t> </w:t>
      </w:r>
      <w:r>
        <w:rPr>
          <w:rFonts w:ascii="Times New Roman" w:hAnsi="Times New Roman"/>
          <w:color w:val="231F20"/>
          <w:sz w:val="16"/>
        </w:rPr>
        <w:t>anali- zada)</w:t>
      </w:r>
      <w:r>
        <w:rPr>
          <w:rFonts w:ascii="Times New Roman" w:hAnsi="Times New Roman"/>
          <w:color w:val="231F20"/>
          <w:spacing w:val="-6"/>
          <w:sz w:val="16"/>
        </w:rPr>
        <w:t> </w:t>
      </w:r>
      <w:r>
        <w:rPr>
          <w:rFonts w:ascii="Times New Roman" w:hAnsi="Times New Roman"/>
          <w:color w:val="231F20"/>
          <w:sz w:val="16"/>
        </w:rPr>
        <w:t>se</w:t>
      </w:r>
      <w:r>
        <w:rPr>
          <w:rFonts w:ascii="Times New Roman" w:hAnsi="Times New Roman"/>
          <w:color w:val="231F20"/>
          <w:spacing w:val="-5"/>
          <w:sz w:val="16"/>
        </w:rPr>
        <w:t> </w:t>
      </w:r>
      <w:r>
        <w:rPr>
          <w:rFonts w:ascii="Times New Roman" w:hAnsi="Times New Roman"/>
          <w:color w:val="231F20"/>
          <w:sz w:val="16"/>
        </w:rPr>
        <w:t>aplicaron</w:t>
      </w:r>
      <w:r>
        <w:rPr>
          <w:rFonts w:ascii="Times New Roman" w:hAnsi="Times New Roman"/>
          <w:color w:val="231F20"/>
          <w:spacing w:val="-6"/>
          <w:sz w:val="16"/>
        </w:rPr>
        <w:t> </w:t>
      </w:r>
      <w:r>
        <w:rPr>
          <w:rFonts w:ascii="Times New Roman" w:hAnsi="Times New Roman"/>
          <w:color w:val="231F20"/>
          <w:sz w:val="16"/>
        </w:rPr>
        <w:t>los</w:t>
      </w:r>
      <w:r>
        <w:rPr>
          <w:rFonts w:ascii="Times New Roman" w:hAnsi="Times New Roman"/>
          <w:color w:val="231F20"/>
          <w:spacing w:val="-6"/>
          <w:sz w:val="16"/>
        </w:rPr>
        <w:t> </w:t>
      </w:r>
      <w:r>
        <w:rPr>
          <w:rFonts w:ascii="Times New Roman" w:hAnsi="Times New Roman"/>
          <w:color w:val="231F20"/>
          <w:sz w:val="16"/>
        </w:rPr>
        <w:t>fungicidas</w:t>
      </w:r>
      <w:r>
        <w:rPr>
          <w:rFonts w:ascii="Times New Roman" w:hAnsi="Times New Roman"/>
          <w:color w:val="231F20"/>
          <w:spacing w:val="-5"/>
          <w:sz w:val="16"/>
        </w:rPr>
        <w:t> </w:t>
      </w:r>
      <w:r>
        <w:rPr>
          <w:rFonts w:ascii="Times New Roman" w:hAnsi="Times New Roman"/>
          <w:color w:val="231F20"/>
          <w:sz w:val="16"/>
        </w:rPr>
        <w:t>en</w:t>
      </w:r>
      <w:r>
        <w:rPr>
          <w:rFonts w:ascii="Times New Roman" w:hAnsi="Times New Roman"/>
          <w:color w:val="231F20"/>
          <w:spacing w:val="-5"/>
          <w:sz w:val="16"/>
        </w:rPr>
        <w:t> </w:t>
      </w:r>
      <w:r>
        <w:rPr>
          <w:rFonts w:ascii="Times New Roman" w:hAnsi="Times New Roman"/>
          <w:color w:val="231F20"/>
          <w:sz w:val="16"/>
        </w:rPr>
        <w:t>dosis</w:t>
      </w:r>
      <w:r>
        <w:rPr>
          <w:rFonts w:ascii="Times New Roman" w:hAnsi="Times New Roman"/>
          <w:color w:val="231F20"/>
          <w:spacing w:val="-5"/>
          <w:sz w:val="16"/>
        </w:rPr>
        <w:t> </w:t>
      </w:r>
      <w:r>
        <w:rPr>
          <w:rFonts w:ascii="Times New Roman" w:hAnsi="Times New Roman"/>
          <w:color w:val="231F20"/>
          <w:sz w:val="16"/>
        </w:rPr>
        <w:t>inferiores a lo recomendado, lo que reduce su posible</w:t>
      </w:r>
      <w:r>
        <w:rPr>
          <w:rFonts w:ascii="Times New Roman" w:hAnsi="Times New Roman"/>
          <w:color w:val="231F20"/>
          <w:spacing w:val="-15"/>
          <w:sz w:val="16"/>
        </w:rPr>
        <w:t> </w:t>
      </w:r>
      <w:r>
        <w:rPr>
          <w:rFonts w:ascii="Times New Roman" w:hAnsi="Times New Roman"/>
          <w:color w:val="231F20"/>
          <w:sz w:val="16"/>
        </w:rPr>
        <w:t>acumu- lación en el suelo y que por tanto no haya costos</w:t>
      </w:r>
      <w:r>
        <w:rPr>
          <w:rFonts w:ascii="Times New Roman" w:hAnsi="Times New Roman"/>
          <w:color w:val="231F20"/>
          <w:spacing w:val="-28"/>
          <w:sz w:val="16"/>
        </w:rPr>
        <w:t> </w:t>
      </w:r>
      <w:r>
        <w:rPr>
          <w:rFonts w:ascii="Times New Roman" w:hAnsi="Times New Roman"/>
          <w:color w:val="231F20"/>
          <w:sz w:val="16"/>
        </w:rPr>
        <w:t>de remoción.</w:t>
      </w:r>
      <w:r>
        <w:rPr>
          <w:rFonts w:ascii="Times New Roman" w:hAnsi="Times New Roman"/>
          <w:color w:val="231F20"/>
          <w:spacing w:val="-7"/>
          <w:sz w:val="16"/>
        </w:rPr>
        <w:t> </w:t>
      </w:r>
      <w:r>
        <w:rPr>
          <w:rFonts w:ascii="Times New Roman" w:hAnsi="Times New Roman"/>
          <w:color w:val="231F20"/>
          <w:sz w:val="16"/>
        </w:rPr>
        <w:t>En</w:t>
      </w:r>
      <w:r>
        <w:rPr>
          <w:rFonts w:ascii="Times New Roman" w:hAnsi="Times New Roman"/>
          <w:color w:val="231F20"/>
          <w:spacing w:val="-7"/>
          <w:sz w:val="16"/>
        </w:rPr>
        <w:t> </w:t>
      </w:r>
      <w:r>
        <w:rPr>
          <w:rFonts w:ascii="Times New Roman" w:hAnsi="Times New Roman"/>
          <w:color w:val="231F20"/>
          <w:sz w:val="16"/>
        </w:rPr>
        <w:t>las</w:t>
      </w:r>
      <w:r>
        <w:rPr>
          <w:rFonts w:ascii="Times New Roman" w:hAnsi="Times New Roman"/>
          <w:color w:val="231F20"/>
          <w:spacing w:val="-7"/>
          <w:sz w:val="16"/>
        </w:rPr>
        <w:t> </w:t>
      </w:r>
      <w:r>
        <w:rPr>
          <w:rFonts w:ascii="Times New Roman" w:hAnsi="Times New Roman"/>
          <w:color w:val="231F20"/>
          <w:sz w:val="16"/>
        </w:rPr>
        <w:t>200.31</w:t>
      </w:r>
      <w:r>
        <w:rPr>
          <w:rFonts w:ascii="Times New Roman" w:hAnsi="Times New Roman"/>
          <w:color w:val="231F20"/>
          <w:spacing w:val="-7"/>
          <w:sz w:val="16"/>
        </w:rPr>
        <w:t> </w:t>
      </w:r>
      <w:r>
        <w:rPr>
          <w:rFonts w:ascii="Times New Roman" w:hAnsi="Times New Roman"/>
          <w:color w:val="231F20"/>
          <w:sz w:val="16"/>
        </w:rPr>
        <w:t>ha</w:t>
      </w:r>
      <w:r>
        <w:rPr>
          <w:rFonts w:ascii="Times New Roman" w:hAnsi="Times New Roman"/>
          <w:color w:val="231F20"/>
          <w:spacing w:val="-7"/>
          <w:sz w:val="16"/>
        </w:rPr>
        <w:t> </w:t>
      </w:r>
      <w:r>
        <w:rPr>
          <w:rFonts w:ascii="Times New Roman" w:hAnsi="Times New Roman"/>
          <w:color w:val="231F20"/>
          <w:sz w:val="16"/>
        </w:rPr>
        <w:t>restantes</w:t>
      </w:r>
      <w:r>
        <w:rPr>
          <w:rFonts w:ascii="Times New Roman" w:hAnsi="Times New Roman"/>
          <w:color w:val="231F20"/>
          <w:spacing w:val="-7"/>
          <w:sz w:val="16"/>
        </w:rPr>
        <w:t> </w:t>
      </w:r>
      <w:r>
        <w:rPr>
          <w:rFonts w:ascii="Times New Roman" w:hAnsi="Times New Roman"/>
          <w:color w:val="231F20"/>
          <w:sz w:val="16"/>
        </w:rPr>
        <w:t>(88.21</w:t>
      </w:r>
      <w:r>
        <w:rPr>
          <w:rFonts w:ascii="Times New Roman" w:hAnsi="Times New Roman"/>
          <w:color w:val="231F20"/>
          <w:spacing w:val="-7"/>
          <w:sz w:val="16"/>
        </w:rPr>
        <w:t> </w:t>
      </w:r>
      <w:r>
        <w:rPr>
          <w:rFonts w:ascii="Times New Roman" w:hAnsi="Times New Roman"/>
          <w:color w:val="231F20"/>
          <w:sz w:val="16"/>
        </w:rPr>
        <w:t>%</w:t>
      </w:r>
      <w:r>
        <w:rPr>
          <w:rFonts w:ascii="Times New Roman" w:hAnsi="Times New Roman"/>
          <w:color w:val="231F20"/>
          <w:spacing w:val="-7"/>
          <w:sz w:val="16"/>
        </w:rPr>
        <w:t> </w:t>
      </w:r>
      <w:r>
        <w:rPr>
          <w:rFonts w:ascii="Times New Roman" w:hAnsi="Times New Roman"/>
          <w:color w:val="231F20"/>
          <w:sz w:val="16"/>
        </w:rPr>
        <w:t>de</w:t>
      </w:r>
      <w:r>
        <w:rPr>
          <w:rFonts w:ascii="Times New Roman" w:hAnsi="Times New Roman"/>
          <w:color w:val="231F20"/>
          <w:spacing w:val="-7"/>
          <w:sz w:val="16"/>
        </w:rPr>
        <w:t> </w:t>
      </w:r>
      <w:r>
        <w:rPr>
          <w:rFonts w:ascii="Times New Roman" w:hAnsi="Times New Roman"/>
          <w:color w:val="231F20"/>
          <w:sz w:val="16"/>
        </w:rPr>
        <w:t>la superficie analizada) lo que se obtiene son</w:t>
      </w:r>
      <w:r>
        <w:rPr>
          <w:rFonts w:ascii="Times New Roman" w:hAnsi="Times New Roman"/>
          <w:color w:val="231F20"/>
          <w:spacing w:val="-23"/>
          <w:sz w:val="16"/>
        </w:rPr>
        <w:t> </w:t>
      </w:r>
      <w:r>
        <w:rPr>
          <w:rFonts w:ascii="Times New Roman" w:hAnsi="Times New Roman"/>
          <w:color w:val="231F20"/>
          <w:sz w:val="16"/>
        </w:rPr>
        <w:t>pérdidas económicas</w:t>
      </w:r>
      <w:r>
        <w:rPr>
          <w:rFonts w:ascii="Times New Roman" w:hAnsi="Times New Roman"/>
          <w:color w:val="231F20"/>
          <w:spacing w:val="-10"/>
          <w:sz w:val="16"/>
        </w:rPr>
        <w:t> </w:t>
      </w:r>
      <w:r>
        <w:rPr>
          <w:rFonts w:ascii="Times New Roman" w:hAnsi="Times New Roman"/>
          <w:color w:val="231F20"/>
          <w:sz w:val="16"/>
        </w:rPr>
        <w:t>por</w:t>
      </w:r>
      <w:r>
        <w:rPr>
          <w:rFonts w:ascii="Times New Roman" w:hAnsi="Times New Roman"/>
          <w:color w:val="231F20"/>
          <w:spacing w:val="-10"/>
          <w:sz w:val="16"/>
        </w:rPr>
        <w:t> </w:t>
      </w:r>
      <w:r>
        <w:rPr>
          <w:rFonts w:ascii="Times New Roman" w:hAnsi="Times New Roman"/>
          <w:color w:val="231F20"/>
          <w:sz w:val="16"/>
        </w:rPr>
        <w:t>546.85</w:t>
      </w:r>
      <w:r>
        <w:rPr>
          <w:rFonts w:ascii="Times New Roman" w:hAnsi="Times New Roman"/>
          <w:color w:val="231F20"/>
          <w:spacing w:val="-10"/>
          <w:sz w:val="16"/>
        </w:rPr>
        <w:t> </w:t>
      </w:r>
      <w:r>
        <w:rPr>
          <w:rFonts w:ascii="Times New Roman" w:hAnsi="Times New Roman"/>
          <w:color w:val="231F20"/>
          <w:sz w:val="16"/>
        </w:rPr>
        <w:t>millones</w:t>
      </w:r>
      <w:r>
        <w:rPr>
          <w:rFonts w:ascii="Times New Roman" w:hAnsi="Times New Roman"/>
          <w:color w:val="231F20"/>
          <w:spacing w:val="-10"/>
          <w:sz w:val="16"/>
        </w:rPr>
        <w:t> </w:t>
      </w:r>
      <w:r>
        <w:rPr>
          <w:rFonts w:ascii="Times New Roman" w:hAnsi="Times New Roman"/>
          <w:color w:val="231F20"/>
          <w:sz w:val="16"/>
        </w:rPr>
        <w:t>de</w:t>
      </w:r>
      <w:r>
        <w:rPr>
          <w:rFonts w:ascii="Times New Roman" w:hAnsi="Times New Roman"/>
          <w:color w:val="231F20"/>
          <w:spacing w:val="-10"/>
          <w:sz w:val="16"/>
        </w:rPr>
        <w:t> </w:t>
      </w:r>
      <w:r>
        <w:rPr>
          <w:rFonts w:ascii="Times New Roman" w:hAnsi="Times New Roman"/>
          <w:color w:val="231F20"/>
          <w:sz w:val="16"/>
        </w:rPr>
        <w:t>pesos</w:t>
      </w:r>
      <w:r>
        <w:rPr>
          <w:rFonts w:ascii="Times New Roman" w:hAnsi="Times New Roman"/>
          <w:color w:val="231F20"/>
          <w:spacing w:val="-10"/>
          <w:sz w:val="16"/>
        </w:rPr>
        <w:t> </w:t>
      </w:r>
      <w:r>
        <w:rPr>
          <w:rFonts w:ascii="Times New Roman" w:hAnsi="Times New Roman"/>
          <w:color w:val="231F20"/>
          <w:sz w:val="16"/>
        </w:rPr>
        <w:t>MXN</w:t>
      </w:r>
      <w:r>
        <w:rPr>
          <w:rFonts w:ascii="Times New Roman" w:hAnsi="Times New Roman"/>
          <w:color w:val="231F20"/>
          <w:spacing w:val="-10"/>
          <w:sz w:val="16"/>
        </w:rPr>
        <w:t> </w:t>
      </w:r>
      <w:r>
        <w:rPr>
          <w:rFonts w:ascii="Times New Roman" w:hAnsi="Times New Roman"/>
          <w:color w:val="231F20"/>
          <w:sz w:val="16"/>
        </w:rPr>
        <w:t>por remoción</w:t>
      </w:r>
      <w:r>
        <w:rPr>
          <w:rFonts w:ascii="Times New Roman" w:hAnsi="Times New Roman"/>
          <w:color w:val="231F20"/>
          <w:spacing w:val="-12"/>
          <w:sz w:val="16"/>
        </w:rPr>
        <w:t> </w:t>
      </w:r>
      <w:r>
        <w:rPr>
          <w:rFonts w:ascii="Times New Roman" w:hAnsi="Times New Roman"/>
          <w:color w:val="231F20"/>
          <w:sz w:val="16"/>
        </w:rPr>
        <w:t>de</w:t>
      </w:r>
      <w:r>
        <w:rPr>
          <w:rFonts w:ascii="Times New Roman" w:hAnsi="Times New Roman"/>
          <w:color w:val="231F20"/>
          <w:spacing w:val="-12"/>
          <w:sz w:val="16"/>
        </w:rPr>
        <w:t> </w:t>
      </w:r>
      <w:r>
        <w:rPr>
          <w:rFonts w:ascii="Times New Roman" w:hAnsi="Times New Roman"/>
          <w:color w:val="231F20"/>
          <w:sz w:val="16"/>
        </w:rPr>
        <w:t>fungicidas</w:t>
      </w:r>
      <w:r>
        <w:rPr>
          <w:rFonts w:ascii="Times New Roman" w:hAnsi="Times New Roman"/>
          <w:color w:val="231F20"/>
          <w:spacing w:val="-12"/>
          <w:sz w:val="16"/>
        </w:rPr>
        <w:t> </w:t>
      </w:r>
      <w:r>
        <w:rPr>
          <w:rFonts w:ascii="Times New Roman" w:hAnsi="Times New Roman"/>
          <w:color w:val="231F20"/>
          <w:sz w:val="16"/>
        </w:rPr>
        <w:t>del</w:t>
      </w:r>
      <w:r>
        <w:rPr>
          <w:rFonts w:ascii="Times New Roman" w:hAnsi="Times New Roman"/>
          <w:color w:val="231F20"/>
          <w:spacing w:val="-12"/>
          <w:sz w:val="16"/>
        </w:rPr>
        <w:t> </w:t>
      </w:r>
      <w:r>
        <w:rPr>
          <w:rFonts w:ascii="Times New Roman" w:hAnsi="Times New Roman"/>
          <w:color w:val="231F20"/>
          <w:sz w:val="16"/>
        </w:rPr>
        <w:t>suelo.</w:t>
      </w:r>
      <w:r>
        <w:rPr>
          <w:rFonts w:ascii="Times New Roman" w:hAnsi="Times New Roman"/>
          <w:color w:val="231F20"/>
          <w:spacing w:val="-12"/>
          <w:sz w:val="16"/>
        </w:rPr>
        <w:t> </w:t>
      </w:r>
      <w:r>
        <w:rPr>
          <w:rFonts w:ascii="Times New Roman" w:hAnsi="Times New Roman"/>
          <w:color w:val="231F20"/>
          <w:sz w:val="16"/>
        </w:rPr>
        <w:t>El</w:t>
      </w:r>
      <w:r>
        <w:rPr>
          <w:rFonts w:ascii="Times New Roman" w:hAnsi="Times New Roman"/>
          <w:color w:val="231F20"/>
          <w:spacing w:val="-12"/>
          <w:sz w:val="16"/>
        </w:rPr>
        <w:t> </w:t>
      </w:r>
      <w:r>
        <w:rPr>
          <w:rFonts w:ascii="Times New Roman" w:hAnsi="Times New Roman"/>
          <w:color w:val="231F20"/>
          <w:sz w:val="16"/>
        </w:rPr>
        <w:t>cultivo</w:t>
      </w:r>
      <w:r>
        <w:rPr>
          <w:rFonts w:ascii="Times New Roman" w:hAnsi="Times New Roman"/>
          <w:color w:val="231F20"/>
          <w:spacing w:val="-12"/>
          <w:sz w:val="16"/>
        </w:rPr>
        <w:t> </w:t>
      </w:r>
      <w:r>
        <w:rPr>
          <w:rFonts w:ascii="Times New Roman" w:hAnsi="Times New Roman"/>
          <w:color w:val="231F20"/>
          <w:sz w:val="16"/>
        </w:rPr>
        <w:t>de</w:t>
      </w:r>
      <w:r>
        <w:rPr>
          <w:rFonts w:ascii="Times New Roman" w:hAnsi="Times New Roman"/>
          <w:color w:val="231F20"/>
          <w:spacing w:val="-12"/>
          <w:sz w:val="16"/>
        </w:rPr>
        <w:t> </w:t>
      </w:r>
      <w:r>
        <w:rPr>
          <w:rFonts w:ascii="Times New Roman" w:hAnsi="Times New Roman"/>
          <w:color w:val="231F20"/>
          <w:sz w:val="16"/>
        </w:rPr>
        <w:t>papa abarca el 5.82 % (758 ha) del total de</w:t>
      </w:r>
      <w:r>
        <w:rPr>
          <w:rFonts w:ascii="Times New Roman" w:hAnsi="Times New Roman"/>
          <w:color w:val="231F20"/>
          <w:spacing w:val="6"/>
          <w:sz w:val="16"/>
        </w:rPr>
        <w:t> </w:t>
      </w:r>
      <w:r>
        <w:rPr>
          <w:rFonts w:ascii="Times New Roman" w:hAnsi="Times New Roman"/>
          <w:color w:val="231F20"/>
          <w:sz w:val="16"/>
        </w:rPr>
        <w:t>la</w:t>
      </w:r>
      <w:r>
        <w:rPr>
          <w:rFonts w:ascii="Times New Roman" w:hAnsi="Times New Roman"/>
          <w:color w:val="231F20"/>
          <w:spacing w:val="5"/>
          <w:sz w:val="16"/>
        </w:rPr>
        <w:t> </w:t>
      </w:r>
      <w:r>
        <w:rPr>
          <w:rFonts w:ascii="Times New Roman" w:hAnsi="Times New Roman"/>
          <w:color w:val="231F20"/>
          <w:sz w:val="16"/>
        </w:rPr>
        <w:t>superficie</w:t>
      </w:r>
      <w:r>
        <w:rPr>
          <w:rFonts w:ascii="Times New Roman" w:hAnsi="Times New Roman"/>
          <w:color w:val="231F20"/>
          <w:w w:val="97"/>
          <w:sz w:val="16"/>
        </w:rPr>
        <w:t> </w:t>
      </w:r>
      <w:r>
        <w:rPr>
          <w:rFonts w:ascii="Times New Roman" w:hAnsi="Times New Roman"/>
          <w:color w:val="231F20"/>
          <w:sz w:val="16"/>
        </w:rPr>
        <w:t>agrícola</w:t>
      </w:r>
      <w:r>
        <w:rPr>
          <w:rFonts w:ascii="Times New Roman" w:hAnsi="Times New Roman"/>
          <w:color w:val="231F20"/>
          <w:spacing w:val="-11"/>
          <w:sz w:val="16"/>
        </w:rPr>
        <w:t> </w:t>
      </w:r>
      <w:r>
        <w:rPr>
          <w:rFonts w:ascii="Times New Roman" w:hAnsi="Times New Roman"/>
          <w:color w:val="231F20"/>
          <w:sz w:val="16"/>
        </w:rPr>
        <w:t>(13</w:t>
      </w:r>
      <w:r>
        <w:rPr>
          <w:rFonts w:ascii="Times New Roman" w:hAnsi="Times New Roman"/>
          <w:color w:val="231F20"/>
          <w:spacing w:val="-11"/>
          <w:sz w:val="16"/>
        </w:rPr>
        <w:t> </w:t>
      </w:r>
      <w:r>
        <w:rPr>
          <w:rFonts w:ascii="Times New Roman" w:hAnsi="Times New Roman"/>
          <w:color w:val="231F20"/>
          <w:sz w:val="16"/>
        </w:rPr>
        <w:t>002</w:t>
      </w:r>
      <w:r>
        <w:rPr>
          <w:rFonts w:ascii="Times New Roman" w:hAnsi="Times New Roman"/>
          <w:color w:val="231F20"/>
          <w:spacing w:val="-11"/>
          <w:sz w:val="16"/>
        </w:rPr>
        <w:t> </w:t>
      </w:r>
      <w:r>
        <w:rPr>
          <w:rFonts w:ascii="Times New Roman" w:hAnsi="Times New Roman"/>
          <w:color w:val="231F20"/>
          <w:sz w:val="16"/>
        </w:rPr>
        <w:t>ha)</w:t>
      </w:r>
      <w:r>
        <w:rPr>
          <w:rFonts w:ascii="Times New Roman" w:hAnsi="Times New Roman"/>
          <w:color w:val="231F20"/>
          <w:spacing w:val="-11"/>
          <w:sz w:val="16"/>
        </w:rPr>
        <w:t> </w:t>
      </w:r>
      <w:r>
        <w:rPr>
          <w:rFonts w:ascii="Times New Roman" w:hAnsi="Times New Roman"/>
          <w:color w:val="231F20"/>
          <w:sz w:val="16"/>
        </w:rPr>
        <w:t>del</w:t>
      </w:r>
      <w:r>
        <w:rPr>
          <w:rFonts w:ascii="Times New Roman" w:hAnsi="Times New Roman"/>
          <w:color w:val="231F20"/>
          <w:spacing w:val="-11"/>
          <w:sz w:val="16"/>
        </w:rPr>
        <w:t> </w:t>
      </w:r>
      <w:r>
        <w:rPr>
          <w:rFonts w:ascii="Times New Roman" w:hAnsi="Times New Roman"/>
          <w:color w:val="231F20"/>
          <w:sz w:val="16"/>
        </w:rPr>
        <w:t>municipio</w:t>
      </w:r>
      <w:r>
        <w:rPr>
          <w:rFonts w:ascii="Times New Roman" w:hAnsi="Times New Roman"/>
          <w:color w:val="231F20"/>
          <w:spacing w:val="-11"/>
          <w:sz w:val="16"/>
        </w:rPr>
        <w:t> </w:t>
      </w:r>
      <w:r>
        <w:rPr>
          <w:rFonts w:ascii="Times New Roman" w:hAnsi="Times New Roman"/>
          <w:color w:val="231F20"/>
          <w:sz w:val="16"/>
        </w:rPr>
        <w:t>de</w:t>
      </w:r>
      <w:r>
        <w:rPr>
          <w:rFonts w:ascii="Times New Roman" w:hAnsi="Times New Roman"/>
          <w:color w:val="231F20"/>
          <w:spacing w:val="-11"/>
          <w:sz w:val="16"/>
        </w:rPr>
        <w:t> </w:t>
      </w:r>
      <w:r>
        <w:rPr>
          <w:rFonts w:ascii="Times New Roman" w:hAnsi="Times New Roman"/>
          <w:color w:val="231F20"/>
          <w:sz w:val="16"/>
        </w:rPr>
        <w:t>Zinacantepec, y el hecho de que se utilice el mismo patrón de uso de</w:t>
      </w:r>
      <w:r>
        <w:rPr>
          <w:rFonts w:ascii="Times New Roman" w:hAnsi="Times New Roman"/>
          <w:color w:val="231F20"/>
          <w:spacing w:val="-4"/>
          <w:sz w:val="16"/>
        </w:rPr>
        <w:t> </w:t>
      </w:r>
      <w:r>
        <w:rPr>
          <w:rFonts w:ascii="Times New Roman" w:hAnsi="Times New Roman"/>
          <w:color w:val="231F20"/>
          <w:sz w:val="16"/>
        </w:rPr>
        <w:t>los</w:t>
      </w:r>
      <w:r>
        <w:rPr>
          <w:rFonts w:ascii="Times New Roman" w:hAnsi="Times New Roman"/>
          <w:color w:val="231F20"/>
          <w:spacing w:val="-4"/>
          <w:sz w:val="16"/>
        </w:rPr>
        <w:t> </w:t>
      </w:r>
      <w:r>
        <w:rPr>
          <w:rFonts w:ascii="Times New Roman" w:hAnsi="Times New Roman"/>
          <w:color w:val="231F20"/>
          <w:sz w:val="16"/>
        </w:rPr>
        <w:t>fungicidas</w:t>
      </w:r>
      <w:r>
        <w:rPr>
          <w:rFonts w:ascii="Times New Roman" w:hAnsi="Times New Roman"/>
          <w:color w:val="231F20"/>
          <w:spacing w:val="-4"/>
          <w:sz w:val="16"/>
        </w:rPr>
        <w:t> </w:t>
      </w:r>
      <w:r>
        <w:rPr>
          <w:rFonts w:ascii="Times New Roman" w:hAnsi="Times New Roman"/>
          <w:color w:val="231F20"/>
          <w:sz w:val="16"/>
        </w:rPr>
        <w:t>en</w:t>
      </w:r>
      <w:r>
        <w:rPr>
          <w:rFonts w:ascii="Times New Roman" w:hAnsi="Times New Roman"/>
          <w:color w:val="231F20"/>
          <w:spacing w:val="-4"/>
          <w:sz w:val="16"/>
        </w:rPr>
        <w:t> </w:t>
      </w:r>
      <w:r>
        <w:rPr>
          <w:rFonts w:ascii="Times New Roman" w:hAnsi="Times New Roman"/>
          <w:color w:val="231F20"/>
          <w:sz w:val="16"/>
        </w:rPr>
        <w:t>el</w:t>
      </w:r>
      <w:r>
        <w:rPr>
          <w:rFonts w:ascii="Times New Roman" w:hAnsi="Times New Roman"/>
          <w:color w:val="231F20"/>
          <w:spacing w:val="-4"/>
          <w:sz w:val="16"/>
        </w:rPr>
        <w:t> </w:t>
      </w:r>
      <w:r>
        <w:rPr>
          <w:rFonts w:ascii="Times New Roman" w:hAnsi="Times New Roman"/>
          <w:color w:val="231F20"/>
          <w:sz w:val="16"/>
        </w:rPr>
        <w:t>total</w:t>
      </w:r>
      <w:r>
        <w:rPr>
          <w:rFonts w:ascii="Times New Roman" w:hAnsi="Times New Roman"/>
          <w:color w:val="231F20"/>
          <w:spacing w:val="-4"/>
          <w:sz w:val="16"/>
        </w:rPr>
        <w:t> </w:t>
      </w:r>
      <w:r>
        <w:rPr>
          <w:rFonts w:ascii="Times New Roman" w:hAnsi="Times New Roman"/>
          <w:color w:val="231F20"/>
          <w:sz w:val="16"/>
        </w:rPr>
        <w:t>de</w:t>
      </w:r>
      <w:r>
        <w:rPr>
          <w:rFonts w:ascii="Times New Roman" w:hAnsi="Times New Roman"/>
          <w:color w:val="231F20"/>
          <w:spacing w:val="-4"/>
          <w:sz w:val="16"/>
        </w:rPr>
        <w:t> </w:t>
      </w:r>
      <w:r>
        <w:rPr>
          <w:rFonts w:ascii="Times New Roman" w:hAnsi="Times New Roman"/>
          <w:color w:val="231F20"/>
          <w:sz w:val="16"/>
        </w:rPr>
        <w:t>hectáreas</w:t>
      </w:r>
      <w:r>
        <w:rPr>
          <w:rFonts w:ascii="Times New Roman" w:hAnsi="Times New Roman"/>
          <w:color w:val="231F20"/>
          <w:spacing w:val="-4"/>
          <w:sz w:val="16"/>
        </w:rPr>
        <w:t> </w:t>
      </w:r>
      <w:r>
        <w:rPr>
          <w:rFonts w:ascii="Times New Roman" w:hAnsi="Times New Roman"/>
          <w:color w:val="231F20"/>
          <w:sz w:val="16"/>
        </w:rPr>
        <w:t>del</w:t>
      </w:r>
      <w:r>
        <w:rPr>
          <w:rFonts w:ascii="Times New Roman" w:hAnsi="Times New Roman"/>
          <w:color w:val="231F20"/>
          <w:spacing w:val="-4"/>
          <w:sz w:val="16"/>
        </w:rPr>
        <w:t> </w:t>
      </w:r>
      <w:r>
        <w:rPr>
          <w:rFonts w:ascii="Times New Roman" w:hAnsi="Times New Roman"/>
          <w:color w:val="231F20"/>
          <w:sz w:val="16"/>
        </w:rPr>
        <w:t>cultivo de</w:t>
      </w:r>
      <w:r>
        <w:rPr>
          <w:rFonts w:ascii="Times New Roman" w:hAnsi="Times New Roman"/>
          <w:color w:val="231F20"/>
          <w:spacing w:val="-14"/>
          <w:sz w:val="16"/>
        </w:rPr>
        <w:t> </w:t>
      </w:r>
      <w:r>
        <w:rPr>
          <w:rFonts w:ascii="Times New Roman" w:hAnsi="Times New Roman"/>
          <w:color w:val="231F20"/>
          <w:sz w:val="16"/>
        </w:rPr>
        <w:t>papa</w:t>
      </w:r>
      <w:r>
        <w:rPr>
          <w:rFonts w:ascii="Times New Roman" w:hAnsi="Times New Roman"/>
          <w:color w:val="231F20"/>
          <w:spacing w:val="-14"/>
          <w:sz w:val="16"/>
        </w:rPr>
        <w:t> </w:t>
      </w:r>
      <w:r>
        <w:rPr>
          <w:rFonts w:ascii="Times New Roman" w:hAnsi="Times New Roman"/>
          <w:color w:val="231F20"/>
          <w:sz w:val="16"/>
        </w:rPr>
        <w:t>hace</w:t>
      </w:r>
      <w:r>
        <w:rPr>
          <w:rFonts w:ascii="Times New Roman" w:hAnsi="Times New Roman"/>
          <w:color w:val="231F20"/>
          <w:spacing w:val="-14"/>
          <w:sz w:val="16"/>
        </w:rPr>
        <w:t> </w:t>
      </w:r>
      <w:r>
        <w:rPr>
          <w:rFonts w:ascii="Times New Roman" w:hAnsi="Times New Roman"/>
          <w:color w:val="231F20"/>
          <w:sz w:val="16"/>
        </w:rPr>
        <w:t>que</w:t>
      </w:r>
      <w:r>
        <w:rPr>
          <w:rFonts w:ascii="Times New Roman" w:hAnsi="Times New Roman"/>
          <w:color w:val="231F20"/>
          <w:spacing w:val="-14"/>
          <w:sz w:val="16"/>
        </w:rPr>
        <w:t> </w:t>
      </w:r>
      <w:r>
        <w:rPr>
          <w:rFonts w:ascii="Times New Roman" w:hAnsi="Times New Roman"/>
          <w:color w:val="231F20"/>
          <w:sz w:val="16"/>
        </w:rPr>
        <w:t>las</w:t>
      </w:r>
      <w:r>
        <w:rPr>
          <w:rFonts w:ascii="Times New Roman" w:hAnsi="Times New Roman"/>
          <w:color w:val="231F20"/>
          <w:spacing w:val="-14"/>
          <w:sz w:val="16"/>
        </w:rPr>
        <w:t> </w:t>
      </w:r>
      <w:r>
        <w:rPr>
          <w:rFonts w:ascii="Times New Roman" w:hAnsi="Times New Roman"/>
          <w:color w:val="231F20"/>
          <w:sz w:val="16"/>
        </w:rPr>
        <w:t>pérdidas</w:t>
      </w:r>
      <w:r>
        <w:rPr>
          <w:rFonts w:ascii="Times New Roman" w:hAnsi="Times New Roman"/>
          <w:color w:val="231F20"/>
          <w:spacing w:val="-14"/>
          <w:sz w:val="16"/>
        </w:rPr>
        <w:t> </w:t>
      </w:r>
      <w:r>
        <w:rPr>
          <w:rFonts w:ascii="Times New Roman" w:hAnsi="Times New Roman"/>
          <w:color w:val="231F20"/>
          <w:sz w:val="16"/>
        </w:rPr>
        <w:t>económicas</w:t>
      </w:r>
      <w:r>
        <w:rPr>
          <w:rFonts w:ascii="Times New Roman" w:hAnsi="Times New Roman"/>
          <w:color w:val="231F20"/>
          <w:spacing w:val="-14"/>
          <w:sz w:val="16"/>
        </w:rPr>
        <w:t> </w:t>
      </w:r>
      <w:r>
        <w:rPr>
          <w:rFonts w:ascii="Times New Roman" w:hAnsi="Times New Roman"/>
          <w:color w:val="231F20"/>
          <w:sz w:val="16"/>
        </w:rPr>
        <w:t>asciendan a 2069.34 millones de pesos MXN por concepto</w:t>
      </w:r>
      <w:r>
        <w:rPr>
          <w:rFonts w:ascii="Times New Roman" w:hAnsi="Times New Roman"/>
          <w:color w:val="231F20"/>
          <w:spacing w:val="-17"/>
          <w:sz w:val="16"/>
        </w:rPr>
        <w:t> </w:t>
      </w:r>
      <w:r>
        <w:rPr>
          <w:rFonts w:ascii="Times New Roman" w:hAnsi="Times New Roman"/>
          <w:color w:val="231F20"/>
          <w:sz w:val="16"/>
        </w:rPr>
        <w:t>de remoción de fungicidas del</w:t>
      </w:r>
      <w:r>
        <w:rPr>
          <w:rFonts w:ascii="Times New Roman" w:hAnsi="Times New Roman"/>
          <w:color w:val="231F20"/>
          <w:spacing w:val="-25"/>
          <w:sz w:val="16"/>
        </w:rPr>
        <w:t> </w:t>
      </w:r>
      <w:r>
        <w:rPr>
          <w:rFonts w:ascii="Times New Roman" w:hAnsi="Times New Roman"/>
          <w:color w:val="231F20"/>
          <w:sz w:val="16"/>
        </w:rPr>
        <w:t>suelo.</w:t>
      </w:r>
    </w:p>
    <w:p>
      <w:pPr>
        <w:spacing w:line="174" w:lineRule="exact" w:before="0"/>
        <w:ind w:left="1182" w:right="0" w:firstLine="204"/>
        <w:jc w:val="both"/>
        <w:rPr>
          <w:rFonts w:ascii="Times New Roman" w:hAnsi="Times New Roman"/>
          <w:sz w:val="16"/>
        </w:rPr>
      </w:pPr>
      <w:r>
        <w:rPr>
          <w:rFonts w:ascii="Times New Roman" w:hAnsi="Times New Roman"/>
          <w:color w:val="231F20"/>
          <w:sz w:val="16"/>
        </w:rPr>
        <w:t>El</w:t>
      </w:r>
      <w:r>
        <w:rPr>
          <w:rFonts w:ascii="Times New Roman" w:hAnsi="Times New Roman"/>
          <w:color w:val="231F20"/>
          <w:spacing w:val="-5"/>
          <w:sz w:val="16"/>
        </w:rPr>
        <w:t> </w:t>
      </w:r>
      <w:r>
        <w:rPr>
          <w:rFonts w:ascii="Times New Roman" w:hAnsi="Times New Roman"/>
          <w:color w:val="231F20"/>
          <w:sz w:val="16"/>
        </w:rPr>
        <w:t>área</w:t>
      </w:r>
      <w:r>
        <w:rPr>
          <w:rFonts w:ascii="Times New Roman" w:hAnsi="Times New Roman"/>
          <w:color w:val="231F20"/>
          <w:spacing w:val="-5"/>
          <w:sz w:val="16"/>
        </w:rPr>
        <w:t> </w:t>
      </w:r>
      <w:r>
        <w:rPr>
          <w:rFonts w:ascii="Times New Roman" w:hAnsi="Times New Roman"/>
          <w:color w:val="231F20"/>
          <w:sz w:val="16"/>
        </w:rPr>
        <w:t>de</w:t>
      </w:r>
      <w:r>
        <w:rPr>
          <w:rFonts w:ascii="Times New Roman" w:hAnsi="Times New Roman"/>
          <w:color w:val="231F20"/>
          <w:spacing w:val="-5"/>
          <w:sz w:val="16"/>
        </w:rPr>
        <w:t> </w:t>
      </w:r>
      <w:r>
        <w:rPr>
          <w:rFonts w:ascii="Times New Roman" w:hAnsi="Times New Roman"/>
          <w:color w:val="231F20"/>
          <w:sz w:val="16"/>
        </w:rPr>
        <w:t>estudio</w:t>
      </w:r>
      <w:r>
        <w:rPr>
          <w:rFonts w:ascii="Times New Roman" w:hAnsi="Times New Roman"/>
          <w:color w:val="231F20"/>
          <w:spacing w:val="-5"/>
          <w:sz w:val="16"/>
        </w:rPr>
        <w:t> </w:t>
      </w:r>
      <w:r>
        <w:rPr>
          <w:rFonts w:ascii="Times New Roman" w:hAnsi="Times New Roman"/>
          <w:color w:val="231F20"/>
          <w:sz w:val="16"/>
        </w:rPr>
        <w:t>se</w:t>
      </w:r>
      <w:r>
        <w:rPr>
          <w:rFonts w:ascii="Times New Roman" w:hAnsi="Times New Roman"/>
          <w:color w:val="231F20"/>
          <w:spacing w:val="-5"/>
          <w:sz w:val="16"/>
        </w:rPr>
        <w:t> </w:t>
      </w:r>
      <w:r>
        <w:rPr>
          <w:rFonts w:ascii="Times New Roman" w:hAnsi="Times New Roman"/>
          <w:color w:val="231F20"/>
          <w:sz w:val="16"/>
        </w:rPr>
        <w:t>encuentra</w:t>
      </w:r>
      <w:r>
        <w:rPr>
          <w:rFonts w:ascii="Times New Roman" w:hAnsi="Times New Roman"/>
          <w:color w:val="231F20"/>
          <w:spacing w:val="-5"/>
          <w:sz w:val="16"/>
        </w:rPr>
        <w:t> </w:t>
      </w:r>
      <w:r>
        <w:rPr>
          <w:rFonts w:ascii="Times New Roman" w:hAnsi="Times New Roman"/>
          <w:color w:val="231F20"/>
          <w:sz w:val="16"/>
        </w:rPr>
        <w:t>localizada</w:t>
      </w:r>
      <w:r>
        <w:rPr>
          <w:rFonts w:ascii="Times New Roman" w:hAnsi="Times New Roman"/>
          <w:color w:val="231F20"/>
          <w:spacing w:val="-5"/>
          <w:sz w:val="16"/>
        </w:rPr>
        <w:t> </w:t>
      </w:r>
      <w:r>
        <w:rPr>
          <w:rFonts w:ascii="Times New Roman" w:hAnsi="Times New Roman"/>
          <w:color w:val="231F20"/>
          <w:sz w:val="16"/>
        </w:rPr>
        <w:t>en</w:t>
      </w:r>
      <w:r>
        <w:rPr>
          <w:rFonts w:ascii="Times New Roman" w:hAnsi="Times New Roman"/>
          <w:color w:val="231F20"/>
          <w:spacing w:val="-5"/>
          <w:sz w:val="16"/>
        </w:rPr>
        <w:t> </w:t>
      </w:r>
      <w:r>
        <w:rPr>
          <w:rFonts w:ascii="Times New Roman" w:hAnsi="Times New Roman"/>
          <w:color w:val="231F20"/>
          <w:sz w:val="16"/>
        </w:rPr>
        <w:t>los límites</w:t>
      </w:r>
      <w:r>
        <w:rPr>
          <w:rFonts w:ascii="Times New Roman" w:hAnsi="Times New Roman"/>
          <w:color w:val="231F20"/>
          <w:spacing w:val="-12"/>
          <w:sz w:val="16"/>
        </w:rPr>
        <w:t> </w:t>
      </w:r>
      <w:r>
        <w:rPr>
          <w:rFonts w:ascii="Times New Roman" w:hAnsi="Times New Roman"/>
          <w:color w:val="231F20"/>
          <w:sz w:val="16"/>
        </w:rPr>
        <w:t>del</w:t>
      </w:r>
      <w:r>
        <w:rPr>
          <w:rFonts w:ascii="Times New Roman" w:hAnsi="Times New Roman"/>
          <w:color w:val="231F20"/>
          <w:spacing w:val="-11"/>
          <w:sz w:val="16"/>
        </w:rPr>
        <w:t> </w:t>
      </w:r>
      <w:r>
        <w:rPr>
          <w:rFonts w:ascii="Times New Roman" w:hAnsi="Times New Roman"/>
          <w:color w:val="231F20"/>
          <w:spacing w:val="-3"/>
          <w:sz w:val="16"/>
        </w:rPr>
        <w:t>PNNT,</w:t>
      </w:r>
      <w:r>
        <w:rPr>
          <w:rFonts w:ascii="Times New Roman" w:hAnsi="Times New Roman"/>
          <w:color w:val="231F20"/>
          <w:spacing w:val="-12"/>
          <w:sz w:val="16"/>
        </w:rPr>
        <w:t> </w:t>
      </w:r>
      <w:r>
        <w:rPr>
          <w:rFonts w:ascii="Times New Roman" w:hAnsi="Times New Roman"/>
          <w:color w:val="231F20"/>
          <w:sz w:val="16"/>
        </w:rPr>
        <w:t>que</w:t>
      </w:r>
      <w:r>
        <w:rPr>
          <w:rFonts w:ascii="Times New Roman" w:hAnsi="Times New Roman"/>
          <w:color w:val="231F20"/>
          <w:spacing w:val="-11"/>
          <w:sz w:val="16"/>
        </w:rPr>
        <w:t> </w:t>
      </w:r>
      <w:r>
        <w:rPr>
          <w:rFonts w:ascii="Times New Roman" w:hAnsi="Times New Roman"/>
          <w:color w:val="231F20"/>
          <w:sz w:val="16"/>
        </w:rPr>
        <w:t>además</w:t>
      </w:r>
      <w:r>
        <w:rPr>
          <w:rFonts w:ascii="Times New Roman" w:hAnsi="Times New Roman"/>
          <w:color w:val="231F20"/>
          <w:spacing w:val="-12"/>
          <w:sz w:val="16"/>
        </w:rPr>
        <w:t> </w:t>
      </w:r>
      <w:r>
        <w:rPr>
          <w:rFonts w:ascii="Times New Roman" w:hAnsi="Times New Roman"/>
          <w:color w:val="231F20"/>
          <w:sz w:val="16"/>
        </w:rPr>
        <w:t>de</w:t>
      </w:r>
      <w:r>
        <w:rPr>
          <w:rFonts w:ascii="Times New Roman" w:hAnsi="Times New Roman"/>
          <w:color w:val="231F20"/>
          <w:spacing w:val="-11"/>
          <w:sz w:val="16"/>
        </w:rPr>
        <w:t> </w:t>
      </w:r>
      <w:r>
        <w:rPr>
          <w:rFonts w:ascii="Times New Roman" w:hAnsi="Times New Roman"/>
          <w:color w:val="231F20"/>
          <w:sz w:val="16"/>
        </w:rPr>
        <w:t>ser</w:t>
      </w:r>
      <w:r>
        <w:rPr>
          <w:rFonts w:ascii="Times New Roman" w:hAnsi="Times New Roman"/>
          <w:color w:val="231F20"/>
          <w:spacing w:val="-12"/>
          <w:sz w:val="16"/>
        </w:rPr>
        <w:t> </w:t>
      </w:r>
      <w:r>
        <w:rPr>
          <w:rFonts w:ascii="Times New Roman" w:hAnsi="Times New Roman"/>
          <w:color w:val="231F20"/>
          <w:sz w:val="16"/>
        </w:rPr>
        <w:t>un</w:t>
      </w:r>
      <w:r>
        <w:rPr>
          <w:rFonts w:ascii="Times New Roman" w:hAnsi="Times New Roman"/>
          <w:color w:val="231F20"/>
          <w:spacing w:val="-12"/>
          <w:sz w:val="16"/>
        </w:rPr>
        <w:t> </w:t>
      </w:r>
      <w:r>
        <w:rPr>
          <w:rFonts w:ascii="Times New Roman" w:hAnsi="Times New Roman"/>
          <w:color w:val="231F20"/>
          <w:sz w:val="16"/>
        </w:rPr>
        <w:t>área</w:t>
      </w:r>
      <w:r>
        <w:rPr>
          <w:rFonts w:ascii="Times New Roman" w:hAnsi="Times New Roman"/>
          <w:color w:val="231F20"/>
          <w:spacing w:val="-11"/>
          <w:sz w:val="16"/>
        </w:rPr>
        <w:t> </w:t>
      </w:r>
      <w:r>
        <w:rPr>
          <w:rFonts w:ascii="Times New Roman" w:hAnsi="Times New Roman"/>
          <w:color w:val="231F20"/>
          <w:sz w:val="16"/>
        </w:rPr>
        <w:t>natural protegida, provee el 30 % del agua de infiltración natural del acuífero de Toluca y 14 % adicional de agua a la Zona Metropolitana del </w:t>
      </w:r>
      <w:r>
        <w:rPr>
          <w:rFonts w:ascii="Times New Roman" w:hAnsi="Times New Roman"/>
          <w:color w:val="231F20"/>
          <w:spacing w:val="-3"/>
          <w:sz w:val="16"/>
        </w:rPr>
        <w:t>Valle </w:t>
      </w:r>
      <w:r>
        <w:rPr>
          <w:rFonts w:ascii="Times New Roman" w:hAnsi="Times New Roman"/>
          <w:color w:val="231F20"/>
          <w:sz w:val="16"/>
        </w:rPr>
        <w:t>de México (SMAEDOMEX 2011). Los excedentes de fungi- cidas aplicados en el cultivo de papa representan un riesgo potencial a la salud pública, no sólo al consumir directamente el tubérculo contaminado por estos compuestos, sino también por la conta- minación difusa que pueda existir en los cuerpos de</w:t>
      </w:r>
      <w:r>
        <w:rPr>
          <w:rFonts w:ascii="Times New Roman" w:hAnsi="Times New Roman"/>
          <w:color w:val="231F20"/>
          <w:spacing w:val="3"/>
          <w:sz w:val="16"/>
        </w:rPr>
        <w:t> </w:t>
      </w:r>
      <w:r>
        <w:rPr>
          <w:rFonts w:ascii="Times New Roman" w:hAnsi="Times New Roman"/>
          <w:color w:val="231F20"/>
          <w:sz w:val="16"/>
        </w:rPr>
        <w:t>agua.</w:t>
      </w:r>
    </w:p>
    <w:p>
      <w:pPr>
        <w:spacing w:line="173" w:lineRule="exact" w:before="0"/>
        <w:ind w:left="2183" w:right="0" w:firstLine="0"/>
        <w:jc w:val="left"/>
        <w:rPr>
          <w:rFonts w:ascii="Times New Roman"/>
          <w:b/>
          <w:sz w:val="16"/>
        </w:rPr>
      </w:pPr>
      <w:r>
        <w:rPr>
          <w:rFonts w:ascii="Times New Roman"/>
          <w:b/>
          <w:color w:val="231F20"/>
          <w:sz w:val="16"/>
        </w:rPr>
        <w:t>CONCLUSIONES</w:t>
      </w:r>
    </w:p>
    <w:p>
      <w:pPr>
        <w:pStyle w:val="BodyText"/>
        <w:rPr>
          <w:rFonts w:ascii="Times New Roman"/>
          <w:b/>
          <w:sz w:val="15"/>
        </w:rPr>
      </w:pPr>
    </w:p>
    <w:p>
      <w:pPr>
        <w:spacing w:line="174" w:lineRule="exact" w:before="0"/>
        <w:ind w:left="1182" w:right="1" w:firstLine="204"/>
        <w:jc w:val="both"/>
        <w:rPr>
          <w:rFonts w:ascii="Times New Roman" w:hAnsi="Times New Roman"/>
          <w:sz w:val="16"/>
        </w:rPr>
      </w:pPr>
      <w:r>
        <w:rPr>
          <w:rFonts w:ascii="Times New Roman" w:hAnsi="Times New Roman"/>
          <w:color w:val="231F20"/>
          <w:sz w:val="16"/>
        </w:rPr>
        <w:t>El</w:t>
      </w:r>
      <w:r>
        <w:rPr>
          <w:rFonts w:ascii="Times New Roman" w:hAnsi="Times New Roman"/>
          <w:color w:val="231F20"/>
          <w:spacing w:val="-5"/>
          <w:sz w:val="16"/>
        </w:rPr>
        <w:t> </w:t>
      </w:r>
      <w:r>
        <w:rPr>
          <w:rFonts w:ascii="Times New Roman" w:hAnsi="Times New Roman"/>
          <w:color w:val="231F20"/>
          <w:sz w:val="16"/>
        </w:rPr>
        <w:t>patrón</w:t>
      </w:r>
      <w:r>
        <w:rPr>
          <w:rFonts w:ascii="Times New Roman" w:hAnsi="Times New Roman"/>
          <w:color w:val="231F20"/>
          <w:spacing w:val="-5"/>
          <w:sz w:val="16"/>
        </w:rPr>
        <w:t> </w:t>
      </w:r>
      <w:r>
        <w:rPr>
          <w:rFonts w:ascii="Times New Roman" w:hAnsi="Times New Roman"/>
          <w:color w:val="231F20"/>
          <w:sz w:val="16"/>
        </w:rPr>
        <w:t>de</w:t>
      </w:r>
      <w:r>
        <w:rPr>
          <w:rFonts w:ascii="Times New Roman" w:hAnsi="Times New Roman"/>
          <w:color w:val="231F20"/>
          <w:spacing w:val="-5"/>
          <w:sz w:val="16"/>
        </w:rPr>
        <w:t> </w:t>
      </w:r>
      <w:r>
        <w:rPr>
          <w:rFonts w:ascii="Times New Roman" w:hAnsi="Times New Roman"/>
          <w:color w:val="231F20"/>
          <w:sz w:val="16"/>
        </w:rPr>
        <w:t>uso</w:t>
      </w:r>
      <w:r>
        <w:rPr>
          <w:rFonts w:ascii="Times New Roman" w:hAnsi="Times New Roman"/>
          <w:color w:val="231F20"/>
          <w:spacing w:val="-5"/>
          <w:sz w:val="16"/>
        </w:rPr>
        <w:t> </w:t>
      </w:r>
      <w:r>
        <w:rPr>
          <w:rFonts w:ascii="Times New Roman" w:hAnsi="Times New Roman"/>
          <w:color w:val="231F20"/>
          <w:sz w:val="16"/>
        </w:rPr>
        <w:t>de</w:t>
      </w:r>
      <w:r>
        <w:rPr>
          <w:rFonts w:ascii="Times New Roman" w:hAnsi="Times New Roman"/>
          <w:color w:val="231F20"/>
          <w:spacing w:val="-5"/>
          <w:sz w:val="16"/>
        </w:rPr>
        <w:t> </w:t>
      </w:r>
      <w:r>
        <w:rPr>
          <w:rFonts w:ascii="Times New Roman" w:hAnsi="Times New Roman"/>
          <w:color w:val="231F20"/>
          <w:sz w:val="16"/>
        </w:rPr>
        <w:t>los</w:t>
      </w:r>
      <w:r>
        <w:rPr>
          <w:rFonts w:ascii="Times New Roman" w:hAnsi="Times New Roman"/>
          <w:color w:val="231F20"/>
          <w:spacing w:val="-5"/>
          <w:sz w:val="16"/>
        </w:rPr>
        <w:t> </w:t>
      </w:r>
      <w:r>
        <w:rPr>
          <w:rFonts w:ascii="Times New Roman" w:hAnsi="Times New Roman"/>
          <w:color w:val="231F20"/>
          <w:sz w:val="16"/>
        </w:rPr>
        <w:t>fungicidas</w:t>
      </w:r>
      <w:r>
        <w:rPr>
          <w:rFonts w:ascii="Times New Roman" w:hAnsi="Times New Roman"/>
          <w:color w:val="231F20"/>
          <w:spacing w:val="-5"/>
          <w:sz w:val="16"/>
        </w:rPr>
        <w:t> </w:t>
      </w:r>
      <w:r>
        <w:rPr>
          <w:rFonts w:ascii="Times New Roman" w:hAnsi="Times New Roman"/>
          <w:color w:val="231F20"/>
          <w:sz w:val="16"/>
        </w:rPr>
        <w:t>para</w:t>
      </w:r>
      <w:r>
        <w:rPr>
          <w:rFonts w:ascii="Times New Roman" w:hAnsi="Times New Roman"/>
          <w:color w:val="231F20"/>
          <w:spacing w:val="-5"/>
          <w:sz w:val="16"/>
        </w:rPr>
        <w:t> </w:t>
      </w:r>
      <w:r>
        <w:rPr>
          <w:rFonts w:ascii="Times New Roman" w:hAnsi="Times New Roman"/>
          <w:color w:val="231F20"/>
          <w:sz w:val="16"/>
        </w:rPr>
        <w:t>controlar </w:t>
      </w:r>
      <w:r>
        <w:rPr>
          <w:rFonts w:ascii="Times New Roman" w:hAnsi="Times New Roman"/>
          <w:i/>
          <w:color w:val="231F20"/>
          <w:sz w:val="16"/>
        </w:rPr>
        <w:t>Phytophthora infestans </w:t>
      </w:r>
      <w:r>
        <w:rPr>
          <w:rFonts w:ascii="Times New Roman" w:hAnsi="Times New Roman"/>
          <w:color w:val="231F20"/>
          <w:sz w:val="16"/>
        </w:rPr>
        <w:t>en papa en el municipio de Zinacantepec es insostenible. Esto debido a que</w:t>
      </w:r>
      <w:r>
        <w:rPr>
          <w:rFonts w:ascii="Times New Roman" w:hAnsi="Times New Roman"/>
          <w:color w:val="231F20"/>
          <w:spacing w:val="-10"/>
          <w:sz w:val="16"/>
        </w:rPr>
        <w:t> </w:t>
      </w:r>
      <w:r>
        <w:rPr>
          <w:rFonts w:ascii="Times New Roman" w:hAnsi="Times New Roman"/>
          <w:color w:val="231F20"/>
          <w:sz w:val="16"/>
        </w:rPr>
        <w:t>los costos de remoción de los excedentes de</w:t>
      </w:r>
      <w:r>
        <w:rPr>
          <w:rFonts w:ascii="Times New Roman" w:hAnsi="Times New Roman"/>
          <w:color w:val="231F20"/>
          <w:spacing w:val="-23"/>
          <w:sz w:val="16"/>
        </w:rPr>
        <w:t> </w:t>
      </w:r>
      <w:r>
        <w:rPr>
          <w:rFonts w:ascii="Times New Roman" w:hAnsi="Times New Roman"/>
          <w:color w:val="231F20"/>
          <w:sz w:val="16"/>
        </w:rPr>
        <w:t>fungicidas aplicados</w:t>
      </w:r>
      <w:r>
        <w:rPr>
          <w:rFonts w:ascii="Times New Roman" w:hAnsi="Times New Roman"/>
          <w:color w:val="231F20"/>
          <w:spacing w:val="-7"/>
          <w:sz w:val="16"/>
        </w:rPr>
        <w:t> </w:t>
      </w:r>
      <w:r>
        <w:rPr>
          <w:rFonts w:ascii="Times New Roman" w:hAnsi="Times New Roman"/>
          <w:color w:val="231F20"/>
          <w:sz w:val="16"/>
        </w:rPr>
        <w:t>rebasan</w:t>
      </w:r>
      <w:r>
        <w:rPr>
          <w:rFonts w:ascii="Times New Roman" w:hAnsi="Times New Roman"/>
          <w:color w:val="231F20"/>
          <w:spacing w:val="-7"/>
          <w:sz w:val="16"/>
        </w:rPr>
        <w:t> </w:t>
      </w:r>
      <w:r>
        <w:rPr>
          <w:rFonts w:ascii="Times New Roman" w:hAnsi="Times New Roman"/>
          <w:color w:val="231F20"/>
          <w:sz w:val="16"/>
        </w:rPr>
        <w:t>las</w:t>
      </w:r>
      <w:r>
        <w:rPr>
          <w:rFonts w:ascii="Times New Roman" w:hAnsi="Times New Roman"/>
          <w:color w:val="231F20"/>
          <w:spacing w:val="-7"/>
          <w:sz w:val="16"/>
        </w:rPr>
        <w:t> </w:t>
      </w:r>
      <w:r>
        <w:rPr>
          <w:rFonts w:ascii="Times New Roman" w:hAnsi="Times New Roman"/>
          <w:color w:val="231F20"/>
          <w:sz w:val="16"/>
        </w:rPr>
        <w:t>ganancias</w:t>
      </w:r>
      <w:r>
        <w:rPr>
          <w:rFonts w:ascii="Times New Roman" w:hAnsi="Times New Roman"/>
          <w:color w:val="231F20"/>
          <w:spacing w:val="-7"/>
          <w:sz w:val="16"/>
        </w:rPr>
        <w:t> </w:t>
      </w:r>
      <w:r>
        <w:rPr>
          <w:rFonts w:ascii="Times New Roman" w:hAnsi="Times New Roman"/>
          <w:color w:val="231F20"/>
          <w:sz w:val="16"/>
        </w:rPr>
        <w:t>que</w:t>
      </w:r>
      <w:r>
        <w:rPr>
          <w:rFonts w:ascii="Times New Roman" w:hAnsi="Times New Roman"/>
          <w:color w:val="231F20"/>
          <w:spacing w:val="-7"/>
          <w:sz w:val="16"/>
        </w:rPr>
        <w:t> </w:t>
      </w:r>
      <w:r>
        <w:rPr>
          <w:rFonts w:ascii="Times New Roman" w:hAnsi="Times New Roman"/>
          <w:color w:val="231F20"/>
          <w:sz w:val="16"/>
        </w:rPr>
        <w:t>se</w:t>
      </w:r>
      <w:r>
        <w:rPr>
          <w:rFonts w:ascii="Times New Roman" w:hAnsi="Times New Roman"/>
          <w:color w:val="231F20"/>
          <w:spacing w:val="-7"/>
          <w:sz w:val="16"/>
        </w:rPr>
        <w:t> </w:t>
      </w:r>
      <w:r>
        <w:rPr>
          <w:rFonts w:ascii="Times New Roman" w:hAnsi="Times New Roman"/>
          <w:color w:val="231F20"/>
          <w:sz w:val="16"/>
        </w:rPr>
        <w:t>obtienen</w:t>
      </w:r>
      <w:r>
        <w:rPr>
          <w:rFonts w:ascii="Times New Roman" w:hAnsi="Times New Roman"/>
          <w:color w:val="231F20"/>
          <w:spacing w:val="-7"/>
          <w:sz w:val="16"/>
        </w:rPr>
        <w:t> </w:t>
      </w:r>
      <w:r>
        <w:rPr>
          <w:rFonts w:ascii="Times New Roman" w:hAnsi="Times New Roman"/>
          <w:color w:val="231F20"/>
          <w:sz w:val="16"/>
        </w:rPr>
        <w:t>du- rante</w:t>
      </w:r>
      <w:r>
        <w:rPr>
          <w:rFonts w:ascii="Times New Roman" w:hAnsi="Times New Roman"/>
          <w:color w:val="231F20"/>
          <w:spacing w:val="-23"/>
          <w:sz w:val="16"/>
        </w:rPr>
        <w:t> </w:t>
      </w:r>
      <w:r>
        <w:rPr>
          <w:rFonts w:ascii="Times New Roman" w:hAnsi="Times New Roman"/>
          <w:color w:val="231F20"/>
          <w:sz w:val="16"/>
        </w:rPr>
        <w:t>el</w:t>
      </w:r>
      <w:r>
        <w:rPr>
          <w:rFonts w:ascii="Times New Roman" w:hAnsi="Times New Roman"/>
          <w:color w:val="231F20"/>
          <w:spacing w:val="-23"/>
          <w:sz w:val="16"/>
        </w:rPr>
        <w:t> </w:t>
      </w:r>
      <w:r>
        <w:rPr>
          <w:rFonts w:ascii="Times New Roman" w:hAnsi="Times New Roman"/>
          <w:color w:val="231F20"/>
          <w:sz w:val="16"/>
        </w:rPr>
        <w:t>tiempo</w:t>
      </w:r>
      <w:r>
        <w:rPr>
          <w:rFonts w:ascii="Times New Roman" w:hAnsi="Times New Roman"/>
          <w:color w:val="231F20"/>
          <w:spacing w:val="-23"/>
          <w:sz w:val="16"/>
        </w:rPr>
        <w:t> </w:t>
      </w:r>
      <w:r>
        <w:rPr>
          <w:rFonts w:ascii="Times New Roman" w:hAnsi="Times New Roman"/>
          <w:color w:val="231F20"/>
          <w:sz w:val="16"/>
        </w:rPr>
        <w:t>de</w:t>
      </w:r>
      <w:r>
        <w:rPr>
          <w:rFonts w:ascii="Times New Roman" w:hAnsi="Times New Roman"/>
          <w:color w:val="231F20"/>
          <w:spacing w:val="-23"/>
          <w:sz w:val="16"/>
        </w:rPr>
        <w:t> </w:t>
      </w:r>
      <w:r>
        <w:rPr>
          <w:rFonts w:ascii="Times New Roman" w:hAnsi="Times New Roman"/>
          <w:color w:val="231F20"/>
          <w:sz w:val="16"/>
        </w:rPr>
        <w:t>vida</w:t>
      </w:r>
      <w:r>
        <w:rPr>
          <w:rFonts w:ascii="Times New Roman" w:hAnsi="Times New Roman"/>
          <w:color w:val="231F20"/>
          <w:spacing w:val="-23"/>
          <w:sz w:val="16"/>
        </w:rPr>
        <w:t> </w:t>
      </w:r>
      <w:r>
        <w:rPr>
          <w:rFonts w:ascii="Times New Roman" w:hAnsi="Times New Roman"/>
          <w:color w:val="231F20"/>
          <w:sz w:val="16"/>
        </w:rPr>
        <w:t>productiva</w:t>
      </w:r>
      <w:r>
        <w:rPr>
          <w:rFonts w:ascii="Times New Roman" w:hAnsi="Times New Roman"/>
          <w:color w:val="231F20"/>
          <w:spacing w:val="-23"/>
          <w:sz w:val="16"/>
        </w:rPr>
        <w:t> </w:t>
      </w:r>
      <w:r>
        <w:rPr>
          <w:rFonts w:ascii="Times New Roman" w:hAnsi="Times New Roman"/>
          <w:color w:val="231F20"/>
          <w:sz w:val="16"/>
        </w:rPr>
        <w:t>de</w:t>
      </w:r>
      <w:r>
        <w:rPr>
          <w:rFonts w:ascii="Times New Roman" w:hAnsi="Times New Roman"/>
          <w:color w:val="231F20"/>
          <w:spacing w:val="-23"/>
          <w:sz w:val="16"/>
        </w:rPr>
        <w:t> </w:t>
      </w:r>
      <w:r>
        <w:rPr>
          <w:rFonts w:ascii="Times New Roman" w:hAnsi="Times New Roman"/>
          <w:color w:val="231F20"/>
          <w:sz w:val="16"/>
        </w:rPr>
        <w:t>los</w:t>
      </w:r>
      <w:r>
        <w:rPr>
          <w:rFonts w:ascii="Times New Roman" w:hAnsi="Times New Roman"/>
          <w:color w:val="231F20"/>
          <w:spacing w:val="-24"/>
          <w:sz w:val="16"/>
        </w:rPr>
        <w:t> </w:t>
      </w:r>
      <w:r>
        <w:rPr>
          <w:rFonts w:ascii="Times New Roman" w:hAnsi="Times New Roman"/>
          <w:color w:val="231F20"/>
          <w:sz w:val="16"/>
        </w:rPr>
        <w:t>sistemas</w:t>
      </w:r>
      <w:r>
        <w:rPr>
          <w:rFonts w:ascii="Times New Roman" w:hAnsi="Times New Roman"/>
          <w:color w:val="231F20"/>
          <w:spacing w:val="-24"/>
          <w:sz w:val="16"/>
        </w:rPr>
        <w:t> </w:t>
      </w:r>
      <w:r>
        <w:rPr>
          <w:rFonts w:ascii="Times New Roman" w:hAnsi="Times New Roman"/>
          <w:color w:val="231F20"/>
          <w:sz w:val="16"/>
        </w:rPr>
        <w:t>que aplican</w:t>
      </w:r>
      <w:r>
        <w:rPr>
          <w:rFonts w:ascii="Times New Roman" w:hAnsi="Times New Roman"/>
          <w:color w:val="231F20"/>
          <w:spacing w:val="-7"/>
          <w:sz w:val="16"/>
        </w:rPr>
        <w:t> </w:t>
      </w:r>
      <w:r>
        <w:rPr>
          <w:rFonts w:ascii="Times New Roman" w:hAnsi="Times New Roman"/>
          <w:color w:val="231F20"/>
          <w:sz w:val="16"/>
        </w:rPr>
        <w:t>dosis</w:t>
      </w:r>
      <w:r>
        <w:rPr>
          <w:rFonts w:ascii="Times New Roman" w:hAnsi="Times New Roman"/>
          <w:color w:val="231F20"/>
          <w:spacing w:val="-7"/>
          <w:sz w:val="16"/>
        </w:rPr>
        <w:t> </w:t>
      </w:r>
      <w:r>
        <w:rPr>
          <w:rFonts w:ascii="Times New Roman" w:hAnsi="Times New Roman"/>
          <w:color w:val="231F20"/>
          <w:sz w:val="16"/>
        </w:rPr>
        <w:t>superiores</w:t>
      </w:r>
      <w:r>
        <w:rPr>
          <w:rFonts w:ascii="Times New Roman" w:hAnsi="Times New Roman"/>
          <w:color w:val="231F20"/>
          <w:spacing w:val="-6"/>
          <w:sz w:val="16"/>
        </w:rPr>
        <w:t> </w:t>
      </w:r>
      <w:r>
        <w:rPr>
          <w:rFonts w:ascii="Times New Roman" w:hAnsi="Times New Roman"/>
          <w:color w:val="231F20"/>
          <w:sz w:val="16"/>
        </w:rPr>
        <w:t>a</w:t>
      </w:r>
      <w:r>
        <w:rPr>
          <w:rFonts w:ascii="Times New Roman" w:hAnsi="Times New Roman"/>
          <w:color w:val="231F20"/>
          <w:spacing w:val="-7"/>
          <w:sz w:val="16"/>
        </w:rPr>
        <w:t> </w:t>
      </w:r>
      <w:r>
        <w:rPr>
          <w:rFonts w:ascii="Times New Roman" w:hAnsi="Times New Roman"/>
          <w:color w:val="231F20"/>
          <w:sz w:val="16"/>
        </w:rPr>
        <w:t>lo</w:t>
      </w:r>
      <w:r>
        <w:rPr>
          <w:rFonts w:ascii="Times New Roman" w:hAnsi="Times New Roman"/>
          <w:color w:val="231F20"/>
          <w:spacing w:val="-7"/>
          <w:sz w:val="16"/>
        </w:rPr>
        <w:t> </w:t>
      </w:r>
      <w:r>
        <w:rPr>
          <w:rFonts w:ascii="Times New Roman" w:hAnsi="Times New Roman"/>
          <w:color w:val="231F20"/>
          <w:sz w:val="16"/>
        </w:rPr>
        <w:t>recomendado.</w:t>
      </w:r>
    </w:p>
    <w:p>
      <w:pPr>
        <w:spacing w:line="174" w:lineRule="exact" w:before="0"/>
        <w:ind w:left="1182" w:right="0" w:firstLine="204"/>
        <w:jc w:val="both"/>
        <w:rPr>
          <w:rFonts w:ascii="Times New Roman" w:hAnsi="Times New Roman"/>
          <w:sz w:val="16"/>
        </w:rPr>
      </w:pPr>
      <w:r>
        <w:rPr>
          <w:rFonts w:ascii="Times New Roman" w:hAnsi="Times New Roman"/>
          <w:color w:val="231F20"/>
          <w:sz w:val="16"/>
        </w:rPr>
        <w:t>El uso de los fungicidas en concentraciones superiores a los límites establecidos sugiere la ne- cesidad de realizar monitoreo de vigilancia en   los</w:t>
      </w:r>
    </w:p>
    <w:p>
      <w:pPr>
        <w:spacing w:line="174" w:lineRule="exact" w:before="89"/>
        <w:ind w:left="367" w:right="1199" w:firstLine="0"/>
        <w:jc w:val="both"/>
        <w:rPr>
          <w:rFonts w:ascii="Times New Roman" w:hAnsi="Times New Roman"/>
          <w:sz w:val="16"/>
        </w:rPr>
      </w:pPr>
      <w:r>
        <w:rPr/>
        <w:br w:type="column"/>
      </w:r>
      <w:r>
        <w:rPr>
          <w:rFonts w:ascii="Times New Roman" w:hAnsi="Times New Roman"/>
          <w:color w:val="231F20"/>
          <w:sz w:val="16"/>
        </w:rPr>
        <w:t>cuerpos de agua. Así como realizar un monitoreo constante</w:t>
      </w:r>
      <w:r>
        <w:rPr>
          <w:rFonts w:ascii="Times New Roman" w:hAnsi="Times New Roman"/>
          <w:color w:val="231F20"/>
          <w:spacing w:val="-14"/>
          <w:sz w:val="16"/>
        </w:rPr>
        <w:t> </w:t>
      </w:r>
      <w:r>
        <w:rPr>
          <w:rFonts w:ascii="Times New Roman" w:hAnsi="Times New Roman"/>
          <w:color w:val="231F20"/>
          <w:sz w:val="16"/>
        </w:rPr>
        <w:t>de</w:t>
      </w:r>
      <w:r>
        <w:rPr>
          <w:rFonts w:ascii="Times New Roman" w:hAnsi="Times New Roman"/>
          <w:color w:val="231F20"/>
          <w:spacing w:val="-13"/>
          <w:sz w:val="16"/>
        </w:rPr>
        <w:t> </w:t>
      </w:r>
      <w:r>
        <w:rPr>
          <w:rFonts w:ascii="Times New Roman" w:hAnsi="Times New Roman"/>
          <w:color w:val="231F20"/>
          <w:sz w:val="16"/>
        </w:rPr>
        <w:t>las</w:t>
      </w:r>
      <w:r>
        <w:rPr>
          <w:rFonts w:ascii="Times New Roman" w:hAnsi="Times New Roman"/>
          <w:color w:val="231F20"/>
          <w:spacing w:val="-13"/>
          <w:sz w:val="16"/>
        </w:rPr>
        <w:t> </w:t>
      </w:r>
      <w:r>
        <w:rPr>
          <w:rFonts w:ascii="Times New Roman" w:hAnsi="Times New Roman"/>
          <w:color w:val="231F20"/>
          <w:sz w:val="16"/>
        </w:rPr>
        <w:t>poblaciones</w:t>
      </w:r>
      <w:r>
        <w:rPr>
          <w:rFonts w:ascii="Times New Roman" w:hAnsi="Times New Roman"/>
          <w:color w:val="231F20"/>
          <w:spacing w:val="-13"/>
          <w:sz w:val="16"/>
        </w:rPr>
        <w:t> </w:t>
      </w:r>
      <w:r>
        <w:rPr>
          <w:rFonts w:ascii="Times New Roman" w:hAnsi="Times New Roman"/>
          <w:color w:val="231F20"/>
          <w:sz w:val="16"/>
        </w:rPr>
        <w:t>de</w:t>
      </w:r>
      <w:r>
        <w:rPr>
          <w:rFonts w:ascii="Times New Roman" w:hAnsi="Times New Roman"/>
          <w:color w:val="231F20"/>
          <w:spacing w:val="-14"/>
          <w:sz w:val="16"/>
        </w:rPr>
        <w:t> </w:t>
      </w:r>
      <w:r>
        <w:rPr>
          <w:rFonts w:ascii="Times New Roman" w:hAnsi="Times New Roman"/>
          <w:i/>
          <w:color w:val="231F20"/>
          <w:sz w:val="16"/>
        </w:rPr>
        <w:t>Phytophthora</w:t>
      </w:r>
      <w:r>
        <w:rPr>
          <w:rFonts w:ascii="Times New Roman" w:hAnsi="Times New Roman"/>
          <w:i/>
          <w:color w:val="231F20"/>
          <w:spacing w:val="-14"/>
          <w:sz w:val="16"/>
        </w:rPr>
        <w:t> </w:t>
      </w:r>
      <w:r>
        <w:rPr>
          <w:rFonts w:ascii="Times New Roman" w:hAnsi="Times New Roman"/>
          <w:i/>
          <w:color w:val="231F20"/>
          <w:sz w:val="16"/>
        </w:rPr>
        <w:t>infes- </w:t>
      </w:r>
      <w:r>
        <w:rPr>
          <w:rFonts w:ascii="Times New Roman" w:hAnsi="Times New Roman"/>
          <w:i/>
          <w:color w:val="231F20"/>
          <w:sz w:val="16"/>
        </w:rPr>
        <w:t>tans </w:t>
      </w:r>
      <w:r>
        <w:rPr>
          <w:rFonts w:ascii="Times New Roman" w:hAnsi="Times New Roman"/>
          <w:color w:val="231F20"/>
          <w:sz w:val="16"/>
        </w:rPr>
        <w:t>con el fin de analizar si se presenta resistencia a los</w:t>
      </w:r>
      <w:r>
        <w:rPr>
          <w:rFonts w:ascii="Times New Roman" w:hAnsi="Times New Roman"/>
          <w:color w:val="231F20"/>
          <w:spacing w:val="26"/>
          <w:sz w:val="16"/>
        </w:rPr>
        <w:t> </w:t>
      </w:r>
      <w:r>
        <w:rPr>
          <w:rFonts w:ascii="Times New Roman" w:hAnsi="Times New Roman"/>
          <w:color w:val="231F20"/>
          <w:sz w:val="16"/>
        </w:rPr>
        <w:t>fungicidas.</w:t>
      </w:r>
    </w:p>
    <w:p>
      <w:pPr>
        <w:pStyle w:val="BodyText"/>
        <w:rPr>
          <w:rFonts w:ascii="Times New Roman"/>
          <w:sz w:val="16"/>
        </w:rPr>
      </w:pPr>
    </w:p>
    <w:p>
      <w:pPr>
        <w:pStyle w:val="BodyText"/>
        <w:spacing w:before="2"/>
        <w:rPr>
          <w:rFonts w:ascii="Times New Roman"/>
          <w:sz w:val="13"/>
        </w:rPr>
      </w:pPr>
    </w:p>
    <w:p>
      <w:pPr>
        <w:spacing w:before="0"/>
        <w:ind w:left="1171" w:right="2004" w:firstLine="0"/>
        <w:jc w:val="center"/>
        <w:rPr>
          <w:rFonts w:ascii="Times New Roman"/>
          <w:b/>
          <w:sz w:val="16"/>
        </w:rPr>
      </w:pPr>
      <w:r>
        <w:rPr>
          <w:rFonts w:ascii="Times New Roman"/>
          <w:b/>
          <w:color w:val="231F20"/>
          <w:sz w:val="16"/>
        </w:rPr>
        <w:t>AGRADECIMIENTOS</w:t>
      </w:r>
    </w:p>
    <w:p>
      <w:pPr>
        <w:pStyle w:val="BodyText"/>
        <w:rPr>
          <w:rFonts w:ascii="Times New Roman"/>
          <w:b/>
          <w:sz w:val="15"/>
        </w:rPr>
      </w:pPr>
    </w:p>
    <w:p>
      <w:pPr>
        <w:spacing w:line="174" w:lineRule="exact" w:before="0"/>
        <w:ind w:left="367" w:right="1198" w:firstLine="204"/>
        <w:jc w:val="both"/>
        <w:rPr>
          <w:rFonts w:ascii="Times New Roman" w:hAnsi="Times New Roman"/>
          <w:sz w:val="16"/>
        </w:rPr>
      </w:pPr>
      <w:r>
        <w:rPr>
          <w:rFonts w:ascii="Times New Roman" w:hAnsi="Times New Roman"/>
          <w:color w:val="231F20"/>
          <w:sz w:val="16"/>
        </w:rPr>
        <w:t>Al Consejo Nacional de Ciencia y Tecnología (CONACyT) por la beca de manutención otorgada a</w:t>
      </w:r>
      <w:r>
        <w:rPr>
          <w:rFonts w:ascii="Times New Roman" w:hAnsi="Times New Roman"/>
          <w:color w:val="231F20"/>
          <w:spacing w:val="-10"/>
          <w:sz w:val="16"/>
        </w:rPr>
        <w:t> </w:t>
      </w:r>
      <w:r>
        <w:rPr>
          <w:rFonts w:ascii="Times New Roman" w:hAnsi="Times New Roman"/>
          <w:color w:val="231F20"/>
          <w:sz w:val="16"/>
        </w:rPr>
        <w:t>López</w:t>
      </w:r>
      <w:r>
        <w:rPr>
          <w:rFonts w:ascii="Times New Roman" w:hAnsi="Times New Roman"/>
          <w:color w:val="231F20"/>
          <w:spacing w:val="-10"/>
          <w:sz w:val="16"/>
        </w:rPr>
        <w:t> </w:t>
      </w:r>
      <w:r>
        <w:rPr>
          <w:rFonts w:ascii="Times New Roman" w:hAnsi="Times New Roman"/>
          <w:color w:val="231F20"/>
          <w:sz w:val="16"/>
        </w:rPr>
        <w:t>Orona</w:t>
      </w:r>
      <w:r>
        <w:rPr>
          <w:rFonts w:ascii="Times New Roman" w:hAnsi="Times New Roman"/>
          <w:color w:val="231F20"/>
          <w:spacing w:val="-10"/>
          <w:sz w:val="16"/>
        </w:rPr>
        <w:t> </w:t>
      </w:r>
      <w:r>
        <w:rPr>
          <w:rFonts w:ascii="Times New Roman" w:hAnsi="Times New Roman"/>
          <w:color w:val="231F20"/>
          <w:sz w:val="16"/>
        </w:rPr>
        <w:t>para</w:t>
      </w:r>
      <w:r>
        <w:rPr>
          <w:rFonts w:ascii="Times New Roman" w:hAnsi="Times New Roman"/>
          <w:color w:val="231F20"/>
          <w:spacing w:val="-10"/>
          <w:sz w:val="16"/>
        </w:rPr>
        <w:t> </w:t>
      </w:r>
      <w:r>
        <w:rPr>
          <w:rFonts w:ascii="Times New Roman" w:hAnsi="Times New Roman"/>
          <w:color w:val="231F20"/>
          <w:sz w:val="16"/>
        </w:rPr>
        <w:t>la</w:t>
      </w:r>
      <w:r>
        <w:rPr>
          <w:rFonts w:ascii="Times New Roman" w:hAnsi="Times New Roman"/>
          <w:color w:val="231F20"/>
          <w:spacing w:val="-10"/>
          <w:sz w:val="16"/>
        </w:rPr>
        <w:t> </w:t>
      </w:r>
      <w:r>
        <w:rPr>
          <w:rFonts w:ascii="Times New Roman" w:hAnsi="Times New Roman"/>
          <w:color w:val="231F20"/>
          <w:sz w:val="16"/>
        </w:rPr>
        <w:t>realización</w:t>
      </w:r>
      <w:r>
        <w:rPr>
          <w:rFonts w:ascii="Times New Roman" w:hAnsi="Times New Roman"/>
          <w:color w:val="231F20"/>
          <w:spacing w:val="-10"/>
          <w:sz w:val="16"/>
        </w:rPr>
        <w:t> </w:t>
      </w:r>
      <w:r>
        <w:rPr>
          <w:rFonts w:ascii="Times New Roman" w:hAnsi="Times New Roman"/>
          <w:color w:val="231F20"/>
          <w:sz w:val="16"/>
        </w:rPr>
        <w:t>de</w:t>
      </w:r>
      <w:r>
        <w:rPr>
          <w:rFonts w:ascii="Times New Roman" w:hAnsi="Times New Roman"/>
          <w:color w:val="231F20"/>
          <w:spacing w:val="-10"/>
          <w:sz w:val="16"/>
        </w:rPr>
        <w:t> </w:t>
      </w:r>
      <w:r>
        <w:rPr>
          <w:rFonts w:ascii="Times New Roman" w:hAnsi="Times New Roman"/>
          <w:color w:val="231F20"/>
          <w:sz w:val="16"/>
        </w:rPr>
        <w:t>sus</w:t>
      </w:r>
      <w:r>
        <w:rPr>
          <w:rFonts w:ascii="Times New Roman" w:hAnsi="Times New Roman"/>
          <w:color w:val="231F20"/>
          <w:spacing w:val="-10"/>
          <w:sz w:val="16"/>
        </w:rPr>
        <w:t> </w:t>
      </w:r>
      <w:r>
        <w:rPr>
          <w:rFonts w:ascii="Times New Roman" w:hAnsi="Times New Roman"/>
          <w:color w:val="231F20"/>
          <w:sz w:val="16"/>
        </w:rPr>
        <w:t>estudios</w:t>
      </w:r>
      <w:r>
        <w:rPr>
          <w:rFonts w:ascii="Times New Roman" w:hAnsi="Times New Roman"/>
          <w:color w:val="231F20"/>
          <w:spacing w:val="-10"/>
          <w:sz w:val="16"/>
        </w:rPr>
        <w:t> </w:t>
      </w:r>
      <w:r>
        <w:rPr>
          <w:rFonts w:ascii="Times New Roman" w:hAnsi="Times New Roman"/>
          <w:color w:val="231F20"/>
          <w:sz w:val="16"/>
        </w:rPr>
        <w:t>de Doctorado.</w:t>
      </w:r>
      <w:r>
        <w:rPr>
          <w:rFonts w:ascii="Times New Roman" w:hAnsi="Times New Roman"/>
          <w:color w:val="231F20"/>
          <w:spacing w:val="-32"/>
          <w:sz w:val="16"/>
        </w:rPr>
        <w:t> </w:t>
      </w:r>
      <w:r>
        <w:rPr>
          <w:rFonts w:ascii="Times New Roman" w:hAnsi="Times New Roman"/>
          <w:color w:val="231F20"/>
          <w:spacing w:val="5"/>
          <w:sz w:val="16"/>
        </w:rPr>
        <w:t>Ala</w:t>
      </w:r>
      <w:r>
        <w:rPr>
          <w:rFonts w:ascii="Times New Roman" w:hAnsi="Times New Roman"/>
          <w:color w:val="231F20"/>
          <w:spacing w:val="-28"/>
          <w:sz w:val="16"/>
        </w:rPr>
        <w:t> </w:t>
      </w:r>
      <w:r>
        <w:rPr>
          <w:rFonts w:ascii="Times New Roman" w:hAnsi="Times New Roman"/>
          <w:color w:val="231F20"/>
          <w:sz w:val="16"/>
        </w:rPr>
        <w:t>Universidad</w:t>
      </w:r>
      <w:r>
        <w:rPr>
          <w:rFonts w:ascii="Times New Roman" w:hAnsi="Times New Roman"/>
          <w:color w:val="231F20"/>
          <w:spacing w:val="-32"/>
          <w:sz w:val="16"/>
        </w:rPr>
        <w:t> </w:t>
      </w:r>
      <w:r>
        <w:rPr>
          <w:rFonts w:ascii="Times New Roman" w:hAnsi="Times New Roman"/>
          <w:color w:val="231F20"/>
          <w:sz w:val="16"/>
        </w:rPr>
        <w:t>Autónoma</w:t>
      </w:r>
      <w:r>
        <w:rPr>
          <w:rFonts w:ascii="Times New Roman" w:hAnsi="Times New Roman"/>
          <w:color w:val="231F20"/>
          <w:spacing w:val="-28"/>
          <w:sz w:val="16"/>
        </w:rPr>
        <w:t> </w:t>
      </w:r>
      <w:r>
        <w:rPr>
          <w:rFonts w:ascii="Times New Roman" w:hAnsi="Times New Roman"/>
          <w:color w:val="231F20"/>
          <w:sz w:val="16"/>
        </w:rPr>
        <w:t>del</w:t>
      </w:r>
      <w:r>
        <w:rPr>
          <w:rFonts w:ascii="Times New Roman" w:hAnsi="Times New Roman"/>
          <w:color w:val="231F20"/>
          <w:spacing w:val="-28"/>
          <w:sz w:val="16"/>
        </w:rPr>
        <w:t> </w:t>
      </w:r>
      <w:r>
        <w:rPr>
          <w:rFonts w:ascii="Times New Roman" w:hAnsi="Times New Roman"/>
          <w:color w:val="231F20"/>
          <w:sz w:val="16"/>
        </w:rPr>
        <w:t>Estado</w:t>
      </w:r>
      <w:r>
        <w:rPr>
          <w:rFonts w:ascii="Times New Roman" w:hAnsi="Times New Roman"/>
          <w:color w:val="231F20"/>
          <w:spacing w:val="-28"/>
          <w:sz w:val="16"/>
        </w:rPr>
        <w:t> </w:t>
      </w:r>
      <w:r>
        <w:rPr>
          <w:rFonts w:ascii="Times New Roman" w:hAnsi="Times New Roman"/>
          <w:color w:val="231F20"/>
          <w:sz w:val="16"/>
        </w:rPr>
        <w:t>de México</w:t>
      </w:r>
      <w:r>
        <w:rPr>
          <w:rFonts w:ascii="Times New Roman" w:hAnsi="Times New Roman"/>
          <w:color w:val="231F20"/>
          <w:spacing w:val="-14"/>
          <w:sz w:val="16"/>
        </w:rPr>
        <w:t> </w:t>
      </w:r>
      <w:r>
        <w:rPr>
          <w:rFonts w:ascii="Times New Roman" w:hAnsi="Times New Roman"/>
          <w:color w:val="231F20"/>
          <w:sz w:val="16"/>
        </w:rPr>
        <w:t>por</w:t>
      </w:r>
      <w:r>
        <w:rPr>
          <w:rFonts w:ascii="Times New Roman" w:hAnsi="Times New Roman"/>
          <w:color w:val="231F20"/>
          <w:spacing w:val="-14"/>
          <w:sz w:val="16"/>
        </w:rPr>
        <w:t> </w:t>
      </w:r>
      <w:r>
        <w:rPr>
          <w:rFonts w:ascii="Times New Roman" w:hAnsi="Times New Roman"/>
          <w:color w:val="231F20"/>
          <w:sz w:val="16"/>
        </w:rPr>
        <w:t>el</w:t>
      </w:r>
      <w:r>
        <w:rPr>
          <w:rFonts w:ascii="Times New Roman" w:hAnsi="Times New Roman"/>
          <w:color w:val="231F20"/>
          <w:spacing w:val="-14"/>
          <w:sz w:val="16"/>
        </w:rPr>
        <w:t> </w:t>
      </w:r>
      <w:r>
        <w:rPr>
          <w:rFonts w:ascii="Times New Roman" w:hAnsi="Times New Roman"/>
          <w:color w:val="231F20"/>
          <w:sz w:val="16"/>
        </w:rPr>
        <w:t>financiamiento</w:t>
      </w:r>
      <w:r>
        <w:rPr>
          <w:rFonts w:ascii="Times New Roman" w:hAnsi="Times New Roman"/>
          <w:color w:val="231F20"/>
          <w:spacing w:val="-14"/>
          <w:sz w:val="16"/>
        </w:rPr>
        <w:t> </w:t>
      </w:r>
      <w:r>
        <w:rPr>
          <w:rFonts w:ascii="Times New Roman" w:hAnsi="Times New Roman"/>
          <w:color w:val="231F20"/>
          <w:sz w:val="16"/>
        </w:rPr>
        <w:t>al</w:t>
      </w:r>
      <w:r>
        <w:rPr>
          <w:rFonts w:ascii="Times New Roman" w:hAnsi="Times New Roman"/>
          <w:color w:val="231F20"/>
          <w:spacing w:val="-14"/>
          <w:sz w:val="16"/>
        </w:rPr>
        <w:t> </w:t>
      </w:r>
      <w:r>
        <w:rPr>
          <w:rFonts w:ascii="Times New Roman" w:hAnsi="Times New Roman"/>
          <w:color w:val="231F20"/>
          <w:sz w:val="16"/>
        </w:rPr>
        <w:t>proyecto</w:t>
      </w:r>
      <w:r>
        <w:rPr>
          <w:rFonts w:ascii="Times New Roman" w:hAnsi="Times New Roman"/>
          <w:color w:val="231F20"/>
          <w:spacing w:val="-14"/>
          <w:sz w:val="16"/>
        </w:rPr>
        <w:t> </w:t>
      </w:r>
      <w:r>
        <w:rPr>
          <w:rFonts w:ascii="Times New Roman" w:hAnsi="Times New Roman"/>
          <w:color w:val="231F20"/>
          <w:sz w:val="16"/>
        </w:rPr>
        <w:t>de</w:t>
      </w:r>
      <w:r>
        <w:rPr>
          <w:rFonts w:ascii="Times New Roman" w:hAnsi="Times New Roman"/>
          <w:color w:val="231F20"/>
          <w:spacing w:val="-14"/>
          <w:sz w:val="16"/>
        </w:rPr>
        <w:t> </w:t>
      </w:r>
      <w:r>
        <w:rPr>
          <w:rFonts w:ascii="Times New Roman" w:hAnsi="Times New Roman"/>
          <w:color w:val="231F20"/>
          <w:sz w:val="16"/>
        </w:rPr>
        <w:t>investi- gación.</w:t>
      </w:r>
      <w:r>
        <w:rPr>
          <w:rFonts w:ascii="Times New Roman" w:hAnsi="Times New Roman"/>
          <w:color w:val="231F20"/>
          <w:spacing w:val="-27"/>
          <w:sz w:val="16"/>
        </w:rPr>
        <w:t> </w:t>
      </w:r>
      <w:r>
        <w:rPr>
          <w:rFonts w:ascii="Times New Roman" w:hAnsi="Times New Roman"/>
          <w:color w:val="231F20"/>
          <w:spacing w:val="6"/>
          <w:sz w:val="16"/>
        </w:rPr>
        <w:t>Ala</w:t>
      </w:r>
      <w:r>
        <w:rPr>
          <w:rFonts w:ascii="Times New Roman" w:hAnsi="Times New Roman"/>
          <w:color w:val="231F20"/>
          <w:spacing w:val="-20"/>
          <w:sz w:val="16"/>
        </w:rPr>
        <w:t> </w:t>
      </w:r>
      <w:r>
        <w:rPr>
          <w:rFonts w:ascii="Times New Roman" w:hAnsi="Times New Roman"/>
          <w:color w:val="231F20"/>
          <w:sz w:val="16"/>
        </w:rPr>
        <w:t>Universidad</w:t>
      </w:r>
      <w:r>
        <w:rPr>
          <w:rFonts w:ascii="Times New Roman" w:hAnsi="Times New Roman"/>
          <w:color w:val="231F20"/>
          <w:spacing w:val="-27"/>
          <w:sz w:val="16"/>
        </w:rPr>
        <w:t> </w:t>
      </w:r>
      <w:r>
        <w:rPr>
          <w:rFonts w:ascii="Times New Roman" w:hAnsi="Times New Roman"/>
          <w:color w:val="231F20"/>
          <w:sz w:val="16"/>
        </w:rPr>
        <w:t>Autónoma</w:t>
      </w:r>
      <w:r>
        <w:rPr>
          <w:rFonts w:ascii="Times New Roman" w:hAnsi="Times New Roman"/>
          <w:color w:val="231F20"/>
          <w:spacing w:val="-20"/>
          <w:sz w:val="16"/>
        </w:rPr>
        <w:t> </w:t>
      </w:r>
      <w:r>
        <w:rPr>
          <w:rFonts w:ascii="Times New Roman" w:hAnsi="Times New Roman"/>
          <w:color w:val="231F20"/>
          <w:sz w:val="16"/>
        </w:rPr>
        <w:t>de</w:t>
      </w:r>
      <w:r>
        <w:rPr>
          <w:rFonts w:ascii="Times New Roman" w:hAnsi="Times New Roman"/>
          <w:color w:val="231F20"/>
          <w:spacing w:val="-20"/>
          <w:sz w:val="16"/>
        </w:rPr>
        <w:t> </w:t>
      </w:r>
      <w:r>
        <w:rPr>
          <w:rFonts w:ascii="Times New Roman" w:hAnsi="Times New Roman"/>
          <w:color w:val="231F20"/>
          <w:sz w:val="16"/>
        </w:rPr>
        <w:t>Sinaloa</w:t>
      </w:r>
      <w:r>
        <w:rPr>
          <w:rFonts w:ascii="Times New Roman" w:hAnsi="Times New Roman"/>
          <w:color w:val="231F20"/>
          <w:spacing w:val="-20"/>
          <w:sz w:val="16"/>
        </w:rPr>
        <w:t> </w:t>
      </w:r>
      <w:r>
        <w:rPr>
          <w:rFonts w:ascii="Times New Roman" w:hAnsi="Times New Roman"/>
          <w:color w:val="231F20"/>
          <w:sz w:val="16"/>
        </w:rPr>
        <w:t>por</w:t>
      </w:r>
      <w:r>
        <w:rPr>
          <w:rFonts w:ascii="Times New Roman" w:hAnsi="Times New Roman"/>
          <w:color w:val="231F20"/>
          <w:spacing w:val="-20"/>
          <w:sz w:val="16"/>
        </w:rPr>
        <w:t> </w:t>
      </w:r>
      <w:r>
        <w:rPr>
          <w:rFonts w:ascii="Times New Roman" w:hAnsi="Times New Roman"/>
          <w:color w:val="231F20"/>
          <w:sz w:val="16"/>
        </w:rPr>
        <w:t>el apoyo</w:t>
      </w:r>
      <w:r>
        <w:rPr>
          <w:rFonts w:ascii="Times New Roman" w:hAnsi="Times New Roman"/>
          <w:color w:val="231F20"/>
          <w:spacing w:val="-19"/>
          <w:sz w:val="16"/>
        </w:rPr>
        <w:t> </w:t>
      </w:r>
      <w:r>
        <w:rPr>
          <w:rFonts w:ascii="Times New Roman" w:hAnsi="Times New Roman"/>
          <w:color w:val="231F20"/>
          <w:sz w:val="16"/>
        </w:rPr>
        <w:t>otorgado</w:t>
      </w:r>
      <w:r>
        <w:rPr>
          <w:rFonts w:ascii="Times New Roman" w:hAnsi="Times New Roman"/>
          <w:color w:val="231F20"/>
          <w:spacing w:val="-19"/>
          <w:sz w:val="16"/>
        </w:rPr>
        <w:t> </w:t>
      </w:r>
      <w:r>
        <w:rPr>
          <w:rFonts w:ascii="Times New Roman" w:hAnsi="Times New Roman"/>
          <w:color w:val="231F20"/>
          <w:sz w:val="16"/>
        </w:rPr>
        <w:t>a</w:t>
      </w:r>
      <w:r>
        <w:rPr>
          <w:rFonts w:ascii="Times New Roman" w:hAnsi="Times New Roman"/>
          <w:color w:val="231F20"/>
          <w:spacing w:val="-19"/>
          <w:sz w:val="16"/>
        </w:rPr>
        <w:t> </w:t>
      </w:r>
      <w:r>
        <w:rPr>
          <w:rFonts w:ascii="Times New Roman" w:hAnsi="Times New Roman"/>
          <w:color w:val="231F20"/>
          <w:sz w:val="16"/>
        </w:rPr>
        <w:t>López</w:t>
      </w:r>
      <w:r>
        <w:rPr>
          <w:rFonts w:ascii="Times New Roman" w:hAnsi="Times New Roman"/>
          <w:color w:val="231F20"/>
          <w:spacing w:val="-19"/>
          <w:sz w:val="16"/>
        </w:rPr>
        <w:t> </w:t>
      </w:r>
      <w:r>
        <w:rPr>
          <w:rFonts w:ascii="Times New Roman" w:hAnsi="Times New Roman"/>
          <w:color w:val="231F20"/>
          <w:sz w:val="16"/>
        </w:rPr>
        <w:t>Orona</w:t>
      </w:r>
      <w:r>
        <w:rPr>
          <w:rFonts w:ascii="Times New Roman" w:hAnsi="Times New Roman"/>
          <w:color w:val="231F20"/>
          <w:spacing w:val="-19"/>
          <w:sz w:val="16"/>
        </w:rPr>
        <w:t> </w:t>
      </w:r>
      <w:r>
        <w:rPr>
          <w:rFonts w:ascii="Times New Roman" w:hAnsi="Times New Roman"/>
          <w:color w:val="231F20"/>
          <w:sz w:val="16"/>
        </w:rPr>
        <w:t>a</w:t>
      </w:r>
      <w:r>
        <w:rPr>
          <w:rFonts w:ascii="Times New Roman" w:hAnsi="Times New Roman"/>
          <w:color w:val="231F20"/>
          <w:spacing w:val="-19"/>
          <w:sz w:val="16"/>
        </w:rPr>
        <w:t> </w:t>
      </w:r>
      <w:r>
        <w:rPr>
          <w:rFonts w:ascii="Times New Roman" w:hAnsi="Times New Roman"/>
          <w:color w:val="231F20"/>
          <w:sz w:val="16"/>
        </w:rPr>
        <w:t>través</w:t>
      </w:r>
      <w:r>
        <w:rPr>
          <w:rFonts w:ascii="Times New Roman" w:hAnsi="Times New Roman"/>
          <w:color w:val="231F20"/>
          <w:spacing w:val="-19"/>
          <w:sz w:val="16"/>
        </w:rPr>
        <w:t> </w:t>
      </w:r>
      <w:r>
        <w:rPr>
          <w:rFonts w:ascii="Times New Roman" w:hAnsi="Times New Roman"/>
          <w:color w:val="231F20"/>
          <w:sz w:val="16"/>
        </w:rPr>
        <w:t>del</w:t>
      </w:r>
      <w:r>
        <w:rPr>
          <w:rFonts w:ascii="Times New Roman" w:hAnsi="Times New Roman"/>
          <w:color w:val="231F20"/>
          <w:spacing w:val="-19"/>
          <w:sz w:val="16"/>
        </w:rPr>
        <w:t> </w:t>
      </w:r>
      <w:r>
        <w:rPr>
          <w:rFonts w:ascii="Times New Roman" w:hAnsi="Times New Roman"/>
          <w:color w:val="231F20"/>
          <w:sz w:val="16"/>
        </w:rPr>
        <w:t>Programa de</w:t>
      </w:r>
      <w:r>
        <w:rPr>
          <w:rFonts w:ascii="Times New Roman" w:hAnsi="Times New Roman"/>
          <w:color w:val="231F20"/>
          <w:spacing w:val="-11"/>
          <w:sz w:val="16"/>
        </w:rPr>
        <w:t> </w:t>
      </w:r>
      <w:r>
        <w:rPr>
          <w:rFonts w:ascii="Times New Roman" w:hAnsi="Times New Roman"/>
          <w:color w:val="231F20"/>
          <w:sz w:val="16"/>
        </w:rPr>
        <w:t>Doctores</w:t>
      </w:r>
      <w:r>
        <w:rPr>
          <w:rFonts w:ascii="Times New Roman" w:hAnsi="Times New Roman"/>
          <w:color w:val="231F20"/>
          <w:spacing w:val="-10"/>
          <w:sz w:val="16"/>
        </w:rPr>
        <w:t> </w:t>
      </w:r>
      <w:r>
        <w:rPr>
          <w:rFonts w:ascii="Times New Roman" w:hAnsi="Times New Roman"/>
          <w:color w:val="231F20"/>
          <w:sz w:val="16"/>
        </w:rPr>
        <w:t>Jóvenes.</w:t>
      </w:r>
      <w:r>
        <w:rPr>
          <w:rFonts w:ascii="Times New Roman" w:hAnsi="Times New Roman"/>
          <w:color w:val="231F20"/>
          <w:spacing w:val="-18"/>
          <w:sz w:val="16"/>
        </w:rPr>
        <w:t> </w:t>
      </w:r>
      <w:r>
        <w:rPr>
          <w:rFonts w:ascii="Times New Roman" w:hAnsi="Times New Roman"/>
          <w:color w:val="231F20"/>
          <w:sz w:val="16"/>
        </w:rPr>
        <w:t>A</w:t>
      </w:r>
      <w:r>
        <w:rPr>
          <w:rFonts w:ascii="Times New Roman" w:hAnsi="Times New Roman"/>
          <w:color w:val="231F20"/>
          <w:spacing w:val="-18"/>
          <w:sz w:val="16"/>
        </w:rPr>
        <w:t> </w:t>
      </w:r>
      <w:r>
        <w:rPr>
          <w:rFonts w:ascii="Times New Roman" w:hAnsi="Times New Roman"/>
          <w:color w:val="231F20"/>
          <w:sz w:val="16"/>
        </w:rPr>
        <w:t>los</w:t>
      </w:r>
      <w:r>
        <w:rPr>
          <w:rFonts w:ascii="Times New Roman" w:hAnsi="Times New Roman"/>
          <w:color w:val="231F20"/>
          <w:spacing w:val="-11"/>
          <w:sz w:val="16"/>
        </w:rPr>
        <w:t> </w:t>
      </w:r>
      <w:r>
        <w:rPr>
          <w:rFonts w:ascii="Times New Roman" w:hAnsi="Times New Roman"/>
          <w:color w:val="231F20"/>
          <w:sz w:val="16"/>
        </w:rPr>
        <w:t>productores</w:t>
      </w:r>
      <w:r>
        <w:rPr>
          <w:rFonts w:ascii="Times New Roman" w:hAnsi="Times New Roman"/>
          <w:color w:val="231F20"/>
          <w:spacing w:val="-11"/>
          <w:sz w:val="16"/>
        </w:rPr>
        <w:t> </w:t>
      </w:r>
      <w:r>
        <w:rPr>
          <w:rFonts w:ascii="Times New Roman" w:hAnsi="Times New Roman"/>
          <w:color w:val="231F20"/>
          <w:sz w:val="16"/>
        </w:rPr>
        <w:t>cooperantes del</w:t>
      </w:r>
      <w:r>
        <w:rPr>
          <w:rFonts w:ascii="Times New Roman" w:hAnsi="Times New Roman"/>
          <w:color w:val="231F20"/>
          <w:spacing w:val="-8"/>
          <w:sz w:val="16"/>
        </w:rPr>
        <w:t> </w:t>
      </w:r>
      <w:r>
        <w:rPr>
          <w:rFonts w:ascii="Times New Roman" w:hAnsi="Times New Roman"/>
          <w:color w:val="231F20"/>
          <w:sz w:val="16"/>
        </w:rPr>
        <w:t>Municipio</w:t>
      </w:r>
      <w:r>
        <w:rPr>
          <w:rFonts w:ascii="Times New Roman" w:hAnsi="Times New Roman"/>
          <w:color w:val="231F20"/>
          <w:spacing w:val="-7"/>
          <w:sz w:val="16"/>
        </w:rPr>
        <w:t> </w:t>
      </w:r>
      <w:r>
        <w:rPr>
          <w:rFonts w:ascii="Times New Roman" w:hAnsi="Times New Roman"/>
          <w:color w:val="231F20"/>
          <w:sz w:val="16"/>
        </w:rPr>
        <w:t>de</w:t>
      </w:r>
      <w:r>
        <w:rPr>
          <w:rFonts w:ascii="Times New Roman" w:hAnsi="Times New Roman"/>
          <w:color w:val="231F20"/>
          <w:spacing w:val="-8"/>
          <w:sz w:val="16"/>
        </w:rPr>
        <w:t> </w:t>
      </w:r>
      <w:r>
        <w:rPr>
          <w:rFonts w:ascii="Times New Roman" w:hAnsi="Times New Roman"/>
          <w:color w:val="231F20"/>
          <w:sz w:val="16"/>
        </w:rPr>
        <w:t>Zinacantepec,</w:t>
      </w:r>
      <w:r>
        <w:rPr>
          <w:rFonts w:ascii="Times New Roman" w:hAnsi="Times New Roman"/>
          <w:color w:val="231F20"/>
          <w:spacing w:val="-8"/>
          <w:sz w:val="16"/>
        </w:rPr>
        <w:t> </w:t>
      </w:r>
      <w:r>
        <w:rPr>
          <w:rFonts w:ascii="Times New Roman" w:hAnsi="Times New Roman"/>
          <w:color w:val="231F20"/>
          <w:sz w:val="16"/>
        </w:rPr>
        <w:t>Estado</w:t>
      </w:r>
      <w:r>
        <w:rPr>
          <w:rFonts w:ascii="Times New Roman" w:hAnsi="Times New Roman"/>
          <w:color w:val="231F20"/>
          <w:spacing w:val="-8"/>
          <w:sz w:val="16"/>
        </w:rPr>
        <w:t> </w:t>
      </w:r>
      <w:r>
        <w:rPr>
          <w:rFonts w:ascii="Times New Roman" w:hAnsi="Times New Roman"/>
          <w:color w:val="231F20"/>
          <w:sz w:val="16"/>
        </w:rPr>
        <w:t>de</w:t>
      </w:r>
      <w:r>
        <w:rPr>
          <w:rFonts w:ascii="Times New Roman" w:hAnsi="Times New Roman"/>
          <w:color w:val="231F20"/>
          <w:spacing w:val="-8"/>
          <w:sz w:val="16"/>
        </w:rPr>
        <w:t> </w:t>
      </w:r>
      <w:r>
        <w:rPr>
          <w:rFonts w:ascii="Times New Roman" w:hAnsi="Times New Roman"/>
          <w:color w:val="231F20"/>
          <w:sz w:val="16"/>
        </w:rPr>
        <w:t>México.</w:t>
      </w:r>
    </w:p>
    <w:p>
      <w:pPr>
        <w:pStyle w:val="BodyText"/>
        <w:rPr>
          <w:rFonts w:ascii="Times New Roman"/>
          <w:sz w:val="16"/>
        </w:rPr>
      </w:pPr>
    </w:p>
    <w:p>
      <w:pPr>
        <w:pStyle w:val="BodyText"/>
        <w:spacing w:before="2"/>
        <w:rPr>
          <w:rFonts w:ascii="Times New Roman"/>
          <w:sz w:val="13"/>
        </w:rPr>
      </w:pPr>
    </w:p>
    <w:p>
      <w:pPr>
        <w:spacing w:before="0"/>
        <w:ind w:left="1171" w:right="2004" w:firstLine="0"/>
        <w:jc w:val="center"/>
        <w:rPr>
          <w:rFonts w:ascii="Times New Roman"/>
          <w:b/>
          <w:sz w:val="16"/>
        </w:rPr>
      </w:pPr>
      <w:r>
        <w:rPr>
          <w:rFonts w:ascii="Times New Roman"/>
          <w:b/>
          <w:color w:val="231F20"/>
          <w:sz w:val="16"/>
        </w:rPr>
        <w:t>REFERENCIAS</w:t>
      </w:r>
    </w:p>
    <w:p>
      <w:pPr>
        <w:pStyle w:val="BodyText"/>
        <w:spacing w:before="8"/>
        <w:rPr>
          <w:rFonts w:ascii="Times New Roman"/>
          <w:b/>
          <w:sz w:val="15"/>
        </w:rPr>
      </w:pPr>
    </w:p>
    <w:p>
      <w:pPr>
        <w:spacing w:line="259" w:lineRule="auto" w:before="0"/>
        <w:ind w:left="571" w:right="1199" w:hanging="205"/>
        <w:jc w:val="both"/>
        <w:rPr>
          <w:rFonts w:ascii="Times New Roman" w:hAnsi="Times New Roman"/>
          <w:sz w:val="14"/>
        </w:rPr>
      </w:pPr>
      <w:r>
        <w:rPr>
          <w:rFonts w:ascii="Times New Roman" w:hAnsi="Times New Roman"/>
          <w:color w:val="231F20"/>
          <w:spacing w:val="2"/>
          <w:w w:val="105"/>
          <w:sz w:val="14"/>
        </w:rPr>
        <w:t>Briones </w:t>
      </w:r>
      <w:r>
        <w:rPr>
          <w:rFonts w:ascii="Times New Roman" w:hAnsi="Times New Roman"/>
          <w:color w:val="231F20"/>
          <w:w w:val="105"/>
          <w:sz w:val="14"/>
        </w:rPr>
        <w:t>G. </w:t>
      </w:r>
      <w:r>
        <w:rPr>
          <w:rFonts w:ascii="Times New Roman" w:hAnsi="Times New Roman"/>
          <w:color w:val="231F20"/>
          <w:spacing w:val="2"/>
          <w:w w:val="105"/>
          <w:sz w:val="14"/>
        </w:rPr>
        <w:t>(1996). Metodología </w:t>
      </w:r>
      <w:r>
        <w:rPr>
          <w:rFonts w:ascii="Times New Roman" w:hAnsi="Times New Roman"/>
          <w:color w:val="231F20"/>
          <w:w w:val="105"/>
          <w:sz w:val="14"/>
        </w:rPr>
        <w:t>de la </w:t>
      </w:r>
      <w:r>
        <w:rPr>
          <w:rFonts w:ascii="Times New Roman" w:hAnsi="Times New Roman"/>
          <w:color w:val="231F20"/>
          <w:spacing w:val="2"/>
          <w:w w:val="105"/>
          <w:sz w:val="14"/>
        </w:rPr>
        <w:t>investigación </w:t>
      </w:r>
      <w:r>
        <w:rPr>
          <w:rFonts w:ascii="Times New Roman" w:hAnsi="Times New Roman"/>
          <w:color w:val="231F20"/>
          <w:w w:val="105"/>
          <w:sz w:val="14"/>
        </w:rPr>
        <w:t>cuantitativa en las ciencias sociales</w:t>
      </w:r>
      <w:r>
        <w:rPr>
          <w:rFonts w:ascii="Times New Roman" w:hAnsi="Times New Roman"/>
          <w:i/>
          <w:color w:val="231F20"/>
          <w:w w:val="105"/>
          <w:sz w:val="14"/>
        </w:rPr>
        <w:t>. </w:t>
      </w:r>
      <w:r>
        <w:rPr>
          <w:rFonts w:ascii="Times New Roman" w:hAnsi="Times New Roman"/>
          <w:color w:val="231F20"/>
          <w:w w:val="105"/>
          <w:sz w:val="14"/>
        </w:rPr>
        <w:t>ICFES.</w:t>
      </w:r>
      <w:r>
        <w:rPr>
          <w:rFonts w:ascii="Times New Roman" w:hAnsi="Times New Roman"/>
          <w:color w:val="231F20"/>
          <w:spacing w:val="-23"/>
          <w:w w:val="105"/>
          <w:sz w:val="14"/>
        </w:rPr>
        <w:t> </w:t>
      </w:r>
      <w:r>
        <w:rPr>
          <w:rFonts w:ascii="Times New Roman" w:hAnsi="Times New Roman"/>
          <w:color w:val="231F20"/>
          <w:w w:val="105"/>
          <w:sz w:val="14"/>
        </w:rPr>
        <w:t>Bogotá, Colombia. 217</w:t>
      </w:r>
      <w:r>
        <w:rPr>
          <w:rFonts w:ascii="Times New Roman" w:hAnsi="Times New Roman"/>
          <w:color w:val="231F20"/>
          <w:spacing w:val="-20"/>
          <w:w w:val="105"/>
          <w:sz w:val="14"/>
        </w:rPr>
        <w:t> </w:t>
      </w:r>
      <w:r>
        <w:rPr>
          <w:rFonts w:ascii="Times New Roman" w:hAnsi="Times New Roman"/>
          <w:color w:val="231F20"/>
          <w:w w:val="105"/>
          <w:sz w:val="14"/>
        </w:rPr>
        <w:t>pp.</w:t>
      </w:r>
    </w:p>
    <w:p>
      <w:pPr>
        <w:spacing w:line="259" w:lineRule="auto" w:before="0"/>
        <w:ind w:left="571" w:right="1199" w:hanging="205"/>
        <w:jc w:val="both"/>
        <w:rPr>
          <w:rFonts w:ascii="Times New Roman" w:hAnsi="Times New Roman"/>
          <w:sz w:val="14"/>
        </w:rPr>
      </w:pPr>
      <w:r>
        <w:rPr>
          <w:rFonts w:ascii="Times New Roman" w:hAnsi="Times New Roman"/>
          <w:color w:val="231F20"/>
          <w:w w:val="105"/>
          <w:sz w:val="14"/>
        </w:rPr>
        <w:t>CICOPLAFEST</w:t>
      </w:r>
      <w:r>
        <w:rPr>
          <w:rFonts w:ascii="Times New Roman" w:hAnsi="Times New Roman"/>
          <w:color w:val="231F20"/>
          <w:spacing w:val="-15"/>
          <w:w w:val="105"/>
          <w:sz w:val="14"/>
        </w:rPr>
        <w:t> </w:t>
      </w:r>
      <w:r>
        <w:rPr>
          <w:rFonts w:ascii="Times New Roman" w:hAnsi="Times New Roman"/>
          <w:color w:val="231F20"/>
          <w:w w:val="105"/>
          <w:sz w:val="14"/>
        </w:rPr>
        <w:t>(2004).</w:t>
      </w:r>
      <w:r>
        <w:rPr>
          <w:rFonts w:ascii="Times New Roman" w:hAnsi="Times New Roman"/>
          <w:color w:val="231F20"/>
          <w:spacing w:val="-13"/>
          <w:w w:val="105"/>
          <w:sz w:val="14"/>
        </w:rPr>
        <w:t> </w:t>
      </w:r>
      <w:r>
        <w:rPr>
          <w:rFonts w:ascii="Times New Roman" w:hAnsi="Times New Roman"/>
          <w:color w:val="231F20"/>
          <w:w w:val="105"/>
          <w:sz w:val="14"/>
        </w:rPr>
        <w:t>Catálogo</w:t>
      </w:r>
      <w:r>
        <w:rPr>
          <w:rFonts w:ascii="Times New Roman" w:hAnsi="Times New Roman"/>
          <w:color w:val="231F20"/>
          <w:spacing w:val="-13"/>
          <w:w w:val="105"/>
          <w:sz w:val="14"/>
        </w:rPr>
        <w:t> </w:t>
      </w:r>
      <w:r>
        <w:rPr>
          <w:rFonts w:ascii="Times New Roman" w:hAnsi="Times New Roman"/>
          <w:color w:val="231F20"/>
          <w:w w:val="105"/>
          <w:sz w:val="14"/>
        </w:rPr>
        <w:t>oficial</w:t>
      </w:r>
      <w:r>
        <w:rPr>
          <w:rFonts w:ascii="Times New Roman" w:hAnsi="Times New Roman"/>
          <w:color w:val="231F20"/>
          <w:spacing w:val="-13"/>
          <w:w w:val="105"/>
          <w:sz w:val="14"/>
        </w:rPr>
        <w:t> </w:t>
      </w:r>
      <w:r>
        <w:rPr>
          <w:rFonts w:ascii="Times New Roman" w:hAnsi="Times New Roman"/>
          <w:color w:val="231F20"/>
          <w:w w:val="105"/>
          <w:sz w:val="14"/>
        </w:rPr>
        <w:t>de</w:t>
      </w:r>
      <w:r>
        <w:rPr>
          <w:rFonts w:ascii="Times New Roman" w:hAnsi="Times New Roman"/>
          <w:color w:val="231F20"/>
          <w:spacing w:val="-13"/>
          <w:w w:val="105"/>
          <w:sz w:val="14"/>
        </w:rPr>
        <w:t> </w:t>
      </w:r>
      <w:r>
        <w:rPr>
          <w:rFonts w:ascii="Times New Roman" w:hAnsi="Times New Roman"/>
          <w:color w:val="231F20"/>
          <w:w w:val="105"/>
          <w:sz w:val="14"/>
        </w:rPr>
        <w:t>plaguicidas. Comisión</w:t>
      </w:r>
      <w:r>
        <w:rPr>
          <w:rFonts w:ascii="Times New Roman" w:hAnsi="Times New Roman"/>
          <w:color w:val="231F20"/>
          <w:spacing w:val="-25"/>
          <w:w w:val="105"/>
          <w:sz w:val="14"/>
        </w:rPr>
        <w:t> </w:t>
      </w:r>
      <w:r>
        <w:rPr>
          <w:rFonts w:ascii="Times New Roman" w:hAnsi="Times New Roman"/>
          <w:color w:val="231F20"/>
          <w:w w:val="105"/>
          <w:sz w:val="14"/>
        </w:rPr>
        <w:t>Intersecretarial</w:t>
      </w:r>
      <w:r>
        <w:rPr>
          <w:rFonts w:ascii="Times New Roman" w:hAnsi="Times New Roman"/>
          <w:color w:val="231F20"/>
          <w:spacing w:val="-25"/>
          <w:w w:val="105"/>
          <w:sz w:val="14"/>
        </w:rPr>
        <w:t> </w:t>
      </w:r>
      <w:r>
        <w:rPr>
          <w:rFonts w:ascii="Times New Roman" w:hAnsi="Times New Roman"/>
          <w:color w:val="231F20"/>
          <w:w w:val="105"/>
          <w:sz w:val="14"/>
        </w:rPr>
        <w:t>para</w:t>
      </w:r>
      <w:r>
        <w:rPr>
          <w:rFonts w:ascii="Times New Roman" w:hAnsi="Times New Roman"/>
          <w:color w:val="231F20"/>
          <w:spacing w:val="-25"/>
          <w:w w:val="105"/>
          <w:sz w:val="14"/>
        </w:rPr>
        <w:t> </w:t>
      </w:r>
      <w:r>
        <w:rPr>
          <w:rFonts w:ascii="Times New Roman" w:hAnsi="Times New Roman"/>
          <w:color w:val="231F20"/>
          <w:w w:val="105"/>
          <w:sz w:val="14"/>
        </w:rPr>
        <w:t>el</w:t>
      </w:r>
      <w:r>
        <w:rPr>
          <w:rFonts w:ascii="Times New Roman" w:hAnsi="Times New Roman"/>
          <w:color w:val="231F20"/>
          <w:spacing w:val="-25"/>
          <w:w w:val="105"/>
          <w:sz w:val="14"/>
        </w:rPr>
        <w:t> </w:t>
      </w:r>
      <w:r>
        <w:rPr>
          <w:rFonts w:ascii="Times New Roman" w:hAnsi="Times New Roman"/>
          <w:color w:val="231F20"/>
          <w:w w:val="105"/>
          <w:sz w:val="14"/>
        </w:rPr>
        <w:t>Control</w:t>
      </w:r>
      <w:r>
        <w:rPr>
          <w:rFonts w:ascii="Times New Roman" w:hAnsi="Times New Roman"/>
          <w:color w:val="231F20"/>
          <w:spacing w:val="-25"/>
          <w:w w:val="105"/>
          <w:sz w:val="14"/>
        </w:rPr>
        <w:t> </w:t>
      </w:r>
      <w:r>
        <w:rPr>
          <w:rFonts w:ascii="Times New Roman" w:hAnsi="Times New Roman"/>
          <w:color w:val="231F20"/>
          <w:w w:val="105"/>
          <w:sz w:val="14"/>
        </w:rPr>
        <w:t>del</w:t>
      </w:r>
      <w:r>
        <w:rPr>
          <w:rFonts w:ascii="Times New Roman" w:hAnsi="Times New Roman"/>
          <w:color w:val="231F20"/>
          <w:spacing w:val="-25"/>
          <w:w w:val="105"/>
          <w:sz w:val="14"/>
        </w:rPr>
        <w:t> </w:t>
      </w:r>
      <w:r>
        <w:rPr>
          <w:rFonts w:ascii="Times New Roman" w:hAnsi="Times New Roman"/>
          <w:color w:val="231F20"/>
          <w:w w:val="105"/>
          <w:sz w:val="14"/>
        </w:rPr>
        <w:t>Proceso</w:t>
      </w:r>
      <w:r>
        <w:rPr>
          <w:rFonts w:ascii="Times New Roman" w:hAnsi="Times New Roman"/>
          <w:color w:val="231F20"/>
          <w:spacing w:val="-25"/>
          <w:w w:val="105"/>
          <w:sz w:val="14"/>
        </w:rPr>
        <w:t> </w:t>
      </w:r>
      <w:r>
        <w:rPr>
          <w:rFonts w:ascii="Times New Roman" w:hAnsi="Times New Roman"/>
          <w:color w:val="231F20"/>
          <w:w w:val="105"/>
          <w:sz w:val="14"/>
        </w:rPr>
        <w:t>y Uso</w:t>
      </w:r>
      <w:r>
        <w:rPr>
          <w:rFonts w:ascii="Times New Roman" w:hAnsi="Times New Roman"/>
          <w:color w:val="231F20"/>
          <w:spacing w:val="-28"/>
          <w:w w:val="105"/>
          <w:sz w:val="14"/>
        </w:rPr>
        <w:t> </w:t>
      </w:r>
      <w:r>
        <w:rPr>
          <w:rFonts w:ascii="Times New Roman" w:hAnsi="Times New Roman"/>
          <w:color w:val="231F20"/>
          <w:w w:val="105"/>
          <w:sz w:val="14"/>
        </w:rPr>
        <w:t>de</w:t>
      </w:r>
      <w:r>
        <w:rPr>
          <w:rFonts w:ascii="Times New Roman" w:hAnsi="Times New Roman"/>
          <w:color w:val="231F20"/>
          <w:spacing w:val="-28"/>
          <w:w w:val="105"/>
          <w:sz w:val="14"/>
        </w:rPr>
        <w:t> </w:t>
      </w:r>
      <w:r>
        <w:rPr>
          <w:rFonts w:ascii="Times New Roman" w:hAnsi="Times New Roman"/>
          <w:color w:val="231F20"/>
          <w:w w:val="105"/>
          <w:sz w:val="14"/>
        </w:rPr>
        <w:t>Plaguicidas,</w:t>
      </w:r>
      <w:r>
        <w:rPr>
          <w:rFonts w:ascii="Times New Roman" w:hAnsi="Times New Roman"/>
          <w:color w:val="231F20"/>
          <w:spacing w:val="-28"/>
          <w:w w:val="105"/>
          <w:sz w:val="14"/>
        </w:rPr>
        <w:t> </w:t>
      </w:r>
      <w:r>
        <w:rPr>
          <w:rFonts w:ascii="Times New Roman" w:hAnsi="Times New Roman"/>
          <w:color w:val="231F20"/>
          <w:w w:val="105"/>
          <w:sz w:val="14"/>
        </w:rPr>
        <w:t>Fertilizantes</w:t>
      </w:r>
      <w:r>
        <w:rPr>
          <w:rFonts w:ascii="Times New Roman" w:hAnsi="Times New Roman"/>
          <w:color w:val="231F20"/>
          <w:spacing w:val="-28"/>
          <w:w w:val="105"/>
          <w:sz w:val="14"/>
        </w:rPr>
        <w:t> </w:t>
      </w:r>
      <w:r>
        <w:rPr>
          <w:rFonts w:ascii="Times New Roman" w:hAnsi="Times New Roman"/>
          <w:color w:val="231F20"/>
          <w:w w:val="105"/>
          <w:sz w:val="14"/>
        </w:rPr>
        <w:t>y</w:t>
      </w:r>
      <w:r>
        <w:rPr>
          <w:rFonts w:ascii="Times New Roman" w:hAnsi="Times New Roman"/>
          <w:color w:val="231F20"/>
          <w:spacing w:val="-28"/>
          <w:w w:val="105"/>
          <w:sz w:val="14"/>
        </w:rPr>
        <w:t> </w:t>
      </w:r>
      <w:r>
        <w:rPr>
          <w:rFonts w:ascii="Times New Roman" w:hAnsi="Times New Roman"/>
          <w:color w:val="231F20"/>
          <w:w w:val="105"/>
          <w:sz w:val="14"/>
        </w:rPr>
        <w:t>Sustancias</w:t>
      </w:r>
      <w:r>
        <w:rPr>
          <w:rFonts w:ascii="Times New Roman" w:hAnsi="Times New Roman"/>
          <w:color w:val="231F20"/>
          <w:spacing w:val="-29"/>
          <w:w w:val="105"/>
          <w:sz w:val="14"/>
        </w:rPr>
        <w:t> </w:t>
      </w:r>
      <w:r>
        <w:rPr>
          <w:rFonts w:ascii="Times New Roman" w:hAnsi="Times New Roman"/>
          <w:color w:val="231F20"/>
          <w:w w:val="105"/>
          <w:sz w:val="14"/>
        </w:rPr>
        <w:t>Tóxicas. México </w:t>
      </w:r>
      <w:r>
        <w:rPr>
          <w:rFonts w:ascii="Times New Roman" w:hAnsi="Times New Roman"/>
          <w:color w:val="231F20"/>
          <w:spacing w:val="-4"/>
          <w:w w:val="105"/>
          <w:sz w:val="14"/>
        </w:rPr>
        <w:t>D.F. </w:t>
      </w:r>
      <w:r>
        <w:rPr>
          <w:rFonts w:ascii="Times New Roman" w:hAnsi="Times New Roman"/>
          <w:color w:val="231F20"/>
          <w:w w:val="105"/>
          <w:sz w:val="14"/>
        </w:rPr>
        <w:t>483</w:t>
      </w:r>
      <w:r>
        <w:rPr>
          <w:rFonts w:ascii="Times New Roman" w:hAnsi="Times New Roman"/>
          <w:color w:val="231F20"/>
          <w:spacing w:val="-21"/>
          <w:w w:val="105"/>
          <w:sz w:val="14"/>
        </w:rPr>
        <w:t> </w:t>
      </w:r>
      <w:r>
        <w:rPr>
          <w:rFonts w:ascii="Times New Roman" w:hAnsi="Times New Roman"/>
          <w:color w:val="231F20"/>
          <w:w w:val="105"/>
          <w:sz w:val="14"/>
        </w:rPr>
        <w:t>pp.</w:t>
      </w:r>
    </w:p>
    <w:p>
      <w:pPr>
        <w:spacing w:line="259" w:lineRule="auto" w:before="0"/>
        <w:ind w:left="571" w:right="1200" w:hanging="205"/>
        <w:jc w:val="both"/>
        <w:rPr>
          <w:rFonts w:ascii="Times New Roman" w:hAnsi="Times New Roman"/>
          <w:sz w:val="14"/>
        </w:rPr>
      </w:pPr>
      <w:r>
        <w:rPr>
          <w:rFonts w:ascii="Times New Roman" w:hAnsi="Times New Roman"/>
          <w:color w:val="231F20"/>
          <w:w w:val="105"/>
          <w:sz w:val="14"/>
        </w:rPr>
        <w:t>FRAC</w:t>
      </w:r>
      <w:r>
        <w:rPr>
          <w:rFonts w:ascii="Times New Roman" w:hAnsi="Times New Roman"/>
          <w:color w:val="231F20"/>
          <w:spacing w:val="-26"/>
          <w:w w:val="105"/>
          <w:sz w:val="14"/>
        </w:rPr>
        <w:t> </w:t>
      </w:r>
      <w:r>
        <w:rPr>
          <w:rFonts w:ascii="Times New Roman" w:hAnsi="Times New Roman"/>
          <w:color w:val="231F20"/>
          <w:w w:val="105"/>
          <w:sz w:val="14"/>
        </w:rPr>
        <w:t>(2011).</w:t>
      </w:r>
      <w:r>
        <w:rPr>
          <w:rFonts w:ascii="Times New Roman" w:hAnsi="Times New Roman"/>
          <w:color w:val="231F20"/>
          <w:spacing w:val="-26"/>
          <w:w w:val="105"/>
          <w:sz w:val="14"/>
        </w:rPr>
        <w:t> </w:t>
      </w:r>
      <w:r>
        <w:rPr>
          <w:rFonts w:ascii="Times New Roman" w:hAnsi="Times New Roman"/>
          <w:color w:val="231F20"/>
          <w:w w:val="105"/>
          <w:sz w:val="14"/>
        </w:rPr>
        <w:t>Recomendaciones</w:t>
      </w:r>
      <w:r>
        <w:rPr>
          <w:rFonts w:ascii="Times New Roman" w:hAnsi="Times New Roman"/>
          <w:color w:val="231F20"/>
          <w:spacing w:val="-26"/>
          <w:w w:val="105"/>
          <w:sz w:val="14"/>
        </w:rPr>
        <w:t> </w:t>
      </w:r>
      <w:r>
        <w:rPr>
          <w:rFonts w:ascii="Times New Roman" w:hAnsi="Times New Roman"/>
          <w:color w:val="231F20"/>
          <w:w w:val="105"/>
          <w:sz w:val="14"/>
        </w:rPr>
        <w:t>de</w:t>
      </w:r>
      <w:r>
        <w:rPr>
          <w:rFonts w:ascii="Times New Roman" w:hAnsi="Times New Roman"/>
          <w:color w:val="231F20"/>
          <w:spacing w:val="-26"/>
          <w:w w:val="105"/>
          <w:sz w:val="14"/>
        </w:rPr>
        <w:t> </w:t>
      </w:r>
      <w:r>
        <w:rPr>
          <w:rFonts w:ascii="Times New Roman" w:hAnsi="Times New Roman"/>
          <w:color w:val="231F20"/>
          <w:w w:val="105"/>
          <w:sz w:val="14"/>
        </w:rPr>
        <w:t>uso</w:t>
      </w:r>
      <w:r>
        <w:rPr>
          <w:rFonts w:ascii="Times New Roman" w:hAnsi="Times New Roman"/>
          <w:color w:val="231F20"/>
          <w:spacing w:val="-26"/>
          <w:w w:val="105"/>
          <w:sz w:val="14"/>
        </w:rPr>
        <w:t> </w:t>
      </w:r>
      <w:r>
        <w:rPr>
          <w:rFonts w:ascii="Times New Roman" w:hAnsi="Times New Roman"/>
          <w:color w:val="231F20"/>
          <w:w w:val="105"/>
          <w:sz w:val="14"/>
        </w:rPr>
        <w:t>de</w:t>
      </w:r>
      <w:r>
        <w:rPr>
          <w:rFonts w:ascii="Times New Roman" w:hAnsi="Times New Roman"/>
          <w:color w:val="231F20"/>
          <w:spacing w:val="-26"/>
          <w:w w:val="105"/>
          <w:sz w:val="14"/>
        </w:rPr>
        <w:t> </w:t>
      </w:r>
      <w:r>
        <w:rPr>
          <w:rFonts w:ascii="Times New Roman" w:hAnsi="Times New Roman"/>
          <w:color w:val="231F20"/>
          <w:w w:val="105"/>
          <w:sz w:val="14"/>
        </w:rPr>
        <w:t>los</w:t>
      </w:r>
      <w:r>
        <w:rPr>
          <w:rFonts w:ascii="Times New Roman" w:hAnsi="Times New Roman"/>
          <w:color w:val="231F20"/>
          <w:spacing w:val="-26"/>
          <w:w w:val="105"/>
          <w:sz w:val="14"/>
        </w:rPr>
        <w:t> </w:t>
      </w:r>
      <w:r>
        <w:rPr>
          <w:rFonts w:ascii="Times New Roman" w:hAnsi="Times New Roman"/>
          <w:color w:val="231F20"/>
          <w:w w:val="105"/>
          <w:sz w:val="14"/>
        </w:rPr>
        <w:t>fungicidas: Expert</w:t>
      </w:r>
      <w:r>
        <w:rPr>
          <w:rFonts w:ascii="Times New Roman" w:hAnsi="Times New Roman"/>
          <w:color w:val="231F20"/>
          <w:spacing w:val="-18"/>
          <w:w w:val="105"/>
          <w:sz w:val="14"/>
        </w:rPr>
        <w:t> </w:t>
      </w:r>
      <w:r>
        <w:rPr>
          <w:rFonts w:ascii="Times New Roman" w:hAnsi="Times New Roman"/>
          <w:color w:val="231F20"/>
          <w:w w:val="105"/>
          <w:sz w:val="14"/>
        </w:rPr>
        <w:t>Fora</w:t>
      </w:r>
      <w:r>
        <w:rPr>
          <w:rFonts w:ascii="Times New Roman" w:hAnsi="Times New Roman"/>
          <w:color w:val="231F20"/>
          <w:spacing w:val="-18"/>
          <w:w w:val="105"/>
          <w:sz w:val="14"/>
        </w:rPr>
        <w:t> </w:t>
      </w:r>
      <w:r>
        <w:rPr>
          <w:rFonts w:ascii="Times New Roman" w:hAnsi="Times New Roman"/>
          <w:color w:val="231F20"/>
          <w:w w:val="105"/>
          <w:sz w:val="14"/>
        </w:rPr>
        <w:t>Phenylamides.</w:t>
      </w:r>
      <w:r>
        <w:rPr>
          <w:rFonts w:ascii="Times New Roman" w:hAnsi="Times New Roman"/>
          <w:color w:val="231F20"/>
          <w:spacing w:val="-17"/>
          <w:w w:val="105"/>
          <w:sz w:val="14"/>
        </w:rPr>
        <w:t> </w:t>
      </w:r>
      <w:r>
        <w:rPr>
          <w:rFonts w:ascii="Times New Roman" w:hAnsi="Times New Roman"/>
          <w:color w:val="231F20"/>
          <w:w w:val="105"/>
          <w:sz w:val="14"/>
        </w:rPr>
        <w:t>Fungicide</w:t>
      </w:r>
      <w:r>
        <w:rPr>
          <w:rFonts w:ascii="Times New Roman" w:hAnsi="Times New Roman"/>
          <w:color w:val="231F20"/>
          <w:spacing w:val="-17"/>
          <w:w w:val="105"/>
          <w:sz w:val="14"/>
        </w:rPr>
        <w:t> </w:t>
      </w:r>
      <w:r>
        <w:rPr>
          <w:rFonts w:ascii="Times New Roman" w:hAnsi="Times New Roman"/>
          <w:color w:val="231F20"/>
          <w:w w:val="105"/>
          <w:sz w:val="14"/>
        </w:rPr>
        <w:t>Resistance</w:t>
      </w:r>
      <w:r>
        <w:rPr>
          <w:rFonts w:ascii="Times New Roman" w:hAnsi="Times New Roman"/>
          <w:color w:val="231F20"/>
          <w:spacing w:val="-22"/>
          <w:w w:val="105"/>
          <w:sz w:val="14"/>
        </w:rPr>
        <w:t> </w:t>
      </w:r>
      <w:r>
        <w:rPr>
          <w:rFonts w:ascii="Times New Roman" w:hAnsi="Times New Roman"/>
          <w:color w:val="231F20"/>
          <w:w w:val="105"/>
          <w:sz w:val="14"/>
        </w:rPr>
        <w:t>Ac- tion</w:t>
      </w:r>
      <w:r>
        <w:rPr>
          <w:rFonts w:ascii="Times New Roman" w:hAnsi="Times New Roman"/>
          <w:color w:val="231F20"/>
          <w:spacing w:val="-19"/>
          <w:w w:val="105"/>
          <w:sz w:val="14"/>
        </w:rPr>
        <w:t> </w:t>
      </w:r>
      <w:r>
        <w:rPr>
          <w:rFonts w:ascii="Times New Roman" w:hAnsi="Times New Roman"/>
          <w:color w:val="231F20"/>
          <w:w w:val="105"/>
          <w:sz w:val="14"/>
        </w:rPr>
        <w:t>Committee.</w:t>
      </w:r>
      <w:r>
        <w:rPr>
          <w:rFonts w:ascii="Times New Roman" w:hAnsi="Times New Roman"/>
          <w:color w:val="231F20"/>
          <w:spacing w:val="-19"/>
          <w:w w:val="105"/>
          <w:sz w:val="14"/>
        </w:rPr>
        <w:t> </w:t>
      </w:r>
      <w:r>
        <w:rPr>
          <w:rFonts w:ascii="Times New Roman" w:hAnsi="Times New Roman"/>
          <w:color w:val="231F20"/>
          <w:w w:val="105"/>
          <w:sz w:val="14"/>
        </w:rPr>
        <w:t>[en</w:t>
      </w:r>
      <w:r>
        <w:rPr>
          <w:rFonts w:ascii="Times New Roman" w:hAnsi="Times New Roman"/>
          <w:color w:val="231F20"/>
          <w:spacing w:val="-19"/>
          <w:w w:val="105"/>
          <w:sz w:val="14"/>
        </w:rPr>
        <w:t> </w:t>
      </w:r>
      <w:r>
        <w:rPr>
          <w:rFonts w:ascii="Times New Roman" w:hAnsi="Times New Roman"/>
          <w:color w:val="231F20"/>
          <w:w w:val="105"/>
          <w:sz w:val="14"/>
        </w:rPr>
        <w:t>línea].</w:t>
      </w:r>
      <w:r>
        <w:rPr>
          <w:rFonts w:ascii="Times New Roman" w:hAnsi="Times New Roman"/>
          <w:color w:val="231F20"/>
          <w:spacing w:val="-19"/>
          <w:w w:val="105"/>
          <w:sz w:val="14"/>
        </w:rPr>
        <w:t> </w:t>
      </w:r>
      <w:hyperlink r:id="rId46">
        <w:r>
          <w:rPr>
            <w:rFonts w:ascii="Times New Roman" w:hAnsi="Times New Roman"/>
            <w:color w:val="231F20"/>
            <w:w w:val="105"/>
            <w:sz w:val="14"/>
          </w:rPr>
          <w:t>http://www.frac.info/frac/</w:t>
        </w:r>
      </w:hyperlink>
      <w:r>
        <w:rPr>
          <w:rFonts w:ascii="Times New Roman" w:hAnsi="Times New Roman"/>
          <w:color w:val="231F20"/>
          <w:w w:val="105"/>
          <w:sz w:val="14"/>
        </w:rPr>
        <w:t> </w:t>
      </w:r>
      <w:r>
        <w:rPr>
          <w:rFonts w:ascii="Times New Roman" w:hAnsi="Times New Roman"/>
          <w:color w:val="231F20"/>
          <w:sz w:val="14"/>
        </w:rPr>
        <w:t>index.htm</w:t>
      </w:r>
      <w:r>
        <w:rPr>
          <w:rFonts w:ascii="Times New Roman" w:hAnsi="Times New Roman"/>
          <w:color w:val="231F20"/>
          <w:spacing w:val="32"/>
          <w:sz w:val="14"/>
        </w:rPr>
        <w:t> </w:t>
      </w:r>
      <w:r>
        <w:rPr>
          <w:rFonts w:ascii="Times New Roman" w:hAnsi="Times New Roman"/>
          <w:color w:val="231F20"/>
          <w:sz w:val="14"/>
        </w:rPr>
        <w:t>12/12/2011.</w:t>
      </w:r>
    </w:p>
    <w:p>
      <w:pPr>
        <w:spacing w:line="259" w:lineRule="auto" w:before="0"/>
        <w:ind w:left="571" w:right="1200" w:hanging="205"/>
        <w:jc w:val="both"/>
        <w:rPr>
          <w:rFonts w:ascii="Times New Roman" w:hAnsi="Times New Roman"/>
          <w:sz w:val="14"/>
        </w:rPr>
      </w:pPr>
      <w:r>
        <w:rPr>
          <w:rFonts w:ascii="Times New Roman" w:hAnsi="Times New Roman"/>
          <w:color w:val="231F20"/>
          <w:w w:val="105"/>
          <w:sz w:val="14"/>
        </w:rPr>
        <w:t>Grünwald N. J., Flier </w:t>
      </w:r>
      <w:r>
        <w:rPr>
          <w:rFonts w:ascii="Times New Roman" w:hAnsi="Times New Roman"/>
          <w:color w:val="231F20"/>
          <w:spacing w:val="-7"/>
          <w:w w:val="105"/>
          <w:sz w:val="14"/>
        </w:rPr>
        <w:t>W. </w:t>
      </w:r>
      <w:r>
        <w:rPr>
          <w:rFonts w:ascii="Times New Roman" w:hAnsi="Times New Roman"/>
          <w:color w:val="231F20"/>
          <w:w w:val="105"/>
          <w:sz w:val="14"/>
        </w:rPr>
        <w:t>G., Sturbaum A. K., Garay E., van den Bosch </w:t>
      </w:r>
      <w:r>
        <w:rPr>
          <w:rFonts w:ascii="Times New Roman" w:hAnsi="Times New Roman"/>
          <w:color w:val="231F20"/>
          <w:spacing w:val="-6"/>
          <w:w w:val="105"/>
          <w:sz w:val="14"/>
        </w:rPr>
        <w:t>T. </w:t>
      </w:r>
      <w:r>
        <w:rPr>
          <w:rFonts w:ascii="Times New Roman" w:hAnsi="Times New Roman"/>
          <w:color w:val="231F20"/>
          <w:w w:val="105"/>
          <w:sz w:val="14"/>
        </w:rPr>
        <w:t>B. M., Smart C. D., Matuszak J. M.,</w:t>
      </w:r>
      <w:r>
        <w:rPr>
          <w:rFonts w:ascii="Times New Roman" w:hAnsi="Times New Roman"/>
          <w:color w:val="231F20"/>
          <w:spacing w:val="-4"/>
          <w:w w:val="105"/>
          <w:sz w:val="14"/>
        </w:rPr>
        <w:t> </w:t>
      </w:r>
      <w:r>
        <w:rPr>
          <w:rFonts w:ascii="Times New Roman" w:hAnsi="Times New Roman"/>
          <w:color w:val="231F20"/>
          <w:w w:val="105"/>
          <w:sz w:val="14"/>
        </w:rPr>
        <w:t>Lozoya</w:t>
      </w:r>
      <w:r>
        <w:rPr>
          <w:rFonts w:ascii="Times New Roman" w:hAnsi="Times New Roman"/>
          <w:color w:val="231F20"/>
          <w:spacing w:val="-4"/>
          <w:w w:val="105"/>
          <w:sz w:val="14"/>
        </w:rPr>
        <w:t> </w:t>
      </w:r>
      <w:r>
        <w:rPr>
          <w:rFonts w:ascii="Times New Roman" w:hAnsi="Times New Roman"/>
          <w:color w:val="231F20"/>
          <w:w w:val="105"/>
          <w:sz w:val="14"/>
        </w:rPr>
        <w:t>H.,</w:t>
      </w:r>
      <w:r>
        <w:rPr>
          <w:rFonts w:ascii="Times New Roman" w:hAnsi="Times New Roman"/>
          <w:color w:val="231F20"/>
          <w:spacing w:val="-6"/>
          <w:w w:val="105"/>
          <w:sz w:val="14"/>
        </w:rPr>
        <w:t> </w:t>
      </w:r>
      <w:r>
        <w:rPr>
          <w:rFonts w:ascii="Times New Roman" w:hAnsi="Times New Roman"/>
          <w:color w:val="231F20"/>
          <w:w w:val="105"/>
          <w:sz w:val="14"/>
        </w:rPr>
        <w:t>Turkensteen</w:t>
      </w:r>
      <w:r>
        <w:rPr>
          <w:rFonts w:ascii="Times New Roman" w:hAnsi="Times New Roman"/>
          <w:color w:val="231F20"/>
          <w:spacing w:val="-4"/>
          <w:w w:val="105"/>
          <w:sz w:val="14"/>
        </w:rPr>
        <w:t> </w:t>
      </w:r>
      <w:r>
        <w:rPr>
          <w:rFonts w:ascii="Times New Roman" w:hAnsi="Times New Roman"/>
          <w:color w:val="231F20"/>
          <w:w w:val="105"/>
          <w:sz w:val="14"/>
        </w:rPr>
        <w:t>L.</w:t>
      </w:r>
      <w:r>
        <w:rPr>
          <w:rFonts w:ascii="Times New Roman" w:hAnsi="Times New Roman"/>
          <w:color w:val="231F20"/>
          <w:spacing w:val="-4"/>
          <w:w w:val="105"/>
          <w:sz w:val="14"/>
        </w:rPr>
        <w:t> </w:t>
      </w:r>
      <w:r>
        <w:rPr>
          <w:rFonts w:ascii="Times New Roman" w:hAnsi="Times New Roman"/>
          <w:color w:val="231F20"/>
          <w:w w:val="105"/>
          <w:sz w:val="14"/>
        </w:rPr>
        <w:t>J</w:t>
      </w:r>
      <w:r>
        <w:rPr>
          <w:rFonts w:ascii="Times New Roman" w:hAnsi="Times New Roman"/>
          <w:color w:val="231F20"/>
          <w:spacing w:val="-4"/>
          <w:w w:val="105"/>
          <w:sz w:val="14"/>
        </w:rPr>
        <w:t> </w:t>
      </w:r>
      <w:r>
        <w:rPr>
          <w:rFonts w:ascii="Times New Roman" w:hAnsi="Times New Roman"/>
          <w:color w:val="231F20"/>
          <w:w w:val="105"/>
          <w:sz w:val="14"/>
        </w:rPr>
        <w:t>y</w:t>
      </w:r>
      <w:r>
        <w:rPr>
          <w:rFonts w:ascii="Times New Roman" w:hAnsi="Times New Roman"/>
          <w:color w:val="231F20"/>
          <w:spacing w:val="-4"/>
          <w:w w:val="105"/>
          <w:sz w:val="14"/>
        </w:rPr>
        <w:t> </w:t>
      </w:r>
      <w:r>
        <w:rPr>
          <w:rFonts w:ascii="Times New Roman" w:hAnsi="Times New Roman"/>
          <w:color w:val="231F20"/>
          <w:w w:val="105"/>
          <w:sz w:val="14"/>
        </w:rPr>
        <w:t>Fry</w:t>
      </w:r>
      <w:r>
        <w:rPr>
          <w:rFonts w:ascii="Times New Roman" w:hAnsi="Times New Roman"/>
          <w:color w:val="231F20"/>
          <w:spacing w:val="-6"/>
          <w:w w:val="105"/>
          <w:sz w:val="14"/>
        </w:rPr>
        <w:t> </w:t>
      </w:r>
      <w:r>
        <w:rPr>
          <w:rFonts w:ascii="Times New Roman" w:hAnsi="Times New Roman"/>
          <w:color w:val="231F20"/>
          <w:spacing w:val="-7"/>
          <w:w w:val="105"/>
          <w:sz w:val="14"/>
        </w:rPr>
        <w:t>W.</w:t>
      </w:r>
      <w:r>
        <w:rPr>
          <w:rFonts w:ascii="Times New Roman" w:hAnsi="Times New Roman"/>
          <w:color w:val="231F20"/>
          <w:spacing w:val="-4"/>
          <w:w w:val="105"/>
          <w:sz w:val="14"/>
        </w:rPr>
        <w:t> </w:t>
      </w:r>
      <w:r>
        <w:rPr>
          <w:rFonts w:ascii="Times New Roman" w:hAnsi="Times New Roman"/>
          <w:color w:val="231F20"/>
          <w:w w:val="105"/>
          <w:sz w:val="14"/>
        </w:rPr>
        <w:t>E.</w:t>
      </w:r>
      <w:r>
        <w:rPr>
          <w:rFonts w:ascii="Times New Roman" w:hAnsi="Times New Roman"/>
          <w:color w:val="231F20"/>
          <w:spacing w:val="-4"/>
          <w:w w:val="105"/>
          <w:sz w:val="14"/>
        </w:rPr>
        <w:t> </w:t>
      </w:r>
      <w:r>
        <w:rPr>
          <w:rFonts w:ascii="Times New Roman" w:hAnsi="Times New Roman"/>
          <w:color w:val="231F20"/>
          <w:w w:val="105"/>
          <w:sz w:val="14"/>
        </w:rPr>
        <w:t>(2001). Population</w:t>
      </w:r>
      <w:r>
        <w:rPr>
          <w:rFonts w:ascii="Times New Roman" w:hAnsi="Times New Roman"/>
          <w:color w:val="231F20"/>
          <w:spacing w:val="-11"/>
          <w:w w:val="105"/>
          <w:sz w:val="14"/>
        </w:rPr>
        <w:t> </w:t>
      </w:r>
      <w:r>
        <w:rPr>
          <w:rFonts w:ascii="Times New Roman" w:hAnsi="Times New Roman"/>
          <w:color w:val="231F20"/>
          <w:w w:val="105"/>
          <w:sz w:val="14"/>
        </w:rPr>
        <w:t>structure</w:t>
      </w:r>
      <w:r>
        <w:rPr>
          <w:rFonts w:ascii="Times New Roman" w:hAnsi="Times New Roman"/>
          <w:color w:val="231F20"/>
          <w:spacing w:val="-11"/>
          <w:w w:val="105"/>
          <w:sz w:val="14"/>
        </w:rPr>
        <w:t> </w:t>
      </w:r>
      <w:r>
        <w:rPr>
          <w:rFonts w:ascii="Times New Roman" w:hAnsi="Times New Roman"/>
          <w:color w:val="231F20"/>
          <w:w w:val="105"/>
          <w:sz w:val="14"/>
        </w:rPr>
        <w:t>of</w:t>
      </w:r>
      <w:r>
        <w:rPr>
          <w:rFonts w:ascii="Times New Roman" w:hAnsi="Times New Roman"/>
          <w:color w:val="231F20"/>
          <w:spacing w:val="-11"/>
          <w:w w:val="105"/>
          <w:sz w:val="14"/>
        </w:rPr>
        <w:t> </w:t>
      </w:r>
      <w:r>
        <w:rPr>
          <w:rFonts w:ascii="Times New Roman" w:hAnsi="Times New Roman"/>
          <w:i/>
          <w:color w:val="231F20"/>
          <w:w w:val="105"/>
          <w:sz w:val="14"/>
        </w:rPr>
        <w:t>Phytophthora</w:t>
      </w:r>
      <w:r>
        <w:rPr>
          <w:rFonts w:ascii="Times New Roman" w:hAnsi="Times New Roman"/>
          <w:i/>
          <w:color w:val="231F20"/>
          <w:spacing w:val="-11"/>
          <w:w w:val="105"/>
          <w:sz w:val="14"/>
        </w:rPr>
        <w:t> </w:t>
      </w:r>
      <w:r>
        <w:rPr>
          <w:rFonts w:ascii="Times New Roman" w:hAnsi="Times New Roman"/>
          <w:i/>
          <w:color w:val="231F20"/>
          <w:w w:val="105"/>
          <w:sz w:val="14"/>
        </w:rPr>
        <w:t>infestans</w:t>
      </w:r>
      <w:r>
        <w:rPr>
          <w:rFonts w:ascii="Times New Roman" w:hAnsi="Times New Roman"/>
          <w:i/>
          <w:color w:val="231F20"/>
          <w:spacing w:val="-11"/>
          <w:w w:val="105"/>
          <w:sz w:val="14"/>
        </w:rPr>
        <w:t> </w:t>
      </w:r>
      <w:r>
        <w:rPr>
          <w:rFonts w:ascii="Times New Roman" w:hAnsi="Times New Roman"/>
          <w:color w:val="231F20"/>
          <w:w w:val="105"/>
          <w:sz w:val="14"/>
        </w:rPr>
        <w:t>in</w:t>
      </w:r>
      <w:r>
        <w:rPr>
          <w:rFonts w:ascii="Times New Roman" w:hAnsi="Times New Roman"/>
          <w:color w:val="231F20"/>
          <w:spacing w:val="-11"/>
          <w:w w:val="105"/>
          <w:sz w:val="14"/>
        </w:rPr>
        <w:t> </w:t>
      </w:r>
      <w:r>
        <w:rPr>
          <w:rFonts w:ascii="Times New Roman" w:hAnsi="Times New Roman"/>
          <w:color w:val="231F20"/>
          <w:w w:val="105"/>
          <w:sz w:val="14"/>
        </w:rPr>
        <w:t>the Toluca</w:t>
      </w:r>
      <w:r>
        <w:rPr>
          <w:rFonts w:ascii="Times New Roman" w:hAnsi="Times New Roman"/>
          <w:color w:val="231F20"/>
          <w:spacing w:val="-11"/>
          <w:w w:val="105"/>
          <w:sz w:val="14"/>
        </w:rPr>
        <w:t> </w:t>
      </w:r>
      <w:r>
        <w:rPr>
          <w:rFonts w:ascii="Times New Roman" w:hAnsi="Times New Roman"/>
          <w:color w:val="231F20"/>
          <w:w w:val="105"/>
          <w:sz w:val="14"/>
        </w:rPr>
        <w:t>valley</w:t>
      </w:r>
      <w:r>
        <w:rPr>
          <w:rFonts w:ascii="Times New Roman" w:hAnsi="Times New Roman"/>
          <w:color w:val="231F20"/>
          <w:spacing w:val="-11"/>
          <w:w w:val="105"/>
          <w:sz w:val="14"/>
        </w:rPr>
        <w:t> </w:t>
      </w:r>
      <w:r>
        <w:rPr>
          <w:rFonts w:ascii="Times New Roman" w:hAnsi="Times New Roman"/>
          <w:color w:val="231F20"/>
          <w:w w:val="105"/>
          <w:sz w:val="14"/>
        </w:rPr>
        <w:t>region</w:t>
      </w:r>
      <w:r>
        <w:rPr>
          <w:rFonts w:ascii="Times New Roman" w:hAnsi="Times New Roman"/>
          <w:color w:val="231F20"/>
          <w:spacing w:val="-11"/>
          <w:w w:val="105"/>
          <w:sz w:val="14"/>
        </w:rPr>
        <w:t> </w:t>
      </w:r>
      <w:r>
        <w:rPr>
          <w:rFonts w:ascii="Times New Roman" w:hAnsi="Times New Roman"/>
          <w:color w:val="231F20"/>
          <w:w w:val="105"/>
          <w:sz w:val="14"/>
        </w:rPr>
        <w:t>of</w:t>
      </w:r>
      <w:r>
        <w:rPr>
          <w:rFonts w:ascii="Times New Roman" w:hAnsi="Times New Roman"/>
          <w:color w:val="231F20"/>
          <w:spacing w:val="-11"/>
          <w:w w:val="105"/>
          <w:sz w:val="14"/>
        </w:rPr>
        <w:t> </w:t>
      </w:r>
      <w:r>
        <w:rPr>
          <w:rFonts w:ascii="Times New Roman" w:hAnsi="Times New Roman"/>
          <w:color w:val="231F20"/>
          <w:w w:val="105"/>
          <w:sz w:val="14"/>
        </w:rPr>
        <w:t>central</w:t>
      </w:r>
      <w:r>
        <w:rPr>
          <w:rFonts w:ascii="Times New Roman" w:hAnsi="Times New Roman"/>
          <w:color w:val="231F20"/>
          <w:spacing w:val="-11"/>
          <w:w w:val="105"/>
          <w:sz w:val="14"/>
        </w:rPr>
        <w:t> </w:t>
      </w:r>
      <w:r>
        <w:rPr>
          <w:rFonts w:ascii="Times New Roman" w:hAnsi="Times New Roman"/>
          <w:color w:val="231F20"/>
          <w:w w:val="105"/>
          <w:sz w:val="14"/>
        </w:rPr>
        <w:t>Mexico.</w:t>
      </w:r>
      <w:r>
        <w:rPr>
          <w:rFonts w:ascii="Times New Roman" w:hAnsi="Times New Roman"/>
          <w:color w:val="231F20"/>
          <w:spacing w:val="-11"/>
          <w:w w:val="105"/>
          <w:sz w:val="14"/>
        </w:rPr>
        <w:t> </w:t>
      </w:r>
      <w:r>
        <w:rPr>
          <w:rFonts w:ascii="Times New Roman" w:hAnsi="Times New Roman"/>
          <w:color w:val="231F20"/>
          <w:w w:val="105"/>
          <w:sz w:val="14"/>
        </w:rPr>
        <w:t>Phytopathol. 91,</w:t>
      </w:r>
      <w:r>
        <w:rPr>
          <w:rFonts w:ascii="Times New Roman" w:hAnsi="Times New Roman"/>
          <w:color w:val="231F20"/>
          <w:spacing w:val="-14"/>
          <w:w w:val="105"/>
          <w:sz w:val="14"/>
        </w:rPr>
        <w:t> </w:t>
      </w:r>
      <w:r>
        <w:rPr>
          <w:rFonts w:ascii="Times New Roman" w:hAnsi="Times New Roman"/>
          <w:color w:val="231F20"/>
          <w:w w:val="105"/>
          <w:sz w:val="14"/>
        </w:rPr>
        <w:t>882-890.</w:t>
      </w:r>
    </w:p>
    <w:p>
      <w:pPr>
        <w:spacing w:line="259" w:lineRule="auto" w:before="0"/>
        <w:ind w:left="382" w:right="1200" w:firstLine="0"/>
        <w:jc w:val="right"/>
        <w:rPr>
          <w:rFonts w:ascii="Times New Roman" w:hAnsi="Times New Roman"/>
          <w:sz w:val="14"/>
        </w:rPr>
      </w:pPr>
      <w:r>
        <w:rPr>
          <w:rFonts w:ascii="Times New Roman" w:hAnsi="Times New Roman"/>
          <w:color w:val="231F20"/>
          <w:w w:val="105"/>
          <w:sz w:val="14"/>
        </w:rPr>
        <w:t>Guenthner J. </w:t>
      </w:r>
      <w:r>
        <w:rPr>
          <w:rFonts w:ascii="Times New Roman" w:hAnsi="Times New Roman"/>
          <w:color w:val="231F20"/>
          <w:spacing w:val="-4"/>
          <w:w w:val="105"/>
          <w:sz w:val="14"/>
        </w:rPr>
        <w:t>F., </w:t>
      </w:r>
      <w:r>
        <w:rPr>
          <w:rFonts w:ascii="Times New Roman" w:hAnsi="Times New Roman"/>
          <w:color w:val="231F20"/>
          <w:w w:val="105"/>
          <w:sz w:val="14"/>
        </w:rPr>
        <w:t>Wiese M. </w:t>
      </w:r>
      <w:r>
        <w:rPr>
          <w:rFonts w:ascii="Times New Roman" w:hAnsi="Times New Roman"/>
          <w:color w:val="231F20"/>
          <w:spacing w:val="-7"/>
          <w:w w:val="105"/>
          <w:sz w:val="14"/>
        </w:rPr>
        <w:t>V., </w:t>
      </w:r>
      <w:r>
        <w:rPr>
          <w:rFonts w:ascii="Times New Roman" w:hAnsi="Times New Roman"/>
          <w:color w:val="231F20"/>
          <w:w w:val="105"/>
          <w:sz w:val="14"/>
        </w:rPr>
        <w:t>Pavlista A. D.,</w:t>
      </w:r>
      <w:r>
        <w:rPr>
          <w:rFonts w:ascii="Times New Roman" w:hAnsi="Times New Roman"/>
          <w:color w:val="231F20"/>
          <w:spacing w:val="-5"/>
          <w:w w:val="105"/>
          <w:sz w:val="14"/>
        </w:rPr>
        <w:t> </w:t>
      </w:r>
      <w:r>
        <w:rPr>
          <w:rFonts w:ascii="Times New Roman" w:hAnsi="Times New Roman"/>
          <w:color w:val="231F20"/>
          <w:w w:val="105"/>
          <w:sz w:val="14"/>
        </w:rPr>
        <w:t>Sieczka</w:t>
      </w:r>
      <w:r>
        <w:rPr>
          <w:rFonts w:ascii="Times New Roman" w:hAnsi="Times New Roman"/>
          <w:color w:val="231F20"/>
          <w:spacing w:val="-1"/>
          <w:w w:val="105"/>
          <w:sz w:val="14"/>
        </w:rPr>
        <w:t> </w:t>
      </w:r>
      <w:r>
        <w:rPr>
          <w:rFonts w:ascii="Times New Roman" w:hAnsi="Times New Roman"/>
          <w:color w:val="231F20"/>
          <w:w w:val="105"/>
          <w:sz w:val="14"/>
        </w:rPr>
        <w:t>J.</w:t>
      </w:r>
      <w:r>
        <w:rPr>
          <w:rFonts w:ascii="Times New Roman" w:hAnsi="Times New Roman"/>
          <w:color w:val="231F20"/>
          <w:spacing w:val="-1"/>
          <w:w w:val="103"/>
          <w:sz w:val="14"/>
        </w:rPr>
        <w:t> </w:t>
      </w:r>
      <w:r>
        <w:rPr>
          <w:rFonts w:ascii="Times New Roman" w:hAnsi="Times New Roman"/>
          <w:color w:val="231F20"/>
          <w:w w:val="105"/>
          <w:sz w:val="14"/>
        </w:rPr>
        <w:t>B</w:t>
      </w:r>
      <w:r>
        <w:rPr>
          <w:rFonts w:ascii="Times New Roman" w:hAnsi="Times New Roman"/>
          <w:color w:val="231F20"/>
          <w:spacing w:val="-9"/>
          <w:w w:val="105"/>
          <w:sz w:val="14"/>
        </w:rPr>
        <w:t> </w:t>
      </w:r>
      <w:r>
        <w:rPr>
          <w:rFonts w:ascii="Times New Roman" w:hAnsi="Times New Roman"/>
          <w:color w:val="231F20"/>
          <w:w w:val="105"/>
          <w:sz w:val="14"/>
        </w:rPr>
        <w:t>y</w:t>
      </w:r>
      <w:r>
        <w:rPr>
          <w:rFonts w:ascii="Times New Roman" w:hAnsi="Times New Roman"/>
          <w:color w:val="231F20"/>
          <w:spacing w:val="-11"/>
          <w:w w:val="105"/>
          <w:sz w:val="14"/>
        </w:rPr>
        <w:t> </w:t>
      </w:r>
      <w:r>
        <w:rPr>
          <w:rFonts w:ascii="Times New Roman" w:hAnsi="Times New Roman"/>
          <w:color w:val="231F20"/>
          <w:w w:val="105"/>
          <w:sz w:val="14"/>
        </w:rPr>
        <w:t>Wyman</w:t>
      </w:r>
      <w:r>
        <w:rPr>
          <w:rFonts w:ascii="Times New Roman" w:hAnsi="Times New Roman"/>
          <w:color w:val="231F20"/>
          <w:spacing w:val="-9"/>
          <w:w w:val="105"/>
          <w:sz w:val="14"/>
        </w:rPr>
        <w:t> </w:t>
      </w:r>
      <w:r>
        <w:rPr>
          <w:rFonts w:ascii="Times New Roman" w:hAnsi="Times New Roman"/>
          <w:color w:val="231F20"/>
          <w:w w:val="105"/>
          <w:sz w:val="14"/>
        </w:rPr>
        <w:t>J.</w:t>
      </w:r>
      <w:r>
        <w:rPr>
          <w:rFonts w:ascii="Times New Roman" w:hAnsi="Times New Roman"/>
          <w:color w:val="231F20"/>
          <w:spacing w:val="-9"/>
          <w:w w:val="105"/>
          <w:sz w:val="14"/>
        </w:rPr>
        <w:t> </w:t>
      </w:r>
      <w:r>
        <w:rPr>
          <w:rFonts w:ascii="Times New Roman" w:hAnsi="Times New Roman"/>
          <w:color w:val="231F20"/>
          <w:w w:val="105"/>
          <w:sz w:val="14"/>
        </w:rPr>
        <w:t>(1999).</w:t>
      </w:r>
      <w:r>
        <w:rPr>
          <w:rFonts w:ascii="Times New Roman" w:hAnsi="Times New Roman"/>
          <w:color w:val="231F20"/>
          <w:spacing w:val="-15"/>
          <w:w w:val="105"/>
          <w:sz w:val="14"/>
        </w:rPr>
        <w:t> </w:t>
      </w:r>
      <w:r>
        <w:rPr>
          <w:rFonts w:ascii="Times New Roman" w:hAnsi="Times New Roman"/>
          <w:color w:val="231F20"/>
          <w:w w:val="105"/>
          <w:sz w:val="14"/>
        </w:rPr>
        <w:t>Assessment</w:t>
      </w:r>
      <w:r>
        <w:rPr>
          <w:rFonts w:ascii="Times New Roman" w:hAnsi="Times New Roman"/>
          <w:color w:val="231F20"/>
          <w:spacing w:val="-9"/>
          <w:w w:val="105"/>
          <w:sz w:val="14"/>
        </w:rPr>
        <w:t> </w:t>
      </w:r>
      <w:r>
        <w:rPr>
          <w:rFonts w:ascii="Times New Roman" w:hAnsi="Times New Roman"/>
          <w:color w:val="231F20"/>
          <w:w w:val="105"/>
          <w:sz w:val="14"/>
        </w:rPr>
        <w:t>of</w:t>
      </w:r>
      <w:r>
        <w:rPr>
          <w:rFonts w:ascii="Times New Roman" w:hAnsi="Times New Roman"/>
          <w:color w:val="231F20"/>
          <w:spacing w:val="-9"/>
          <w:w w:val="105"/>
          <w:sz w:val="14"/>
        </w:rPr>
        <w:t> </w:t>
      </w:r>
      <w:r>
        <w:rPr>
          <w:rFonts w:ascii="Times New Roman" w:hAnsi="Times New Roman"/>
          <w:color w:val="231F20"/>
          <w:w w:val="105"/>
          <w:sz w:val="14"/>
        </w:rPr>
        <w:t>pesticide</w:t>
      </w:r>
      <w:r>
        <w:rPr>
          <w:rFonts w:ascii="Times New Roman" w:hAnsi="Times New Roman"/>
          <w:color w:val="231F20"/>
          <w:spacing w:val="-9"/>
          <w:w w:val="105"/>
          <w:sz w:val="14"/>
        </w:rPr>
        <w:t> </w:t>
      </w:r>
      <w:r>
        <w:rPr>
          <w:rFonts w:ascii="Times New Roman" w:hAnsi="Times New Roman"/>
          <w:color w:val="231F20"/>
          <w:w w:val="105"/>
          <w:sz w:val="14"/>
        </w:rPr>
        <w:t>use</w:t>
      </w:r>
      <w:r>
        <w:rPr>
          <w:rFonts w:ascii="Times New Roman" w:hAnsi="Times New Roman"/>
          <w:color w:val="231F20"/>
          <w:spacing w:val="-9"/>
          <w:w w:val="105"/>
          <w:sz w:val="14"/>
        </w:rPr>
        <w:t> </w:t>
      </w:r>
      <w:r>
        <w:rPr>
          <w:rFonts w:ascii="Times New Roman" w:hAnsi="Times New Roman"/>
          <w:color w:val="231F20"/>
          <w:w w:val="105"/>
          <w:sz w:val="14"/>
        </w:rPr>
        <w:t>in</w:t>
      </w:r>
      <w:r>
        <w:rPr>
          <w:rFonts w:ascii="Times New Roman" w:hAnsi="Times New Roman"/>
          <w:color w:val="231F20"/>
          <w:w w:val="103"/>
          <w:sz w:val="14"/>
        </w:rPr>
        <w:t>  </w:t>
      </w:r>
      <w:r>
        <w:rPr>
          <w:rFonts w:ascii="Times New Roman" w:hAnsi="Times New Roman"/>
          <w:color w:val="231F20"/>
          <w:w w:val="105"/>
          <w:sz w:val="14"/>
        </w:rPr>
        <w:t>the</w:t>
      </w:r>
      <w:r>
        <w:rPr>
          <w:rFonts w:ascii="Times New Roman" w:hAnsi="Times New Roman"/>
          <w:color w:val="231F20"/>
          <w:spacing w:val="-17"/>
          <w:w w:val="105"/>
          <w:sz w:val="14"/>
        </w:rPr>
        <w:t> </w:t>
      </w:r>
      <w:r>
        <w:rPr>
          <w:rFonts w:ascii="Times New Roman" w:hAnsi="Times New Roman"/>
          <w:color w:val="231F20"/>
          <w:w w:val="105"/>
          <w:sz w:val="14"/>
        </w:rPr>
        <w:t>U.S.</w:t>
      </w:r>
      <w:r>
        <w:rPr>
          <w:rFonts w:ascii="Times New Roman" w:hAnsi="Times New Roman"/>
          <w:color w:val="231F20"/>
          <w:spacing w:val="-16"/>
          <w:w w:val="105"/>
          <w:sz w:val="14"/>
        </w:rPr>
        <w:t> </w:t>
      </w:r>
      <w:r>
        <w:rPr>
          <w:rFonts w:ascii="Times New Roman" w:hAnsi="Times New Roman"/>
          <w:color w:val="231F20"/>
          <w:w w:val="105"/>
          <w:sz w:val="14"/>
        </w:rPr>
        <w:t>potato</w:t>
      </w:r>
      <w:r>
        <w:rPr>
          <w:rFonts w:ascii="Times New Roman" w:hAnsi="Times New Roman"/>
          <w:color w:val="231F20"/>
          <w:spacing w:val="-16"/>
          <w:w w:val="105"/>
          <w:sz w:val="14"/>
        </w:rPr>
        <w:t> </w:t>
      </w:r>
      <w:r>
        <w:rPr>
          <w:rFonts w:ascii="Times New Roman" w:hAnsi="Times New Roman"/>
          <w:color w:val="231F20"/>
          <w:w w:val="105"/>
          <w:sz w:val="14"/>
        </w:rPr>
        <w:t>industry.</w:t>
      </w:r>
      <w:r>
        <w:rPr>
          <w:rFonts w:ascii="Times New Roman" w:hAnsi="Times New Roman"/>
          <w:color w:val="231F20"/>
          <w:spacing w:val="-22"/>
          <w:w w:val="105"/>
          <w:sz w:val="14"/>
        </w:rPr>
        <w:t> </w:t>
      </w:r>
      <w:r>
        <w:rPr>
          <w:rFonts w:ascii="Times New Roman" w:hAnsi="Times New Roman"/>
          <w:color w:val="231F20"/>
          <w:w w:val="105"/>
          <w:sz w:val="14"/>
        </w:rPr>
        <w:t>Am.</w:t>
      </w:r>
      <w:r>
        <w:rPr>
          <w:rFonts w:ascii="Times New Roman" w:hAnsi="Times New Roman"/>
          <w:color w:val="231F20"/>
          <w:spacing w:val="-16"/>
          <w:w w:val="105"/>
          <w:sz w:val="14"/>
        </w:rPr>
        <w:t> </w:t>
      </w:r>
      <w:r>
        <w:rPr>
          <w:rFonts w:ascii="Times New Roman" w:hAnsi="Times New Roman"/>
          <w:color w:val="231F20"/>
          <w:w w:val="105"/>
          <w:sz w:val="14"/>
        </w:rPr>
        <w:t>J.</w:t>
      </w:r>
      <w:r>
        <w:rPr>
          <w:rFonts w:ascii="Times New Roman" w:hAnsi="Times New Roman"/>
          <w:color w:val="231F20"/>
          <w:spacing w:val="-16"/>
          <w:w w:val="105"/>
          <w:sz w:val="14"/>
        </w:rPr>
        <w:t> </w:t>
      </w:r>
      <w:r>
        <w:rPr>
          <w:rFonts w:ascii="Times New Roman" w:hAnsi="Times New Roman"/>
          <w:color w:val="231F20"/>
          <w:w w:val="105"/>
          <w:sz w:val="14"/>
        </w:rPr>
        <w:t>Potato</w:t>
      </w:r>
      <w:r>
        <w:rPr>
          <w:rFonts w:ascii="Times New Roman" w:hAnsi="Times New Roman"/>
          <w:color w:val="231F20"/>
          <w:spacing w:val="-16"/>
          <w:w w:val="105"/>
          <w:sz w:val="14"/>
        </w:rPr>
        <w:t> </w:t>
      </w:r>
      <w:r>
        <w:rPr>
          <w:rFonts w:ascii="Times New Roman" w:hAnsi="Times New Roman"/>
          <w:color w:val="231F20"/>
          <w:w w:val="105"/>
          <w:sz w:val="14"/>
        </w:rPr>
        <w:t>Res.</w:t>
      </w:r>
      <w:r>
        <w:rPr>
          <w:rFonts w:ascii="Times New Roman" w:hAnsi="Times New Roman"/>
          <w:color w:val="231F20"/>
          <w:spacing w:val="-16"/>
          <w:w w:val="105"/>
          <w:sz w:val="14"/>
        </w:rPr>
        <w:t> </w:t>
      </w:r>
      <w:r>
        <w:rPr>
          <w:rFonts w:ascii="Times New Roman" w:hAnsi="Times New Roman"/>
          <w:color w:val="231F20"/>
          <w:w w:val="105"/>
          <w:sz w:val="14"/>
        </w:rPr>
        <w:t>76,</w:t>
      </w:r>
      <w:r>
        <w:rPr>
          <w:rFonts w:ascii="Times New Roman" w:hAnsi="Times New Roman"/>
          <w:color w:val="231F20"/>
          <w:spacing w:val="-16"/>
          <w:w w:val="105"/>
          <w:sz w:val="14"/>
        </w:rPr>
        <w:t> </w:t>
      </w:r>
      <w:r>
        <w:rPr>
          <w:rFonts w:ascii="Times New Roman" w:hAnsi="Times New Roman"/>
          <w:color w:val="231F20"/>
          <w:w w:val="105"/>
          <w:sz w:val="14"/>
        </w:rPr>
        <w:t>25-29.</w:t>
      </w:r>
      <w:r>
        <w:rPr>
          <w:rFonts w:ascii="Times New Roman" w:hAnsi="Times New Roman"/>
          <w:color w:val="231F20"/>
          <w:w w:val="103"/>
          <w:sz w:val="14"/>
        </w:rPr>
        <w:t> </w:t>
      </w:r>
      <w:r>
        <w:rPr>
          <w:rFonts w:ascii="Times New Roman" w:hAnsi="Times New Roman"/>
          <w:color w:val="231F20"/>
          <w:spacing w:val="-3"/>
          <w:w w:val="105"/>
          <w:sz w:val="14"/>
        </w:rPr>
        <w:t>INEGI</w:t>
      </w:r>
      <w:r>
        <w:rPr>
          <w:rFonts w:ascii="Times New Roman" w:hAnsi="Times New Roman"/>
          <w:color w:val="231F20"/>
          <w:spacing w:val="-22"/>
          <w:w w:val="105"/>
          <w:sz w:val="14"/>
        </w:rPr>
        <w:t> </w:t>
      </w:r>
      <w:r>
        <w:rPr>
          <w:rFonts w:ascii="Times New Roman" w:hAnsi="Times New Roman"/>
          <w:color w:val="231F20"/>
          <w:spacing w:val="-4"/>
          <w:w w:val="105"/>
          <w:sz w:val="14"/>
        </w:rPr>
        <w:t>(2011).</w:t>
      </w:r>
      <w:r>
        <w:rPr>
          <w:rFonts w:ascii="Times New Roman" w:hAnsi="Times New Roman"/>
          <w:color w:val="231F20"/>
          <w:spacing w:val="-22"/>
          <w:w w:val="105"/>
          <w:sz w:val="14"/>
        </w:rPr>
        <w:t> </w:t>
      </w:r>
      <w:r>
        <w:rPr>
          <w:rFonts w:ascii="Times New Roman" w:hAnsi="Times New Roman"/>
          <w:color w:val="231F20"/>
          <w:spacing w:val="-3"/>
          <w:w w:val="105"/>
          <w:sz w:val="14"/>
        </w:rPr>
        <w:t>Índice</w:t>
      </w:r>
      <w:r>
        <w:rPr>
          <w:rFonts w:ascii="Times New Roman" w:hAnsi="Times New Roman"/>
          <w:color w:val="231F20"/>
          <w:spacing w:val="-22"/>
          <w:w w:val="105"/>
          <w:sz w:val="14"/>
        </w:rPr>
        <w:t> </w:t>
      </w:r>
      <w:r>
        <w:rPr>
          <w:rFonts w:ascii="Times New Roman" w:hAnsi="Times New Roman"/>
          <w:color w:val="231F20"/>
          <w:w w:val="105"/>
          <w:sz w:val="14"/>
        </w:rPr>
        <w:t>de</w:t>
      </w:r>
      <w:r>
        <w:rPr>
          <w:rFonts w:ascii="Times New Roman" w:hAnsi="Times New Roman"/>
          <w:color w:val="231F20"/>
          <w:spacing w:val="-22"/>
          <w:w w:val="105"/>
          <w:sz w:val="14"/>
        </w:rPr>
        <w:t> </w:t>
      </w:r>
      <w:r>
        <w:rPr>
          <w:rFonts w:ascii="Times New Roman" w:hAnsi="Times New Roman"/>
          <w:color w:val="231F20"/>
          <w:spacing w:val="-3"/>
          <w:w w:val="105"/>
          <w:sz w:val="14"/>
        </w:rPr>
        <w:t>inflación.</w:t>
      </w:r>
      <w:r>
        <w:rPr>
          <w:rFonts w:ascii="Times New Roman" w:hAnsi="Times New Roman"/>
          <w:color w:val="231F20"/>
          <w:spacing w:val="-22"/>
          <w:w w:val="105"/>
          <w:sz w:val="14"/>
        </w:rPr>
        <w:t> </w:t>
      </w:r>
      <w:r>
        <w:rPr>
          <w:rFonts w:ascii="Times New Roman" w:hAnsi="Times New Roman"/>
          <w:color w:val="231F20"/>
          <w:spacing w:val="-3"/>
          <w:w w:val="105"/>
          <w:sz w:val="14"/>
        </w:rPr>
        <w:t>Instituto</w:t>
      </w:r>
      <w:r>
        <w:rPr>
          <w:rFonts w:ascii="Times New Roman" w:hAnsi="Times New Roman"/>
          <w:color w:val="231F20"/>
          <w:spacing w:val="-22"/>
          <w:w w:val="105"/>
          <w:sz w:val="14"/>
        </w:rPr>
        <w:t> </w:t>
      </w:r>
      <w:r>
        <w:rPr>
          <w:rFonts w:ascii="Times New Roman" w:hAnsi="Times New Roman"/>
          <w:color w:val="231F20"/>
          <w:spacing w:val="-3"/>
          <w:w w:val="105"/>
          <w:sz w:val="14"/>
        </w:rPr>
        <w:t>Nacional</w:t>
      </w:r>
      <w:r>
        <w:rPr>
          <w:rFonts w:ascii="Times New Roman" w:hAnsi="Times New Roman"/>
          <w:color w:val="231F20"/>
          <w:spacing w:val="-22"/>
          <w:w w:val="105"/>
          <w:sz w:val="14"/>
        </w:rPr>
        <w:t> </w:t>
      </w:r>
      <w:r>
        <w:rPr>
          <w:rFonts w:ascii="Times New Roman" w:hAnsi="Times New Roman"/>
          <w:color w:val="231F20"/>
          <w:w w:val="105"/>
          <w:sz w:val="14"/>
        </w:rPr>
        <w:t>de</w:t>
      </w:r>
      <w:r>
        <w:rPr>
          <w:rFonts w:ascii="Times New Roman" w:hAnsi="Times New Roman"/>
          <w:color w:val="231F20"/>
          <w:spacing w:val="-22"/>
          <w:w w:val="105"/>
          <w:sz w:val="14"/>
        </w:rPr>
        <w:t> </w:t>
      </w:r>
      <w:r>
        <w:rPr>
          <w:rFonts w:ascii="Times New Roman" w:hAnsi="Times New Roman"/>
          <w:color w:val="231F20"/>
          <w:w w:val="105"/>
          <w:sz w:val="14"/>
        </w:rPr>
        <w:t>Es-</w:t>
      </w:r>
      <w:r>
        <w:rPr>
          <w:rFonts w:ascii="Times New Roman" w:hAnsi="Times New Roman"/>
          <w:color w:val="231F20"/>
          <w:w w:val="103"/>
          <w:sz w:val="14"/>
        </w:rPr>
        <w:t> </w:t>
      </w:r>
      <w:r>
        <w:rPr>
          <w:rFonts w:ascii="Times New Roman" w:hAnsi="Times New Roman"/>
          <w:color w:val="231F20"/>
          <w:w w:val="105"/>
          <w:sz w:val="14"/>
        </w:rPr>
        <w:t>tadística</w:t>
      </w:r>
      <w:r>
        <w:rPr>
          <w:rFonts w:ascii="Times New Roman" w:hAnsi="Times New Roman"/>
          <w:color w:val="231F20"/>
          <w:spacing w:val="-27"/>
          <w:w w:val="105"/>
          <w:sz w:val="14"/>
        </w:rPr>
        <w:t> </w:t>
      </w:r>
      <w:r>
        <w:rPr>
          <w:rFonts w:ascii="Times New Roman" w:hAnsi="Times New Roman"/>
          <w:color w:val="231F20"/>
          <w:w w:val="105"/>
          <w:sz w:val="14"/>
        </w:rPr>
        <w:t>y</w:t>
      </w:r>
      <w:r>
        <w:rPr>
          <w:rFonts w:ascii="Times New Roman" w:hAnsi="Times New Roman"/>
          <w:color w:val="231F20"/>
          <w:spacing w:val="-27"/>
          <w:w w:val="105"/>
          <w:sz w:val="14"/>
        </w:rPr>
        <w:t> </w:t>
      </w:r>
      <w:r>
        <w:rPr>
          <w:rFonts w:ascii="Times New Roman" w:hAnsi="Times New Roman"/>
          <w:color w:val="231F20"/>
          <w:w w:val="105"/>
          <w:sz w:val="14"/>
        </w:rPr>
        <w:t>Geografía.</w:t>
      </w:r>
      <w:r>
        <w:rPr>
          <w:rFonts w:ascii="Times New Roman" w:hAnsi="Times New Roman"/>
          <w:color w:val="231F20"/>
          <w:spacing w:val="-27"/>
          <w:w w:val="105"/>
          <w:sz w:val="14"/>
        </w:rPr>
        <w:t> </w:t>
      </w:r>
      <w:r>
        <w:rPr>
          <w:rFonts w:ascii="Times New Roman" w:hAnsi="Times New Roman"/>
          <w:color w:val="231F20"/>
          <w:w w:val="105"/>
          <w:sz w:val="14"/>
        </w:rPr>
        <w:t>Banco</w:t>
      </w:r>
      <w:r>
        <w:rPr>
          <w:rFonts w:ascii="Times New Roman" w:hAnsi="Times New Roman"/>
          <w:color w:val="231F20"/>
          <w:spacing w:val="-27"/>
          <w:w w:val="105"/>
          <w:sz w:val="14"/>
        </w:rPr>
        <w:t> </w:t>
      </w:r>
      <w:r>
        <w:rPr>
          <w:rFonts w:ascii="Times New Roman" w:hAnsi="Times New Roman"/>
          <w:color w:val="231F20"/>
          <w:w w:val="105"/>
          <w:sz w:val="14"/>
        </w:rPr>
        <w:t>de</w:t>
      </w:r>
      <w:r>
        <w:rPr>
          <w:rFonts w:ascii="Times New Roman" w:hAnsi="Times New Roman"/>
          <w:color w:val="231F20"/>
          <w:spacing w:val="-27"/>
          <w:w w:val="105"/>
          <w:sz w:val="14"/>
        </w:rPr>
        <w:t> </w:t>
      </w:r>
      <w:r>
        <w:rPr>
          <w:rFonts w:ascii="Times New Roman" w:hAnsi="Times New Roman"/>
          <w:color w:val="231F20"/>
          <w:w w:val="105"/>
          <w:sz w:val="14"/>
        </w:rPr>
        <w:t>información</w:t>
      </w:r>
      <w:r>
        <w:rPr>
          <w:rFonts w:ascii="Times New Roman" w:hAnsi="Times New Roman"/>
          <w:color w:val="231F20"/>
          <w:spacing w:val="-27"/>
          <w:w w:val="105"/>
          <w:sz w:val="14"/>
        </w:rPr>
        <w:t> </w:t>
      </w:r>
      <w:r>
        <w:rPr>
          <w:rFonts w:ascii="Times New Roman" w:hAnsi="Times New Roman"/>
          <w:color w:val="231F20"/>
          <w:w w:val="105"/>
          <w:sz w:val="14"/>
        </w:rPr>
        <w:t>económi-</w:t>
      </w:r>
    </w:p>
    <w:p>
      <w:pPr>
        <w:spacing w:line="259" w:lineRule="auto" w:before="0"/>
        <w:ind w:left="571" w:right="1196" w:firstLine="0"/>
        <w:jc w:val="both"/>
        <w:rPr>
          <w:rFonts w:ascii="Times New Roman" w:hAnsi="Times New Roman"/>
          <w:sz w:val="14"/>
        </w:rPr>
      </w:pPr>
      <w:r>
        <w:rPr>
          <w:rFonts w:ascii="Times New Roman" w:hAnsi="Times New Roman"/>
          <w:color w:val="231F20"/>
          <w:w w:val="105"/>
          <w:sz w:val="14"/>
        </w:rPr>
        <w:t>ca [en línea]. </w:t>
      </w:r>
      <w:hyperlink r:id="rId47">
        <w:r>
          <w:rPr>
            <w:rFonts w:ascii="Times New Roman" w:hAnsi="Times New Roman"/>
            <w:color w:val="231F20"/>
            <w:w w:val="105"/>
            <w:sz w:val="14"/>
          </w:rPr>
          <w:t>http://dgcnesyp.inegi.org.mx/cgi-win/</w:t>
        </w:r>
      </w:hyperlink>
      <w:r>
        <w:rPr>
          <w:rFonts w:ascii="Times New Roman" w:hAnsi="Times New Roman"/>
          <w:color w:val="231F20"/>
          <w:w w:val="105"/>
          <w:sz w:val="14"/>
        </w:rPr>
        <w:t> bdieintsi.exe/NIVA050500001000200120#ARBOL 10/10/2011.</w:t>
      </w:r>
    </w:p>
    <w:p>
      <w:pPr>
        <w:spacing w:line="259" w:lineRule="auto" w:before="0"/>
        <w:ind w:left="571" w:right="1199" w:hanging="205"/>
        <w:jc w:val="both"/>
        <w:rPr>
          <w:rFonts w:ascii="Times New Roman"/>
          <w:sz w:val="14"/>
        </w:rPr>
      </w:pPr>
      <w:r>
        <w:rPr>
          <w:rFonts w:ascii="Times New Roman"/>
          <w:color w:val="231F20"/>
          <w:w w:val="105"/>
          <w:sz w:val="14"/>
        </w:rPr>
        <w:t>Loo W.W. y Chilingar G.V. (1997). Advances in the electrokinetic treatment of hazardous waste in soil and groundwater. HAZMACON 97, Santa Clara, California, pp. 1-15.</w:t>
      </w:r>
    </w:p>
    <w:p>
      <w:pPr>
        <w:spacing w:line="259" w:lineRule="auto" w:before="0"/>
        <w:ind w:left="571" w:right="1200" w:hanging="205"/>
        <w:jc w:val="both"/>
        <w:rPr>
          <w:rFonts w:ascii="Times New Roman"/>
          <w:sz w:val="14"/>
        </w:rPr>
      </w:pPr>
      <w:r>
        <w:rPr>
          <w:rFonts w:ascii="Times New Roman"/>
          <w:color w:val="231F20"/>
          <w:w w:val="105"/>
          <w:sz w:val="14"/>
        </w:rPr>
        <w:t>Montgomery</w:t>
      </w:r>
      <w:r>
        <w:rPr>
          <w:rFonts w:ascii="Times New Roman"/>
          <w:color w:val="231F20"/>
          <w:spacing w:val="-18"/>
          <w:w w:val="105"/>
          <w:sz w:val="14"/>
        </w:rPr>
        <w:t> </w:t>
      </w:r>
      <w:r>
        <w:rPr>
          <w:rFonts w:ascii="Times New Roman"/>
          <w:color w:val="231F20"/>
          <w:w w:val="105"/>
          <w:sz w:val="14"/>
        </w:rPr>
        <w:t>J.H.</w:t>
      </w:r>
      <w:r>
        <w:rPr>
          <w:rFonts w:ascii="Times New Roman"/>
          <w:color w:val="231F20"/>
          <w:spacing w:val="-18"/>
          <w:w w:val="105"/>
          <w:sz w:val="14"/>
        </w:rPr>
        <w:t> </w:t>
      </w:r>
      <w:r>
        <w:rPr>
          <w:rFonts w:ascii="Times New Roman"/>
          <w:color w:val="231F20"/>
          <w:w w:val="105"/>
          <w:sz w:val="14"/>
        </w:rPr>
        <w:t>(1997).</w:t>
      </w:r>
      <w:r>
        <w:rPr>
          <w:rFonts w:ascii="Times New Roman"/>
          <w:color w:val="231F20"/>
          <w:spacing w:val="-18"/>
          <w:w w:val="105"/>
          <w:sz w:val="14"/>
        </w:rPr>
        <w:t> </w:t>
      </w:r>
      <w:r>
        <w:rPr>
          <w:rFonts w:ascii="Times New Roman"/>
          <w:i/>
          <w:color w:val="231F20"/>
          <w:w w:val="105"/>
          <w:sz w:val="14"/>
        </w:rPr>
        <w:t>Agrochemicals</w:t>
      </w:r>
      <w:r>
        <w:rPr>
          <w:rFonts w:ascii="Times New Roman"/>
          <w:i/>
          <w:color w:val="231F20"/>
          <w:spacing w:val="-18"/>
          <w:w w:val="105"/>
          <w:sz w:val="14"/>
        </w:rPr>
        <w:t> </w:t>
      </w:r>
      <w:r>
        <w:rPr>
          <w:rFonts w:ascii="Times New Roman"/>
          <w:i/>
          <w:color w:val="231F20"/>
          <w:w w:val="105"/>
          <w:sz w:val="14"/>
        </w:rPr>
        <w:t>desk</w:t>
      </w:r>
      <w:r>
        <w:rPr>
          <w:rFonts w:ascii="Times New Roman"/>
          <w:i/>
          <w:color w:val="231F20"/>
          <w:spacing w:val="-18"/>
          <w:w w:val="105"/>
          <w:sz w:val="14"/>
        </w:rPr>
        <w:t> </w:t>
      </w:r>
      <w:r>
        <w:rPr>
          <w:rFonts w:ascii="Times New Roman"/>
          <w:i/>
          <w:color w:val="231F20"/>
          <w:w w:val="105"/>
          <w:sz w:val="14"/>
        </w:rPr>
        <w:t>reference</w:t>
      </w:r>
      <w:r>
        <w:rPr>
          <w:rFonts w:ascii="Times New Roman"/>
          <w:color w:val="231F20"/>
          <w:w w:val="105"/>
          <w:sz w:val="14"/>
        </w:rPr>
        <w:t>. 2a ed., Lewis Publishers, Boca Raton. Nueva </w:t>
      </w:r>
      <w:r>
        <w:rPr>
          <w:rFonts w:ascii="Times New Roman"/>
          <w:color w:val="231F20"/>
          <w:spacing w:val="-3"/>
          <w:w w:val="105"/>
          <w:sz w:val="14"/>
        </w:rPr>
        <w:t>York, </w:t>
      </w:r>
      <w:r>
        <w:rPr>
          <w:rFonts w:ascii="Times New Roman"/>
          <w:color w:val="231F20"/>
          <w:w w:val="105"/>
          <w:sz w:val="14"/>
        </w:rPr>
        <w:t>EUA. 656</w:t>
      </w:r>
      <w:r>
        <w:rPr>
          <w:rFonts w:ascii="Times New Roman"/>
          <w:color w:val="231F20"/>
          <w:spacing w:val="-16"/>
          <w:w w:val="105"/>
          <w:sz w:val="14"/>
        </w:rPr>
        <w:t> </w:t>
      </w:r>
      <w:r>
        <w:rPr>
          <w:rFonts w:ascii="Times New Roman"/>
          <w:color w:val="231F20"/>
          <w:w w:val="105"/>
          <w:sz w:val="14"/>
        </w:rPr>
        <w:t>pp.</w:t>
      </w:r>
    </w:p>
    <w:p>
      <w:pPr>
        <w:spacing w:after="0" w:line="259" w:lineRule="auto"/>
        <w:jc w:val="both"/>
        <w:rPr>
          <w:rFonts w:ascii="Times New Roman"/>
          <w:sz w:val="14"/>
        </w:rPr>
        <w:sectPr>
          <w:type w:val="continuous"/>
          <w:pgSz w:w="12240" w:h="15840"/>
          <w:pgMar w:top="1500" w:bottom="1820" w:left="1460" w:right="1440"/>
          <w:cols w:num="2" w:equalWidth="0">
            <w:col w:w="4457" w:space="40"/>
            <w:col w:w="4843"/>
          </w:cols>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9"/>
        <w:rPr>
          <w:rFonts w:ascii="Times New Roman"/>
          <w:sz w:val="28"/>
        </w:rPr>
      </w:pPr>
    </w:p>
    <w:p>
      <w:pPr>
        <w:tabs>
          <w:tab w:pos="8137" w:val="right" w:leader="none"/>
        </w:tabs>
        <w:spacing w:before="86"/>
        <w:ind w:left="3668" w:right="0" w:firstLine="0"/>
        <w:jc w:val="left"/>
        <w:rPr>
          <w:rFonts w:ascii="Times New Roman" w:hAnsi="Times New Roman"/>
          <w:sz w:val="14"/>
        </w:rPr>
      </w:pPr>
      <w:r>
        <w:rPr>
          <w:rFonts w:ascii="Times New Roman" w:hAnsi="Times New Roman"/>
          <w:color w:val="231F20"/>
          <w:w w:val="105"/>
          <w:sz w:val="11"/>
        </w:rPr>
        <w:t>COSTO POR REMOCIÓN</w:t>
      </w:r>
      <w:r>
        <w:rPr>
          <w:rFonts w:ascii="Times New Roman" w:hAnsi="Times New Roman"/>
          <w:color w:val="231F20"/>
          <w:spacing w:val="-2"/>
          <w:w w:val="105"/>
          <w:sz w:val="11"/>
        </w:rPr>
        <w:t> </w:t>
      </w:r>
      <w:r>
        <w:rPr>
          <w:rFonts w:ascii="Times New Roman" w:hAnsi="Times New Roman"/>
          <w:color w:val="231F20"/>
          <w:w w:val="105"/>
          <w:sz w:val="11"/>
        </w:rPr>
        <w:t>DE</w:t>
      </w:r>
      <w:r>
        <w:rPr>
          <w:rFonts w:ascii="Times New Roman" w:hAnsi="Times New Roman"/>
          <w:color w:val="231F20"/>
          <w:spacing w:val="-1"/>
          <w:w w:val="105"/>
          <w:sz w:val="11"/>
        </w:rPr>
        <w:t> </w:t>
      </w:r>
      <w:r>
        <w:rPr>
          <w:rFonts w:ascii="Times New Roman" w:hAnsi="Times New Roman"/>
          <w:color w:val="231F20"/>
          <w:w w:val="105"/>
          <w:sz w:val="11"/>
        </w:rPr>
        <w:t>FUNGICIDAS</w:t>
      </w:r>
      <w:r>
        <w:rPr>
          <w:rFonts w:ascii="Times New Roman" w:hAnsi="Times New Roman"/>
          <w:color w:val="231F20"/>
          <w:w w:val="105"/>
          <w:sz w:val="14"/>
        </w:rPr>
        <w:tab/>
        <w:t>301</w:t>
      </w:r>
    </w:p>
    <w:p>
      <w:pPr>
        <w:spacing w:after="0"/>
        <w:jc w:val="left"/>
        <w:rPr>
          <w:rFonts w:ascii="Times New Roman" w:hAnsi="Times New Roman"/>
          <w:sz w:val="14"/>
        </w:rPr>
        <w:sectPr>
          <w:pgSz w:w="12240" w:h="15840"/>
          <w:pgMar w:header="719" w:footer="740" w:top="1260" w:bottom="920" w:left="1460" w:right="1440"/>
        </w:sectPr>
      </w:pPr>
    </w:p>
    <w:p>
      <w:pPr>
        <w:pStyle w:val="BodyText"/>
        <w:rPr>
          <w:rFonts w:ascii="Times New Roman"/>
          <w:sz w:val="14"/>
        </w:rPr>
      </w:pPr>
    </w:p>
    <w:p>
      <w:pPr>
        <w:pStyle w:val="BodyText"/>
        <w:spacing w:before="6"/>
        <w:rPr>
          <w:rFonts w:ascii="Times New Roman"/>
          <w:sz w:val="14"/>
        </w:rPr>
      </w:pPr>
    </w:p>
    <w:p>
      <w:pPr>
        <w:spacing w:before="0"/>
        <w:ind w:left="1182" w:right="0" w:firstLine="0"/>
        <w:jc w:val="left"/>
        <w:rPr>
          <w:rFonts w:ascii="Times New Roman"/>
          <w:sz w:val="14"/>
        </w:rPr>
      </w:pPr>
      <w:r>
        <w:rPr>
          <w:rFonts w:ascii="Times New Roman"/>
          <w:color w:val="231F20"/>
          <w:w w:val="105"/>
          <w:sz w:val="14"/>
        </w:rPr>
        <w:t>Salazar</w:t>
      </w:r>
      <w:r>
        <w:rPr>
          <w:rFonts w:ascii="Times New Roman"/>
          <w:color w:val="231F20"/>
          <w:spacing w:val="-14"/>
          <w:w w:val="105"/>
          <w:sz w:val="14"/>
        </w:rPr>
        <w:t> </w:t>
      </w:r>
      <w:r>
        <w:rPr>
          <w:rFonts w:ascii="Times New Roman"/>
          <w:color w:val="231F20"/>
          <w:w w:val="105"/>
          <w:sz w:val="14"/>
        </w:rPr>
        <w:t>L.,</w:t>
      </w:r>
      <w:r>
        <w:rPr>
          <w:rFonts w:ascii="Times New Roman"/>
          <w:color w:val="231F20"/>
          <w:spacing w:val="-16"/>
          <w:w w:val="105"/>
          <w:sz w:val="14"/>
        </w:rPr>
        <w:t> </w:t>
      </w:r>
      <w:r>
        <w:rPr>
          <w:rFonts w:ascii="Times New Roman"/>
          <w:color w:val="231F20"/>
          <w:w w:val="105"/>
          <w:sz w:val="14"/>
        </w:rPr>
        <w:t>Winters</w:t>
      </w:r>
      <w:r>
        <w:rPr>
          <w:rFonts w:ascii="Times New Roman"/>
          <w:color w:val="231F20"/>
          <w:spacing w:val="-15"/>
          <w:w w:val="105"/>
          <w:sz w:val="14"/>
        </w:rPr>
        <w:t> </w:t>
      </w:r>
      <w:r>
        <w:rPr>
          <w:rFonts w:ascii="Times New Roman"/>
          <w:color w:val="231F20"/>
          <w:spacing w:val="-6"/>
          <w:w w:val="105"/>
          <w:sz w:val="14"/>
        </w:rPr>
        <w:t>P.,</w:t>
      </w:r>
      <w:r>
        <w:rPr>
          <w:rFonts w:ascii="Times New Roman"/>
          <w:color w:val="231F20"/>
          <w:spacing w:val="-14"/>
          <w:w w:val="105"/>
          <w:sz w:val="14"/>
        </w:rPr>
        <w:t> </w:t>
      </w:r>
      <w:r>
        <w:rPr>
          <w:rFonts w:ascii="Times New Roman"/>
          <w:color w:val="231F20"/>
          <w:w w:val="105"/>
          <w:sz w:val="14"/>
        </w:rPr>
        <w:t>Maldonado</w:t>
      </w:r>
      <w:r>
        <w:rPr>
          <w:rFonts w:ascii="Times New Roman"/>
          <w:color w:val="231F20"/>
          <w:spacing w:val="-14"/>
          <w:w w:val="105"/>
          <w:sz w:val="14"/>
        </w:rPr>
        <w:t> </w:t>
      </w:r>
      <w:r>
        <w:rPr>
          <w:rFonts w:ascii="Times New Roman"/>
          <w:color w:val="231F20"/>
          <w:w w:val="105"/>
          <w:sz w:val="14"/>
        </w:rPr>
        <w:t>L.,</w:t>
      </w:r>
      <w:r>
        <w:rPr>
          <w:rFonts w:ascii="Times New Roman"/>
          <w:color w:val="231F20"/>
          <w:spacing w:val="-14"/>
          <w:w w:val="105"/>
          <w:sz w:val="14"/>
        </w:rPr>
        <w:t> </w:t>
      </w:r>
      <w:r>
        <w:rPr>
          <w:rFonts w:ascii="Times New Roman"/>
          <w:color w:val="231F20"/>
          <w:w w:val="105"/>
          <w:sz w:val="14"/>
        </w:rPr>
        <w:t>Hareau</w:t>
      </w:r>
      <w:r>
        <w:rPr>
          <w:rFonts w:ascii="Times New Roman"/>
          <w:color w:val="231F20"/>
          <w:spacing w:val="-14"/>
          <w:w w:val="105"/>
          <w:sz w:val="14"/>
        </w:rPr>
        <w:t> </w:t>
      </w:r>
      <w:r>
        <w:rPr>
          <w:rFonts w:ascii="Times New Roman"/>
          <w:color w:val="231F20"/>
          <w:w w:val="105"/>
          <w:sz w:val="14"/>
        </w:rPr>
        <w:t>G.</w:t>
      </w:r>
      <w:r>
        <w:rPr>
          <w:rFonts w:ascii="Times New Roman"/>
          <w:color w:val="231F20"/>
          <w:spacing w:val="-14"/>
          <w:w w:val="105"/>
          <w:sz w:val="14"/>
        </w:rPr>
        <w:t> </w:t>
      </w:r>
      <w:r>
        <w:rPr>
          <w:rFonts w:ascii="Times New Roman"/>
          <w:color w:val="231F20"/>
          <w:w w:val="105"/>
          <w:sz w:val="14"/>
        </w:rPr>
        <w:t>y</w:t>
      </w:r>
      <w:r>
        <w:rPr>
          <w:rFonts w:ascii="Times New Roman"/>
          <w:color w:val="231F20"/>
          <w:spacing w:val="-16"/>
          <w:w w:val="105"/>
          <w:sz w:val="14"/>
        </w:rPr>
        <w:t> </w:t>
      </w:r>
      <w:r>
        <w:rPr>
          <w:rFonts w:ascii="Times New Roman"/>
          <w:color w:val="231F20"/>
          <w:w w:val="105"/>
          <w:sz w:val="14"/>
        </w:rPr>
        <w:t>Thiele</w:t>
      </w:r>
    </w:p>
    <w:p>
      <w:pPr>
        <w:pStyle w:val="ListParagraph"/>
        <w:numPr>
          <w:ilvl w:val="0"/>
          <w:numId w:val="15"/>
        </w:numPr>
        <w:tabs>
          <w:tab w:pos="1555" w:val="left" w:leader="none"/>
        </w:tabs>
        <w:spacing w:line="259" w:lineRule="auto" w:before="12" w:after="0"/>
        <w:ind w:left="1386" w:right="4" w:firstLine="0"/>
        <w:jc w:val="both"/>
        <w:rPr>
          <w:color w:val="231F20"/>
          <w:sz w:val="14"/>
        </w:rPr>
      </w:pPr>
      <w:r>
        <w:rPr>
          <w:color w:val="231F20"/>
          <w:w w:val="105"/>
          <w:sz w:val="14"/>
        </w:rPr>
        <w:t>(2009).</w:t>
      </w:r>
      <w:r>
        <w:rPr>
          <w:color w:val="231F20"/>
          <w:spacing w:val="-24"/>
          <w:w w:val="105"/>
          <w:sz w:val="14"/>
        </w:rPr>
        <w:t> </w:t>
      </w:r>
      <w:r>
        <w:rPr>
          <w:color w:val="231F20"/>
          <w:w w:val="105"/>
          <w:sz w:val="14"/>
        </w:rPr>
        <w:t>Assessing</w:t>
      </w:r>
      <w:r>
        <w:rPr>
          <w:color w:val="231F20"/>
          <w:spacing w:val="-18"/>
          <w:w w:val="105"/>
          <w:sz w:val="14"/>
        </w:rPr>
        <w:t> </w:t>
      </w:r>
      <w:r>
        <w:rPr>
          <w:color w:val="231F20"/>
          <w:w w:val="105"/>
          <w:sz w:val="14"/>
        </w:rPr>
        <w:t>the</w:t>
      </w:r>
      <w:r>
        <w:rPr>
          <w:color w:val="231F20"/>
          <w:spacing w:val="-18"/>
          <w:w w:val="105"/>
          <w:sz w:val="14"/>
        </w:rPr>
        <w:t> </w:t>
      </w:r>
      <w:r>
        <w:rPr>
          <w:color w:val="231F20"/>
          <w:w w:val="105"/>
          <w:sz w:val="14"/>
        </w:rPr>
        <w:t>impact</w:t>
      </w:r>
      <w:r>
        <w:rPr>
          <w:color w:val="231F20"/>
          <w:spacing w:val="-18"/>
          <w:w w:val="105"/>
          <w:sz w:val="14"/>
        </w:rPr>
        <w:t> </w:t>
      </w:r>
      <w:r>
        <w:rPr>
          <w:color w:val="231F20"/>
          <w:w w:val="105"/>
          <w:sz w:val="14"/>
        </w:rPr>
        <w:t>of</w:t>
      </w:r>
      <w:r>
        <w:rPr>
          <w:color w:val="231F20"/>
          <w:spacing w:val="-18"/>
          <w:w w:val="105"/>
          <w:sz w:val="14"/>
        </w:rPr>
        <w:t> </w:t>
      </w:r>
      <w:r>
        <w:rPr>
          <w:color w:val="231F20"/>
          <w:w w:val="105"/>
          <w:sz w:val="14"/>
        </w:rPr>
        <w:t>late</w:t>
      </w:r>
      <w:r>
        <w:rPr>
          <w:color w:val="231F20"/>
          <w:spacing w:val="-18"/>
          <w:w w:val="105"/>
          <w:sz w:val="14"/>
        </w:rPr>
        <w:t> </w:t>
      </w:r>
      <w:r>
        <w:rPr>
          <w:color w:val="231F20"/>
          <w:w w:val="105"/>
          <w:sz w:val="14"/>
        </w:rPr>
        <w:t>blight</w:t>
      </w:r>
      <w:r>
        <w:rPr>
          <w:color w:val="231F20"/>
          <w:spacing w:val="-18"/>
          <w:w w:val="105"/>
          <w:sz w:val="14"/>
        </w:rPr>
        <w:t> </w:t>
      </w:r>
      <w:r>
        <w:rPr>
          <w:color w:val="231F20"/>
          <w:w w:val="105"/>
          <w:sz w:val="14"/>
        </w:rPr>
        <w:t>resistant varieties on smallholders’ potato production in the Peruvian Andes. International Potato Center (CIP), Lima, Perú. 30</w:t>
      </w:r>
      <w:r>
        <w:rPr>
          <w:color w:val="231F20"/>
          <w:spacing w:val="-24"/>
          <w:w w:val="105"/>
          <w:sz w:val="14"/>
        </w:rPr>
        <w:t> </w:t>
      </w:r>
      <w:r>
        <w:rPr>
          <w:color w:val="231F20"/>
          <w:w w:val="105"/>
          <w:sz w:val="14"/>
        </w:rPr>
        <w:t>pp.</w:t>
      </w:r>
    </w:p>
    <w:p>
      <w:pPr>
        <w:spacing w:before="0"/>
        <w:ind w:left="1182" w:right="0" w:firstLine="0"/>
        <w:jc w:val="left"/>
        <w:rPr>
          <w:rFonts w:ascii="Times New Roman" w:hAnsi="Times New Roman"/>
          <w:sz w:val="14"/>
        </w:rPr>
      </w:pPr>
      <w:r>
        <w:rPr>
          <w:rFonts w:ascii="Times New Roman" w:hAnsi="Times New Roman"/>
          <w:color w:val="231F20"/>
          <w:w w:val="105"/>
          <w:sz w:val="14"/>
        </w:rPr>
        <w:t>SAS</w:t>
      </w:r>
      <w:r>
        <w:rPr>
          <w:rFonts w:ascii="Times New Roman" w:hAnsi="Times New Roman"/>
          <w:color w:val="231F20"/>
          <w:spacing w:val="-27"/>
          <w:w w:val="105"/>
          <w:sz w:val="14"/>
        </w:rPr>
        <w:t> </w:t>
      </w:r>
      <w:r>
        <w:rPr>
          <w:rFonts w:ascii="Times New Roman" w:hAnsi="Times New Roman"/>
          <w:color w:val="231F20"/>
          <w:w w:val="105"/>
          <w:sz w:val="14"/>
        </w:rPr>
        <w:t>Institute.</w:t>
      </w:r>
      <w:r>
        <w:rPr>
          <w:rFonts w:ascii="Times New Roman" w:hAnsi="Times New Roman"/>
          <w:color w:val="231F20"/>
          <w:spacing w:val="-27"/>
          <w:w w:val="105"/>
          <w:sz w:val="14"/>
        </w:rPr>
        <w:t> </w:t>
      </w:r>
      <w:r>
        <w:rPr>
          <w:rFonts w:ascii="Times New Roman" w:hAnsi="Times New Roman"/>
          <w:color w:val="231F20"/>
          <w:w w:val="105"/>
          <w:sz w:val="14"/>
        </w:rPr>
        <w:t>(1998).</w:t>
      </w:r>
      <w:r>
        <w:rPr>
          <w:rFonts w:ascii="Times New Roman" w:hAnsi="Times New Roman"/>
          <w:color w:val="231F20"/>
          <w:spacing w:val="-27"/>
          <w:w w:val="105"/>
          <w:sz w:val="14"/>
        </w:rPr>
        <w:t> </w:t>
      </w:r>
      <w:r>
        <w:rPr>
          <w:rFonts w:ascii="Times New Roman" w:hAnsi="Times New Roman"/>
          <w:color w:val="231F20"/>
          <w:spacing w:val="-4"/>
          <w:w w:val="105"/>
          <w:sz w:val="14"/>
        </w:rPr>
        <w:t>SAS/STATR</w:t>
      </w:r>
      <w:r>
        <w:rPr>
          <w:rFonts w:ascii="Times New Roman" w:hAnsi="Times New Roman"/>
          <w:color w:val="231F20"/>
          <w:spacing w:val="-27"/>
          <w:w w:val="105"/>
          <w:sz w:val="14"/>
        </w:rPr>
        <w:t> </w:t>
      </w:r>
      <w:r>
        <w:rPr>
          <w:rFonts w:ascii="Times New Roman" w:hAnsi="Times New Roman"/>
          <w:color w:val="231F20"/>
          <w:w w:val="105"/>
          <w:sz w:val="14"/>
        </w:rPr>
        <w:t>User´s</w:t>
      </w:r>
      <w:r>
        <w:rPr>
          <w:rFonts w:ascii="Times New Roman" w:hAnsi="Times New Roman"/>
          <w:color w:val="231F20"/>
          <w:spacing w:val="-27"/>
          <w:w w:val="105"/>
          <w:sz w:val="14"/>
        </w:rPr>
        <w:t> </w:t>
      </w:r>
      <w:r>
        <w:rPr>
          <w:rFonts w:ascii="Times New Roman" w:hAnsi="Times New Roman"/>
          <w:color w:val="231F20"/>
          <w:w w:val="105"/>
          <w:sz w:val="14"/>
        </w:rPr>
        <w:t>Guide.</w:t>
      </w:r>
      <w:r>
        <w:rPr>
          <w:rFonts w:ascii="Times New Roman" w:hAnsi="Times New Roman"/>
          <w:color w:val="231F20"/>
          <w:spacing w:val="-27"/>
          <w:w w:val="105"/>
          <w:sz w:val="14"/>
        </w:rPr>
        <w:t> </w:t>
      </w:r>
      <w:r>
        <w:rPr>
          <w:rFonts w:ascii="Times New Roman" w:hAnsi="Times New Roman"/>
          <w:color w:val="231F20"/>
          <w:w w:val="105"/>
          <w:sz w:val="14"/>
        </w:rPr>
        <w:t>Release</w:t>
      </w:r>
    </w:p>
    <w:p>
      <w:pPr>
        <w:spacing w:line="259" w:lineRule="auto" w:before="12"/>
        <w:ind w:left="1386" w:right="6" w:firstLine="0"/>
        <w:jc w:val="both"/>
        <w:rPr>
          <w:rFonts w:ascii="Times New Roman"/>
          <w:sz w:val="14"/>
        </w:rPr>
      </w:pPr>
      <w:r>
        <w:rPr>
          <w:rFonts w:ascii="Times New Roman"/>
          <w:color w:val="231F20"/>
          <w:w w:val="105"/>
          <w:sz w:val="14"/>
        </w:rPr>
        <w:t>6.03 edition. SAS Institute Inc. Cary. Carolina del Norte, EUA. 364 pp.</w:t>
      </w:r>
    </w:p>
    <w:p>
      <w:pPr>
        <w:spacing w:line="259" w:lineRule="auto" w:before="0"/>
        <w:ind w:left="1386" w:right="4" w:hanging="205"/>
        <w:jc w:val="both"/>
        <w:rPr>
          <w:rFonts w:ascii="Times New Roman" w:hAnsi="Times New Roman"/>
          <w:sz w:val="14"/>
        </w:rPr>
      </w:pPr>
      <w:r>
        <w:rPr>
          <w:rFonts w:ascii="Times New Roman" w:hAnsi="Times New Roman"/>
          <w:color w:val="231F20"/>
          <w:w w:val="105"/>
          <w:sz w:val="14"/>
        </w:rPr>
        <w:t>Scheaffer</w:t>
      </w:r>
      <w:r>
        <w:rPr>
          <w:rFonts w:ascii="Times New Roman" w:hAnsi="Times New Roman"/>
          <w:color w:val="231F20"/>
          <w:spacing w:val="-25"/>
          <w:w w:val="105"/>
          <w:sz w:val="14"/>
        </w:rPr>
        <w:t> </w:t>
      </w:r>
      <w:r>
        <w:rPr>
          <w:rFonts w:ascii="Times New Roman" w:hAnsi="Times New Roman"/>
          <w:color w:val="231F20"/>
          <w:w w:val="105"/>
          <w:sz w:val="14"/>
        </w:rPr>
        <w:t>R.</w:t>
      </w:r>
      <w:r>
        <w:rPr>
          <w:rFonts w:ascii="Times New Roman" w:hAnsi="Times New Roman"/>
          <w:color w:val="231F20"/>
          <w:spacing w:val="-25"/>
          <w:w w:val="105"/>
          <w:sz w:val="14"/>
        </w:rPr>
        <w:t> </w:t>
      </w:r>
      <w:r>
        <w:rPr>
          <w:rFonts w:ascii="Times New Roman" w:hAnsi="Times New Roman"/>
          <w:color w:val="231F20"/>
          <w:w w:val="105"/>
          <w:sz w:val="14"/>
        </w:rPr>
        <w:t>L.,</w:t>
      </w:r>
      <w:r>
        <w:rPr>
          <w:rFonts w:ascii="Times New Roman" w:hAnsi="Times New Roman"/>
          <w:color w:val="231F20"/>
          <w:spacing w:val="-25"/>
          <w:w w:val="105"/>
          <w:sz w:val="14"/>
        </w:rPr>
        <w:t> </w:t>
      </w:r>
      <w:r>
        <w:rPr>
          <w:rFonts w:ascii="Times New Roman" w:hAnsi="Times New Roman"/>
          <w:color w:val="231F20"/>
          <w:w w:val="105"/>
          <w:sz w:val="14"/>
        </w:rPr>
        <w:t>Mendenhall</w:t>
      </w:r>
      <w:r>
        <w:rPr>
          <w:rFonts w:ascii="Times New Roman" w:hAnsi="Times New Roman"/>
          <w:color w:val="231F20"/>
          <w:spacing w:val="-26"/>
          <w:w w:val="105"/>
          <w:sz w:val="14"/>
        </w:rPr>
        <w:t> </w:t>
      </w:r>
      <w:r>
        <w:rPr>
          <w:rFonts w:ascii="Times New Roman" w:hAnsi="Times New Roman"/>
          <w:color w:val="231F20"/>
          <w:spacing w:val="-8"/>
          <w:w w:val="105"/>
          <w:sz w:val="14"/>
        </w:rPr>
        <w:t>W.</w:t>
      </w:r>
      <w:r>
        <w:rPr>
          <w:rFonts w:ascii="Times New Roman" w:hAnsi="Times New Roman"/>
          <w:color w:val="231F20"/>
          <w:spacing w:val="-25"/>
          <w:w w:val="105"/>
          <w:sz w:val="14"/>
        </w:rPr>
        <w:t> </w:t>
      </w:r>
      <w:r>
        <w:rPr>
          <w:rFonts w:ascii="Times New Roman" w:hAnsi="Times New Roman"/>
          <w:color w:val="231F20"/>
          <w:w w:val="105"/>
          <w:sz w:val="14"/>
        </w:rPr>
        <w:t>y</w:t>
      </w:r>
      <w:r>
        <w:rPr>
          <w:rFonts w:ascii="Times New Roman" w:hAnsi="Times New Roman"/>
          <w:color w:val="231F20"/>
          <w:spacing w:val="-25"/>
          <w:w w:val="105"/>
          <w:sz w:val="14"/>
        </w:rPr>
        <w:t> </w:t>
      </w:r>
      <w:r>
        <w:rPr>
          <w:rFonts w:ascii="Times New Roman" w:hAnsi="Times New Roman"/>
          <w:color w:val="231F20"/>
          <w:w w:val="105"/>
          <w:sz w:val="14"/>
        </w:rPr>
        <w:t>Ott</w:t>
      </w:r>
      <w:r>
        <w:rPr>
          <w:rFonts w:ascii="Times New Roman" w:hAnsi="Times New Roman"/>
          <w:color w:val="231F20"/>
          <w:spacing w:val="-25"/>
          <w:w w:val="105"/>
          <w:sz w:val="14"/>
        </w:rPr>
        <w:t> </w:t>
      </w:r>
      <w:r>
        <w:rPr>
          <w:rFonts w:ascii="Times New Roman" w:hAnsi="Times New Roman"/>
          <w:color w:val="231F20"/>
          <w:w w:val="105"/>
          <w:sz w:val="14"/>
        </w:rPr>
        <w:t>L.</w:t>
      </w:r>
      <w:r>
        <w:rPr>
          <w:rFonts w:ascii="Times New Roman" w:hAnsi="Times New Roman"/>
          <w:color w:val="231F20"/>
          <w:spacing w:val="-25"/>
          <w:w w:val="105"/>
          <w:sz w:val="14"/>
        </w:rPr>
        <w:t> </w:t>
      </w:r>
      <w:r>
        <w:rPr>
          <w:rFonts w:ascii="Times New Roman" w:hAnsi="Times New Roman"/>
          <w:color w:val="231F20"/>
          <w:w w:val="105"/>
          <w:sz w:val="14"/>
        </w:rPr>
        <w:t>(1987).</w:t>
      </w:r>
      <w:r>
        <w:rPr>
          <w:rFonts w:ascii="Times New Roman" w:hAnsi="Times New Roman"/>
          <w:color w:val="231F20"/>
          <w:spacing w:val="-25"/>
          <w:w w:val="105"/>
          <w:sz w:val="14"/>
        </w:rPr>
        <w:t> </w:t>
      </w:r>
      <w:r>
        <w:rPr>
          <w:rFonts w:ascii="Times New Roman" w:hAnsi="Times New Roman"/>
          <w:i/>
          <w:color w:val="231F20"/>
          <w:w w:val="105"/>
          <w:sz w:val="14"/>
        </w:rPr>
        <w:t>Elementos </w:t>
      </w:r>
      <w:r>
        <w:rPr>
          <w:rFonts w:ascii="Times New Roman" w:hAnsi="Times New Roman"/>
          <w:i/>
          <w:color w:val="231F20"/>
          <w:w w:val="105"/>
          <w:sz w:val="14"/>
        </w:rPr>
        <w:t>de</w:t>
      </w:r>
      <w:r>
        <w:rPr>
          <w:rFonts w:ascii="Times New Roman" w:hAnsi="Times New Roman"/>
          <w:i/>
          <w:color w:val="231F20"/>
          <w:spacing w:val="-13"/>
          <w:w w:val="105"/>
          <w:sz w:val="14"/>
        </w:rPr>
        <w:t> </w:t>
      </w:r>
      <w:r>
        <w:rPr>
          <w:rFonts w:ascii="Times New Roman" w:hAnsi="Times New Roman"/>
          <w:i/>
          <w:color w:val="231F20"/>
          <w:w w:val="105"/>
          <w:sz w:val="14"/>
        </w:rPr>
        <w:t>muestreo</w:t>
      </w:r>
      <w:r>
        <w:rPr>
          <w:rFonts w:ascii="Times New Roman" w:hAnsi="Times New Roman"/>
          <w:color w:val="231F20"/>
          <w:w w:val="105"/>
          <w:sz w:val="14"/>
        </w:rPr>
        <w:t>.</w:t>
      </w:r>
      <w:r>
        <w:rPr>
          <w:rFonts w:ascii="Times New Roman" w:hAnsi="Times New Roman"/>
          <w:color w:val="231F20"/>
          <w:spacing w:val="-13"/>
          <w:w w:val="105"/>
          <w:sz w:val="14"/>
        </w:rPr>
        <w:t> </w:t>
      </w:r>
      <w:r>
        <w:rPr>
          <w:rFonts w:ascii="Times New Roman" w:hAnsi="Times New Roman"/>
          <w:color w:val="231F20"/>
          <w:w w:val="105"/>
          <w:sz w:val="14"/>
        </w:rPr>
        <w:t>3a</w:t>
      </w:r>
      <w:r>
        <w:rPr>
          <w:rFonts w:ascii="Times New Roman" w:hAnsi="Times New Roman"/>
          <w:color w:val="231F20"/>
          <w:spacing w:val="-13"/>
          <w:w w:val="105"/>
          <w:sz w:val="14"/>
        </w:rPr>
        <w:t> </w:t>
      </w:r>
      <w:r>
        <w:rPr>
          <w:rFonts w:ascii="Times New Roman" w:hAnsi="Times New Roman"/>
          <w:color w:val="231F20"/>
          <w:w w:val="105"/>
          <w:sz w:val="14"/>
        </w:rPr>
        <w:t>ed.</w:t>
      </w:r>
      <w:r>
        <w:rPr>
          <w:rFonts w:ascii="Times New Roman" w:hAnsi="Times New Roman"/>
          <w:color w:val="231F20"/>
          <w:spacing w:val="-13"/>
          <w:w w:val="105"/>
          <w:sz w:val="14"/>
        </w:rPr>
        <w:t> </w:t>
      </w:r>
      <w:r>
        <w:rPr>
          <w:rFonts w:ascii="Times New Roman" w:hAnsi="Times New Roman"/>
          <w:color w:val="231F20"/>
          <w:w w:val="105"/>
          <w:sz w:val="14"/>
        </w:rPr>
        <w:t>Iberoamericana.</w:t>
      </w:r>
      <w:r>
        <w:rPr>
          <w:rFonts w:ascii="Times New Roman" w:hAnsi="Times New Roman"/>
          <w:color w:val="231F20"/>
          <w:spacing w:val="-13"/>
          <w:w w:val="105"/>
          <w:sz w:val="14"/>
        </w:rPr>
        <w:t> </w:t>
      </w:r>
      <w:r>
        <w:rPr>
          <w:rFonts w:ascii="Times New Roman" w:hAnsi="Times New Roman"/>
          <w:color w:val="231F20"/>
          <w:w w:val="105"/>
          <w:sz w:val="14"/>
        </w:rPr>
        <w:t>Distrito</w:t>
      </w:r>
      <w:r>
        <w:rPr>
          <w:rFonts w:ascii="Times New Roman" w:hAnsi="Times New Roman"/>
          <w:color w:val="231F20"/>
          <w:spacing w:val="-13"/>
          <w:w w:val="105"/>
          <w:sz w:val="14"/>
        </w:rPr>
        <w:t> </w:t>
      </w:r>
      <w:r>
        <w:rPr>
          <w:rFonts w:ascii="Times New Roman" w:hAnsi="Times New Roman"/>
          <w:color w:val="231F20"/>
          <w:w w:val="105"/>
          <w:sz w:val="14"/>
        </w:rPr>
        <w:t>Federal, México.</w:t>
      </w:r>
      <w:r>
        <w:rPr>
          <w:rFonts w:ascii="Times New Roman" w:hAnsi="Times New Roman"/>
          <w:color w:val="231F20"/>
          <w:spacing w:val="-23"/>
          <w:w w:val="105"/>
          <w:sz w:val="14"/>
        </w:rPr>
        <w:t> </w:t>
      </w:r>
      <w:r>
        <w:rPr>
          <w:rFonts w:ascii="Times New Roman" w:hAnsi="Times New Roman"/>
          <w:color w:val="231F20"/>
          <w:w w:val="105"/>
          <w:sz w:val="14"/>
        </w:rPr>
        <w:t>321pp.</w:t>
      </w:r>
    </w:p>
    <w:p>
      <w:pPr>
        <w:spacing w:line="259" w:lineRule="auto" w:before="0"/>
        <w:ind w:left="1386" w:right="0" w:hanging="205"/>
        <w:jc w:val="both"/>
        <w:rPr>
          <w:rFonts w:ascii="Times New Roman" w:hAnsi="Times New Roman"/>
          <w:sz w:val="14"/>
        </w:rPr>
      </w:pPr>
      <w:r>
        <w:rPr>
          <w:rFonts w:ascii="Times New Roman" w:hAnsi="Times New Roman"/>
          <w:color w:val="231F20"/>
          <w:w w:val="105"/>
          <w:sz w:val="14"/>
        </w:rPr>
        <w:t>SIAP (2010). Cierre de la producción agrícola: ta- bla producción agrícola. Servicio de Informa- ción Agroalimentaria y Pesquera. [en línea]. </w:t>
      </w:r>
      <w:hyperlink r:id="rId48">
        <w:r>
          <w:rPr>
            <w:rFonts w:ascii="Times New Roman" w:hAnsi="Times New Roman"/>
            <w:color w:val="231F20"/>
            <w:sz w:val="14"/>
          </w:rPr>
          <w:t>http://www.siap.gob.mx/index.php?option=com_</w:t>
        </w:r>
      </w:hyperlink>
      <w:r>
        <w:rPr>
          <w:rFonts w:ascii="Times New Roman" w:hAnsi="Times New Roman"/>
          <w:color w:val="231F20"/>
          <w:sz w:val="14"/>
        </w:rPr>
        <w:t> </w:t>
      </w:r>
      <w:r>
        <w:rPr>
          <w:rFonts w:ascii="Times New Roman" w:hAnsi="Times New Roman"/>
          <w:color w:val="231F20"/>
          <w:w w:val="105"/>
          <w:sz w:val="14"/>
        </w:rPr>
        <w:t>wrapper&amp;view=wrapper&amp;Itemid=350 10/03/2011.</w:t>
      </w:r>
    </w:p>
    <w:p>
      <w:pPr>
        <w:pStyle w:val="BodyText"/>
        <w:rPr>
          <w:rFonts w:ascii="Times New Roman"/>
          <w:sz w:val="14"/>
        </w:rPr>
      </w:pPr>
      <w:r>
        <w:rPr/>
        <w:br w:type="column"/>
      </w:r>
      <w:r>
        <w:rPr>
          <w:rFonts w:ascii="Times New Roman"/>
          <w:sz w:val="14"/>
        </w:rPr>
      </w:r>
    </w:p>
    <w:p>
      <w:pPr>
        <w:pStyle w:val="BodyText"/>
        <w:spacing w:before="6"/>
        <w:rPr>
          <w:rFonts w:ascii="Times New Roman"/>
          <w:sz w:val="14"/>
        </w:rPr>
      </w:pPr>
    </w:p>
    <w:p>
      <w:pPr>
        <w:spacing w:line="259" w:lineRule="auto" w:before="0"/>
        <w:ind w:left="567" w:right="1200" w:hanging="205"/>
        <w:jc w:val="both"/>
        <w:rPr>
          <w:rFonts w:ascii="Times New Roman" w:hAnsi="Times New Roman"/>
          <w:sz w:val="14"/>
        </w:rPr>
      </w:pPr>
      <w:r>
        <w:rPr>
          <w:rFonts w:ascii="Times New Roman" w:hAnsi="Times New Roman"/>
          <w:color w:val="231F20"/>
          <w:w w:val="105"/>
          <w:sz w:val="14"/>
        </w:rPr>
        <w:t>SMAEDOMEX</w:t>
      </w:r>
      <w:r>
        <w:rPr>
          <w:rFonts w:ascii="Times New Roman" w:hAnsi="Times New Roman"/>
          <w:color w:val="231F20"/>
          <w:spacing w:val="-12"/>
          <w:w w:val="105"/>
          <w:sz w:val="14"/>
        </w:rPr>
        <w:t> </w:t>
      </w:r>
      <w:r>
        <w:rPr>
          <w:rFonts w:ascii="Times New Roman" w:hAnsi="Times New Roman"/>
          <w:color w:val="231F20"/>
          <w:w w:val="105"/>
          <w:sz w:val="14"/>
        </w:rPr>
        <w:t>(2011).</w:t>
      </w:r>
      <w:r>
        <w:rPr>
          <w:rFonts w:ascii="Times New Roman" w:hAnsi="Times New Roman"/>
          <w:color w:val="231F20"/>
          <w:spacing w:val="-13"/>
          <w:w w:val="105"/>
          <w:sz w:val="14"/>
        </w:rPr>
        <w:t> </w:t>
      </w:r>
      <w:r>
        <w:rPr>
          <w:rFonts w:ascii="Times New Roman" w:hAnsi="Times New Roman"/>
          <w:color w:val="231F20"/>
          <w:w w:val="105"/>
          <w:sz w:val="14"/>
        </w:rPr>
        <w:t>Propuesta</w:t>
      </w:r>
      <w:r>
        <w:rPr>
          <w:rFonts w:ascii="Times New Roman" w:hAnsi="Times New Roman"/>
          <w:color w:val="231F20"/>
          <w:spacing w:val="-12"/>
          <w:w w:val="105"/>
          <w:sz w:val="14"/>
        </w:rPr>
        <w:t> </w:t>
      </w:r>
      <w:r>
        <w:rPr>
          <w:rFonts w:ascii="Times New Roman" w:hAnsi="Times New Roman"/>
          <w:color w:val="231F20"/>
          <w:w w:val="105"/>
          <w:sz w:val="14"/>
        </w:rPr>
        <w:t>de</w:t>
      </w:r>
      <w:r>
        <w:rPr>
          <w:rFonts w:ascii="Times New Roman" w:hAnsi="Times New Roman"/>
          <w:color w:val="231F20"/>
          <w:spacing w:val="-13"/>
          <w:w w:val="105"/>
          <w:sz w:val="14"/>
        </w:rPr>
        <w:t> </w:t>
      </w:r>
      <w:r>
        <w:rPr>
          <w:rFonts w:ascii="Times New Roman" w:hAnsi="Times New Roman"/>
          <w:color w:val="231F20"/>
          <w:w w:val="105"/>
          <w:sz w:val="14"/>
        </w:rPr>
        <w:t>recategorización</w:t>
      </w:r>
      <w:r>
        <w:rPr>
          <w:rFonts w:ascii="Times New Roman" w:hAnsi="Times New Roman"/>
          <w:color w:val="231F20"/>
          <w:spacing w:val="-13"/>
          <w:w w:val="105"/>
          <w:sz w:val="14"/>
        </w:rPr>
        <w:t> </w:t>
      </w:r>
      <w:r>
        <w:rPr>
          <w:rFonts w:ascii="Times New Roman" w:hAnsi="Times New Roman"/>
          <w:color w:val="231F20"/>
          <w:w w:val="105"/>
          <w:sz w:val="14"/>
        </w:rPr>
        <w:t>y decreto del parque nacional nevado de Toluca. Sec- retaría del Medio Ambiente del Estado de México. Gobierno</w:t>
      </w:r>
      <w:r>
        <w:rPr>
          <w:rFonts w:ascii="Times New Roman" w:hAnsi="Times New Roman"/>
          <w:color w:val="231F20"/>
          <w:spacing w:val="-11"/>
          <w:w w:val="105"/>
          <w:sz w:val="14"/>
        </w:rPr>
        <w:t> </w:t>
      </w:r>
      <w:r>
        <w:rPr>
          <w:rFonts w:ascii="Times New Roman" w:hAnsi="Times New Roman"/>
          <w:color w:val="231F20"/>
          <w:w w:val="105"/>
          <w:sz w:val="14"/>
        </w:rPr>
        <w:t>del</w:t>
      </w:r>
      <w:r>
        <w:rPr>
          <w:rFonts w:ascii="Times New Roman" w:hAnsi="Times New Roman"/>
          <w:color w:val="231F20"/>
          <w:spacing w:val="-11"/>
          <w:w w:val="105"/>
          <w:sz w:val="14"/>
        </w:rPr>
        <w:t> </w:t>
      </w:r>
      <w:r>
        <w:rPr>
          <w:rFonts w:ascii="Times New Roman" w:hAnsi="Times New Roman"/>
          <w:color w:val="231F20"/>
          <w:w w:val="105"/>
          <w:sz w:val="14"/>
        </w:rPr>
        <w:t>Estado</w:t>
      </w:r>
      <w:r>
        <w:rPr>
          <w:rFonts w:ascii="Times New Roman" w:hAnsi="Times New Roman"/>
          <w:color w:val="231F20"/>
          <w:spacing w:val="-12"/>
          <w:w w:val="105"/>
          <w:sz w:val="14"/>
        </w:rPr>
        <w:t> </w:t>
      </w:r>
      <w:r>
        <w:rPr>
          <w:rFonts w:ascii="Times New Roman" w:hAnsi="Times New Roman"/>
          <w:color w:val="231F20"/>
          <w:w w:val="105"/>
          <w:sz w:val="14"/>
        </w:rPr>
        <w:t>de</w:t>
      </w:r>
      <w:r>
        <w:rPr>
          <w:rFonts w:ascii="Times New Roman" w:hAnsi="Times New Roman"/>
          <w:color w:val="231F20"/>
          <w:spacing w:val="-11"/>
          <w:w w:val="105"/>
          <w:sz w:val="14"/>
        </w:rPr>
        <w:t> </w:t>
      </w:r>
      <w:r>
        <w:rPr>
          <w:rFonts w:ascii="Times New Roman" w:hAnsi="Times New Roman"/>
          <w:color w:val="231F20"/>
          <w:w w:val="105"/>
          <w:sz w:val="14"/>
        </w:rPr>
        <w:t>México.</w:t>
      </w:r>
      <w:r>
        <w:rPr>
          <w:rFonts w:ascii="Times New Roman" w:hAnsi="Times New Roman"/>
          <w:color w:val="231F20"/>
          <w:spacing w:val="-13"/>
          <w:w w:val="105"/>
          <w:sz w:val="14"/>
        </w:rPr>
        <w:t> </w:t>
      </w:r>
      <w:r>
        <w:rPr>
          <w:rFonts w:ascii="Times New Roman" w:hAnsi="Times New Roman"/>
          <w:color w:val="231F20"/>
          <w:w w:val="105"/>
          <w:sz w:val="14"/>
        </w:rPr>
        <w:t>Toluca.</w:t>
      </w:r>
      <w:r>
        <w:rPr>
          <w:rFonts w:ascii="Times New Roman" w:hAnsi="Times New Roman"/>
          <w:color w:val="231F20"/>
          <w:spacing w:val="-11"/>
          <w:w w:val="105"/>
          <w:sz w:val="14"/>
        </w:rPr>
        <w:t> </w:t>
      </w:r>
      <w:r>
        <w:rPr>
          <w:rFonts w:ascii="Times New Roman" w:hAnsi="Times New Roman"/>
          <w:color w:val="231F20"/>
          <w:w w:val="105"/>
          <w:sz w:val="14"/>
        </w:rPr>
        <w:t>83</w:t>
      </w:r>
      <w:r>
        <w:rPr>
          <w:rFonts w:ascii="Times New Roman" w:hAnsi="Times New Roman"/>
          <w:color w:val="231F20"/>
          <w:spacing w:val="-11"/>
          <w:w w:val="105"/>
          <w:sz w:val="14"/>
        </w:rPr>
        <w:t> </w:t>
      </w:r>
      <w:r>
        <w:rPr>
          <w:rFonts w:ascii="Times New Roman" w:hAnsi="Times New Roman"/>
          <w:color w:val="231F20"/>
          <w:w w:val="105"/>
          <w:sz w:val="14"/>
        </w:rPr>
        <w:t>pp.</w:t>
      </w:r>
    </w:p>
    <w:p>
      <w:pPr>
        <w:spacing w:line="259" w:lineRule="auto" w:before="0"/>
        <w:ind w:left="567" w:right="1198" w:hanging="205"/>
        <w:jc w:val="both"/>
        <w:rPr>
          <w:rFonts w:ascii="Times New Roman" w:hAnsi="Times New Roman"/>
          <w:sz w:val="14"/>
        </w:rPr>
      </w:pPr>
      <w:r>
        <w:rPr>
          <w:rFonts w:ascii="Times New Roman" w:hAnsi="Times New Roman"/>
          <w:color w:val="231F20"/>
          <w:w w:val="105"/>
          <w:sz w:val="14"/>
        </w:rPr>
        <w:t>University</w:t>
      </w:r>
      <w:r>
        <w:rPr>
          <w:rFonts w:ascii="Times New Roman" w:hAnsi="Times New Roman"/>
          <w:color w:val="231F20"/>
          <w:spacing w:val="-5"/>
          <w:w w:val="105"/>
          <w:sz w:val="14"/>
        </w:rPr>
        <w:t> </w:t>
      </w:r>
      <w:r>
        <w:rPr>
          <w:rFonts w:ascii="Times New Roman" w:hAnsi="Times New Roman"/>
          <w:color w:val="231F20"/>
          <w:w w:val="105"/>
          <w:sz w:val="14"/>
        </w:rPr>
        <w:t>of</w:t>
      </w:r>
      <w:r>
        <w:rPr>
          <w:rFonts w:ascii="Times New Roman" w:hAnsi="Times New Roman"/>
          <w:color w:val="231F20"/>
          <w:spacing w:val="-6"/>
          <w:w w:val="105"/>
          <w:sz w:val="14"/>
        </w:rPr>
        <w:t> </w:t>
      </w:r>
      <w:r>
        <w:rPr>
          <w:rFonts w:ascii="Times New Roman" w:hAnsi="Times New Roman"/>
          <w:color w:val="231F20"/>
          <w:w w:val="105"/>
          <w:sz w:val="14"/>
        </w:rPr>
        <w:t>Hertfordshire</w:t>
      </w:r>
      <w:r>
        <w:rPr>
          <w:rFonts w:ascii="Times New Roman" w:hAnsi="Times New Roman"/>
          <w:color w:val="231F20"/>
          <w:spacing w:val="-5"/>
          <w:w w:val="105"/>
          <w:sz w:val="14"/>
        </w:rPr>
        <w:t> </w:t>
      </w:r>
      <w:r>
        <w:rPr>
          <w:rFonts w:ascii="Times New Roman" w:hAnsi="Times New Roman"/>
          <w:color w:val="231F20"/>
          <w:w w:val="105"/>
          <w:sz w:val="14"/>
        </w:rPr>
        <w:t>(2007).</w:t>
      </w:r>
      <w:r>
        <w:rPr>
          <w:rFonts w:ascii="Times New Roman" w:hAnsi="Times New Roman"/>
          <w:color w:val="231F20"/>
          <w:spacing w:val="-6"/>
          <w:w w:val="105"/>
          <w:sz w:val="14"/>
        </w:rPr>
        <w:t> </w:t>
      </w:r>
      <w:r>
        <w:rPr>
          <w:rFonts w:ascii="Times New Roman" w:hAnsi="Times New Roman"/>
          <w:color w:val="231F20"/>
          <w:w w:val="105"/>
          <w:sz w:val="14"/>
        </w:rPr>
        <w:t>Base</w:t>
      </w:r>
      <w:r>
        <w:rPr>
          <w:rFonts w:ascii="Times New Roman" w:hAnsi="Times New Roman"/>
          <w:color w:val="231F20"/>
          <w:spacing w:val="-6"/>
          <w:w w:val="105"/>
          <w:sz w:val="14"/>
        </w:rPr>
        <w:t> </w:t>
      </w:r>
      <w:r>
        <w:rPr>
          <w:rFonts w:ascii="Times New Roman" w:hAnsi="Times New Roman"/>
          <w:color w:val="231F20"/>
          <w:w w:val="105"/>
          <w:sz w:val="14"/>
        </w:rPr>
        <w:t>de</w:t>
      </w:r>
      <w:r>
        <w:rPr>
          <w:rFonts w:ascii="Times New Roman" w:hAnsi="Times New Roman"/>
          <w:color w:val="231F20"/>
          <w:spacing w:val="-6"/>
          <w:w w:val="105"/>
          <w:sz w:val="14"/>
        </w:rPr>
        <w:t> </w:t>
      </w:r>
      <w:r>
        <w:rPr>
          <w:rFonts w:ascii="Times New Roman" w:hAnsi="Times New Roman"/>
          <w:color w:val="231F20"/>
          <w:w w:val="105"/>
          <w:sz w:val="14"/>
        </w:rPr>
        <w:t>datos</w:t>
      </w:r>
      <w:r>
        <w:rPr>
          <w:rFonts w:ascii="Times New Roman" w:hAnsi="Times New Roman"/>
          <w:color w:val="231F20"/>
          <w:spacing w:val="-6"/>
          <w:w w:val="105"/>
          <w:sz w:val="14"/>
        </w:rPr>
        <w:t> </w:t>
      </w:r>
      <w:r>
        <w:rPr>
          <w:rFonts w:ascii="Times New Roman" w:hAnsi="Times New Roman"/>
          <w:color w:val="231F20"/>
          <w:w w:val="105"/>
          <w:sz w:val="14"/>
        </w:rPr>
        <w:t>de</w:t>
      </w:r>
      <w:r>
        <w:rPr>
          <w:rFonts w:ascii="Times New Roman" w:hAnsi="Times New Roman"/>
          <w:color w:val="231F20"/>
          <w:spacing w:val="-6"/>
          <w:w w:val="105"/>
          <w:sz w:val="14"/>
        </w:rPr>
        <w:t> </w:t>
      </w:r>
      <w:r>
        <w:rPr>
          <w:rFonts w:ascii="Times New Roman" w:hAnsi="Times New Roman"/>
          <w:color w:val="231F20"/>
          <w:w w:val="105"/>
          <w:sz w:val="14"/>
        </w:rPr>
        <w:t>las propiedades de plaguicidas [en línea]. </w:t>
      </w:r>
      <w:hyperlink r:id="rId49">
        <w:r>
          <w:rPr>
            <w:rFonts w:ascii="Times New Roman" w:hAnsi="Times New Roman"/>
            <w:color w:val="231F20"/>
            <w:w w:val="105"/>
            <w:sz w:val="14"/>
          </w:rPr>
          <w:t>http://sitem.</w:t>
        </w:r>
      </w:hyperlink>
      <w:r>
        <w:rPr>
          <w:rFonts w:ascii="Times New Roman" w:hAnsi="Times New Roman"/>
          <w:color w:val="231F20"/>
          <w:w w:val="105"/>
          <w:sz w:val="14"/>
        </w:rPr>
        <w:t> </w:t>
      </w:r>
      <w:r>
        <w:rPr>
          <w:rFonts w:ascii="Times New Roman" w:hAnsi="Times New Roman"/>
          <w:color w:val="231F20"/>
          <w:sz w:val="14"/>
        </w:rPr>
        <w:t>herts.ac.uk/aeru/footprint/es </w:t>
      </w:r>
      <w:r>
        <w:rPr>
          <w:rFonts w:ascii="Times New Roman" w:hAnsi="Times New Roman"/>
          <w:color w:val="231F20"/>
          <w:spacing w:val="27"/>
          <w:sz w:val="14"/>
        </w:rPr>
        <w:t> </w:t>
      </w:r>
      <w:r>
        <w:rPr>
          <w:rFonts w:ascii="Times New Roman" w:hAnsi="Times New Roman"/>
          <w:color w:val="231F20"/>
          <w:sz w:val="14"/>
        </w:rPr>
        <w:t>03/06011.</w:t>
      </w:r>
    </w:p>
    <w:p>
      <w:pPr>
        <w:spacing w:line="259" w:lineRule="auto" w:before="0"/>
        <w:ind w:left="567" w:right="1200" w:hanging="205"/>
        <w:jc w:val="both"/>
        <w:rPr>
          <w:rFonts w:ascii="Times New Roman"/>
          <w:sz w:val="14"/>
        </w:rPr>
      </w:pPr>
      <w:r>
        <w:rPr>
          <w:rFonts w:ascii="Times New Roman"/>
          <w:color w:val="231F20"/>
          <w:w w:val="105"/>
          <w:sz w:val="14"/>
        </w:rPr>
        <w:t>WHO</w:t>
      </w:r>
      <w:r>
        <w:rPr>
          <w:rFonts w:ascii="Times New Roman"/>
          <w:color w:val="231F20"/>
          <w:spacing w:val="-7"/>
          <w:w w:val="105"/>
          <w:sz w:val="14"/>
        </w:rPr>
        <w:t> </w:t>
      </w:r>
      <w:r>
        <w:rPr>
          <w:rFonts w:ascii="Times New Roman"/>
          <w:color w:val="231F20"/>
          <w:w w:val="105"/>
          <w:sz w:val="14"/>
        </w:rPr>
        <w:t>(2004).</w:t>
      </w:r>
      <w:r>
        <w:rPr>
          <w:rFonts w:ascii="Times New Roman"/>
          <w:color w:val="231F20"/>
          <w:spacing w:val="-8"/>
          <w:w w:val="105"/>
          <w:sz w:val="14"/>
        </w:rPr>
        <w:t> </w:t>
      </w:r>
      <w:r>
        <w:rPr>
          <w:rFonts w:ascii="Times New Roman"/>
          <w:color w:val="231F20"/>
          <w:w w:val="105"/>
          <w:sz w:val="14"/>
        </w:rPr>
        <w:t>The</w:t>
      </w:r>
      <w:r>
        <w:rPr>
          <w:rFonts w:ascii="Times New Roman"/>
          <w:color w:val="231F20"/>
          <w:spacing w:val="-8"/>
          <w:w w:val="105"/>
          <w:sz w:val="14"/>
        </w:rPr>
        <w:t> </w:t>
      </w:r>
      <w:r>
        <w:rPr>
          <w:rFonts w:ascii="Times New Roman"/>
          <w:color w:val="231F20"/>
          <w:w w:val="105"/>
          <w:sz w:val="14"/>
        </w:rPr>
        <w:t>WHO</w:t>
      </w:r>
      <w:r>
        <w:rPr>
          <w:rFonts w:ascii="Times New Roman"/>
          <w:color w:val="231F20"/>
          <w:spacing w:val="-7"/>
          <w:w w:val="105"/>
          <w:sz w:val="14"/>
        </w:rPr>
        <w:t> </w:t>
      </w:r>
      <w:r>
        <w:rPr>
          <w:rFonts w:ascii="Times New Roman"/>
          <w:color w:val="231F20"/>
          <w:w w:val="105"/>
          <w:sz w:val="14"/>
        </w:rPr>
        <w:t>recommended</w:t>
      </w:r>
      <w:r>
        <w:rPr>
          <w:rFonts w:ascii="Times New Roman"/>
          <w:color w:val="231F20"/>
          <w:spacing w:val="-7"/>
          <w:w w:val="105"/>
          <w:sz w:val="14"/>
        </w:rPr>
        <w:t> </w:t>
      </w:r>
      <w:r>
        <w:rPr>
          <w:rFonts w:ascii="Times New Roman"/>
          <w:color w:val="231F20"/>
          <w:w w:val="105"/>
          <w:sz w:val="14"/>
        </w:rPr>
        <w:t>classification</w:t>
      </w:r>
      <w:r>
        <w:rPr>
          <w:rFonts w:ascii="Times New Roman"/>
          <w:color w:val="231F20"/>
          <w:spacing w:val="-7"/>
          <w:w w:val="105"/>
          <w:sz w:val="14"/>
        </w:rPr>
        <w:t> </w:t>
      </w:r>
      <w:r>
        <w:rPr>
          <w:rFonts w:ascii="Times New Roman"/>
          <w:color w:val="231F20"/>
          <w:w w:val="105"/>
          <w:sz w:val="14"/>
        </w:rPr>
        <w:t>of pesticides by hazard and guidelines to classification 2000-2002. International Programme on Chemical Safety, Interorganization Programme for the Sound Management of Chemicals. </w:t>
      </w:r>
      <w:r>
        <w:rPr>
          <w:rFonts w:ascii="Times New Roman"/>
          <w:color w:val="231F20"/>
          <w:spacing w:val="-3"/>
          <w:w w:val="105"/>
          <w:sz w:val="14"/>
        </w:rPr>
        <w:t>World </w:t>
      </w:r>
      <w:r>
        <w:rPr>
          <w:rFonts w:ascii="Times New Roman"/>
          <w:color w:val="231F20"/>
          <w:w w:val="105"/>
          <w:sz w:val="14"/>
        </w:rPr>
        <w:t>Health Organiza- tion.</w:t>
      </w:r>
      <w:r>
        <w:rPr>
          <w:rFonts w:ascii="Times New Roman"/>
          <w:color w:val="231F20"/>
          <w:spacing w:val="-11"/>
          <w:w w:val="105"/>
          <w:sz w:val="14"/>
        </w:rPr>
        <w:t> </w:t>
      </w:r>
      <w:r>
        <w:rPr>
          <w:rFonts w:ascii="Times New Roman"/>
          <w:color w:val="231F20"/>
          <w:w w:val="105"/>
          <w:sz w:val="14"/>
        </w:rPr>
        <w:t>Ginebra.</w:t>
      </w:r>
      <w:r>
        <w:rPr>
          <w:rFonts w:ascii="Times New Roman"/>
          <w:color w:val="231F20"/>
          <w:spacing w:val="-10"/>
          <w:w w:val="105"/>
          <w:sz w:val="14"/>
        </w:rPr>
        <w:t> </w:t>
      </w:r>
      <w:r>
        <w:rPr>
          <w:rFonts w:ascii="Times New Roman"/>
          <w:color w:val="231F20"/>
          <w:w w:val="105"/>
          <w:sz w:val="14"/>
        </w:rPr>
        <w:t>60</w:t>
      </w:r>
      <w:r>
        <w:rPr>
          <w:rFonts w:ascii="Times New Roman"/>
          <w:color w:val="231F20"/>
          <w:spacing w:val="-10"/>
          <w:w w:val="105"/>
          <w:sz w:val="14"/>
        </w:rPr>
        <w:t> </w:t>
      </w:r>
      <w:r>
        <w:rPr>
          <w:rFonts w:ascii="Times New Roman"/>
          <w:color w:val="231F20"/>
          <w:w w:val="105"/>
          <w:sz w:val="14"/>
        </w:rPr>
        <w:t>pp.</w:t>
      </w:r>
    </w:p>
    <w:p>
      <w:pPr>
        <w:spacing w:line="259" w:lineRule="auto" w:before="0"/>
        <w:ind w:left="567" w:right="1200" w:hanging="205"/>
        <w:jc w:val="both"/>
        <w:rPr>
          <w:rFonts w:ascii="Times New Roman"/>
          <w:sz w:val="14"/>
        </w:rPr>
      </w:pPr>
      <w:r>
        <w:rPr>
          <w:rFonts w:ascii="Times New Roman"/>
          <w:color w:val="231F20"/>
          <w:w w:val="105"/>
          <w:sz w:val="14"/>
        </w:rPr>
        <w:t>WHO</w:t>
      </w:r>
      <w:r>
        <w:rPr>
          <w:rFonts w:ascii="Times New Roman"/>
          <w:color w:val="231F20"/>
          <w:spacing w:val="-7"/>
          <w:w w:val="105"/>
          <w:sz w:val="14"/>
        </w:rPr>
        <w:t> </w:t>
      </w:r>
      <w:r>
        <w:rPr>
          <w:rFonts w:ascii="Times New Roman"/>
          <w:color w:val="231F20"/>
          <w:w w:val="105"/>
          <w:sz w:val="14"/>
        </w:rPr>
        <w:t>(2009).</w:t>
      </w:r>
      <w:r>
        <w:rPr>
          <w:rFonts w:ascii="Times New Roman"/>
          <w:color w:val="231F20"/>
          <w:spacing w:val="-8"/>
          <w:w w:val="105"/>
          <w:sz w:val="14"/>
        </w:rPr>
        <w:t> </w:t>
      </w:r>
      <w:r>
        <w:rPr>
          <w:rFonts w:ascii="Times New Roman"/>
          <w:color w:val="231F20"/>
          <w:w w:val="105"/>
          <w:sz w:val="14"/>
        </w:rPr>
        <w:t>The</w:t>
      </w:r>
      <w:r>
        <w:rPr>
          <w:rFonts w:ascii="Times New Roman"/>
          <w:color w:val="231F20"/>
          <w:spacing w:val="-8"/>
          <w:w w:val="105"/>
          <w:sz w:val="14"/>
        </w:rPr>
        <w:t> </w:t>
      </w:r>
      <w:r>
        <w:rPr>
          <w:rFonts w:ascii="Times New Roman"/>
          <w:color w:val="231F20"/>
          <w:w w:val="105"/>
          <w:sz w:val="14"/>
        </w:rPr>
        <w:t>WHO</w:t>
      </w:r>
      <w:r>
        <w:rPr>
          <w:rFonts w:ascii="Times New Roman"/>
          <w:color w:val="231F20"/>
          <w:spacing w:val="-7"/>
          <w:w w:val="105"/>
          <w:sz w:val="14"/>
        </w:rPr>
        <w:t> </w:t>
      </w:r>
      <w:r>
        <w:rPr>
          <w:rFonts w:ascii="Times New Roman"/>
          <w:color w:val="231F20"/>
          <w:w w:val="105"/>
          <w:sz w:val="14"/>
        </w:rPr>
        <w:t>recommended</w:t>
      </w:r>
      <w:r>
        <w:rPr>
          <w:rFonts w:ascii="Times New Roman"/>
          <w:color w:val="231F20"/>
          <w:spacing w:val="-7"/>
          <w:w w:val="105"/>
          <w:sz w:val="14"/>
        </w:rPr>
        <w:t> </w:t>
      </w:r>
      <w:r>
        <w:rPr>
          <w:rFonts w:ascii="Times New Roman"/>
          <w:color w:val="231F20"/>
          <w:w w:val="105"/>
          <w:sz w:val="14"/>
        </w:rPr>
        <w:t>classification</w:t>
      </w:r>
      <w:r>
        <w:rPr>
          <w:rFonts w:ascii="Times New Roman"/>
          <w:color w:val="231F20"/>
          <w:spacing w:val="-7"/>
          <w:w w:val="105"/>
          <w:sz w:val="14"/>
        </w:rPr>
        <w:t> </w:t>
      </w:r>
      <w:r>
        <w:rPr>
          <w:rFonts w:ascii="Times New Roman"/>
          <w:color w:val="231F20"/>
          <w:w w:val="105"/>
          <w:sz w:val="14"/>
        </w:rPr>
        <w:t>of pesticides by hazard and guidelines to</w:t>
      </w:r>
      <w:r>
        <w:rPr>
          <w:rFonts w:ascii="Times New Roman"/>
          <w:color w:val="231F20"/>
          <w:spacing w:val="-21"/>
          <w:w w:val="105"/>
          <w:sz w:val="14"/>
        </w:rPr>
        <w:t> </w:t>
      </w:r>
      <w:r>
        <w:rPr>
          <w:rFonts w:ascii="Times New Roman"/>
          <w:color w:val="231F20"/>
          <w:w w:val="105"/>
          <w:sz w:val="14"/>
        </w:rPr>
        <w:t>classification: 2009.</w:t>
      </w:r>
      <w:r>
        <w:rPr>
          <w:rFonts w:ascii="Times New Roman"/>
          <w:color w:val="231F20"/>
          <w:spacing w:val="-14"/>
          <w:w w:val="105"/>
          <w:sz w:val="14"/>
        </w:rPr>
        <w:t> </w:t>
      </w:r>
      <w:r>
        <w:rPr>
          <w:rFonts w:ascii="Times New Roman"/>
          <w:color w:val="231F20"/>
          <w:spacing w:val="-3"/>
          <w:w w:val="105"/>
          <w:sz w:val="14"/>
        </w:rPr>
        <w:t>World</w:t>
      </w:r>
      <w:r>
        <w:rPr>
          <w:rFonts w:ascii="Times New Roman"/>
          <w:color w:val="231F20"/>
          <w:spacing w:val="-12"/>
          <w:w w:val="105"/>
          <w:sz w:val="14"/>
        </w:rPr>
        <w:t> </w:t>
      </w:r>
      <w:r>
        <w:rPr>
          <w:rFonts w:ascii="Times New Roman"/>
          <w:color w:val="231F20"/>
          <w:w w:val="105"/>
          <w:sz w:val="14"/>
        </w:rPr>
        <w:t>Health</w:t>
      </w:r>
      <w:r>
        <w:rPr>
          <w:rFonts w:ascii="Times New Roman"/>
          <w:color w:val="231F20"/>
          <w:spacing w:val="-12"/>
          <w:w w:val="105"/>
          <w:sz w:val="14"/>
        </w:rPr>
        <w:t> </w:t>
      </w:r>
      <w:r>
        <w:rPr>
          <w:rFonts w:ascii="Times New Roman"/>
          <w:color w:val="231F20"/>
          <w:w w:val="105"/>
          <w:sz w:val="14"/>
        </w:rPr>
        <w:t>Organization.</w:t>
      </w:r>
      <w:r>
        <w:rPr>
          <w:rFonts w:ascii="Times New Roman"/>
          <w:color w:val="231F20"/>
          <w:spacing w:val="-12"/>
          <w:w w:val="105"/>
          <w:sz w:val="14"/>
        </w:rPr>
        <w:t> </w:t>
      </w:r>
      <w:r>
        <w:rPr>
          <w:rFonts w:ascii="Times New Roman"/>
          <w:color w:val="231F20"/>
          <w:w w:val="105"/>
          <w:sz w:val="14"/>
        </w:rPr>
        <w:t>Stuttgart.</w:t>
      </w:r>
      <w:r>
        <w:rPr>
          <w:rFonts w:ascii="Times New Roman"/>
          <w:color w:val="231F20"/>
          <w:spacing w:val="-12"/>
          <w:w w:val="105"/>
          <w:sz w:val="14"/>
        </w:rPr>
        <w:t> </w:t>
      </w:r>
      <w:r>
        <w:rPr>
          <w:rFonts w:ascii="Times New Roman"/>
          <w:color w:val="231F20"/>
          <w:w w:val="105"/>
          <w:sz w:val="14"/>
        </w:rPr>
        <w:t>78</w:t>
      </w:r>
      <w:r>
        <w:rPr>
          <w:rFonts w:ascii="Times New Roman"/>
          <w:color w:val="231F20"/>
          <w:spacing w:val="-12"/>
          <w:w w:val="105"/>
          <w:sz w:val="14"/>
        </w:rPr>
        <w:t> </w:t>
      </w:r>
      <w:r>
        <w:rPr>
          <w:rFonts w:ascii="Times New Roman"/>
          <w:color w:val="231F20"/>
          <w:w w:val="105"/>
          <w:sz w:val="14"/>
        </w:rPr>
        <w:t>pp.</w:t>
      </w:r>
    </w:p>
    <w:p>
      <w:pPr>
        <w:spacing w:after="0" w:line="259" w:lineRule="auto"/>
        <w:jc w:val="both"/>
        <w:rPr>
          <w:rFonts w:ascii="Times New Roman"/>
          <w:sz w:val="14"/>
        </w:rPr>
        <w:sectPr>
          <w:type w:val="continuous"/>
          <w:pgSz w:w="12240" w:h="15840"/>
          <w:pgMar w:top="1500" w:bottom="1820" w:left="1460" w:right="1440"/>
          <w:cols w:num="2" w:equalWidth="0">
            <w:col w:w="4462" w:space="40"/>
            <w:col w:w="4838"/>
          </w:cols>
        </w:sectPr>
      </w:pPr>
    </w:p>
    <w:p>
      <w:pPr>
        <w:pStyle w:val="BodyText"/>
        <w:rPr>
          <w:rFonts w:ascii="Times New Roman"/>
          <w:sz w:val="14"/>
        </w:rPr>
      </w:pPr>
    </w:p>
    <w:p>
      <w:pPr>
        <w:spacing w:line="480" w:lineRule="auto" w:before="70"/>
        <w:ind w:left="239" w:right="260" w:firstLine="0"/>
        <w:jc w:val="both"/>
        <w:rPr>
          <w:b/>
          <w:sz w:val="24"/>
        </w:rPr>
      </w:pPr>
      <w:r>
        <w:rPr>
          <w:b/>
          <w:sz w:val="24"/>
        </w:rPr>
        <w:t>Capítulo 2. First Report of Homothallic Isolates of </w:t>
      </w:r>
      <w:r>
        <w:rPr>
          <w:b/>
          <w:i/>
          <w:sz w:val="24"/>
        </w:rPr>
        <w:t>Phytophthora infestans </w:t>
      </w:r>
      <w:r>
        <w:rPr>
          <w:b/>
          <w:sz w:val="24"/>
        </w:rPr>
        <w:t>in Commercial Potato Crops (</w:t>
      </w:r>
      <w:r>
        <w:rPr>
          <w:b/>
          <w:i/>
          <w:sz w:val="24"/>
        </w:rPr>
        <w:t>Solanum tuberosum</w:t>
      </w:r>
      <w:r>
        <w:rPr>
          <w:b/>
          <w:sz w:val="24"/>
        </w:rPr>
        <w:t>) in the Toluca Valley, Mexico.</w:t>
      </w:r>
    </w:p>
    <w:p>
      <w:pPr>
        <w:pStyle w:val="BodyText"/>
        <w:rPr>
          <w:b/>
        </w:rPr>
      </w:pPr>
    </w:p>
    <w:p>
      <w:pPr>
        <w:pStyle w:val="BodyText"/>
        <w:spacing w:before="7"/>
        <w:rPr>
          <w:b/>
        </w:rPr>
      </w:pPr>
    </w:p>
    <w:p>
      <w:pPr>
        <w:pStyle w:val="BodyText"/>
        <w:spacing w:line="480" w:lineRule="auto" w:before="1"/>
        <w:ind w:left="239" w:right="260"/>
        <w:jc w:val="both"/>
      </w:pPr>
      <w:r>
        <w:rPr/>
        <w:t>Se determinó el tipo de apareamiento de 20 aislamientos de </w:t>
      </w:r>
      <w:r>
        <w:rPr>
          <w:i/>
        </w:rPr>
        <w:t>Phytophthora </w:t>
      </w:r>
      <w:r>
        <w:rPr>
          <w:i/>
        </w:rPr>
        <w:t>infestans </w:t>
      </w:r>
      <w:r>
        <w:rPr/>
        <w:t>obtenidos de follaje infectado de cultivos comerciales de papa (</w:t>
      </w:r>
      <w:r>
        <w:rPr>
          <w:i/>
        </w:rPr>
        <w:t>Solanum </w:t>
      </w:r>
      <w:r>
        <w:rPr>
          <w:i/>
        </w:rPr>
        <w:t>tuberosum</w:t>
      </w:r>
      <w:r>
        <w:rPr/>
        <w:t>) del Valle de Toluca. Los resultados mostraron que 9 aislamientos fueron del tipo A1, 5 del tipo A2 y 6 fueron homotálicos. Los aislamientos homotálicos poseían la capacidad de actuar como A1 o A2 en los enfrentamientos heterotálicos y fueron capaces de producir estructuras sexuales y oosporas por sí solos, un fenómeno no observado en los aislamientos estrictamente A1 o A2.</w:t>
      </w:r>
    </w:p>
    <w:p>
      <w:pPr>
        <w:pStyle w:val="BodyText"/>
      </w:pPr>
    </w:p>
    <w:p>
      <w:pPr>
        <w:pStyle w:val="BodyText"/>
        <w:spacing w:before="7"/>
      </w:pPr>
    </w:p>
    <w:p>
      <w:pPr>
        <w:pStyle w:val="BodyText"/>
        <w:spacing w:line="480" w:lineRule="auto" w:before="1"/>
        <w:ind w:left="239" w:right="260"/>
        <w:jc w:val="both"/>
      </w:pPr>
      <w:r>
        <w:rPr/>
        <w:t>Los resultados completos se encuentran contenidos en la publicación “First Report of Homothallic Isolates of </w:t>
      </w:r>
      <w:r>
        <w:rPr>
          <w:i/>
        </w:rPr>
        <w:t>Phytophthora infestans </w:t>
      </w:r>
      <w:r>
        <w:rPr/>
        <w:t>in Commercial Potato Crops (</w:t>
      </w:r>
      <w:r>
        <w:rPr>
          <w:i/>
        </w:rPr>
        <w:t>Solanum tuberosum</w:t>
      </w:r>
      <w:r>
        <w:rPr/>
        <w:t>) in the Toluca Valley, Mexico” que se transcribe a continuación.</w:t>
      </w:r>
    </w:p>
    <w:p>
      <w:pPr>
        <w:spacing w:after="0" w:line="480" w:lineRule="auto"/>
        <w:jc w:val="both"/>
        <w:sectPr>
          <w:pgSz w:w="12240" w:h="15840"/>
          <w:pgMar w:header="719" w:footer="740" w:top="1260" w:bottom="920" w:left="1460" w:right="1440"/>
        </w:sectPr>
      </w:pPr>
    </w:p>
    <w:p>
      <w:pPr>
        <w:pStyle w:val="BodyText"/>
        <w:rPr>
          <w:sz w:val="20"/>
        </w:rPr>
      </w:pPr>
    </w:p>
    <w:p>
      <w:pPr>
        <w:pStyle w:val="BodyText"/>
        <w:rPr>
          <w:sz w:val="20"/>
        </w:rPr>
      </w:pPr>
    </w:p>
    <w:p>
      <w:pPr>
        <w:pStyle w:val="BodyText"/>
        <w:spacing w:before="9"/>
        <w:rPr>
          <w:sz w:val="16"/>
        </w:rPr>
      </w:pPr>
    </w:p>
    <w:p>
      <w:pPr>
        <w:spacing w:before="70"/>
        <w:ind w:left="1020" w:right="0" w:firstLine="0"/>
        <w:jc w:val="left"/>
        <w:rPr>
          <w:sz w:val="16"/>
        </w:rPr>
      </w:pPr>
      <w:r>
        <w:rPr>
          <w:sz w:val="23"/>
        </w:rPr>
        <w:t>Disease Notes </w:t>
      </w:r>
      <w:r>
        <w:rPr>
          <w:sz w:val="16"/>
        </w:rPr>
        <w:t>(</w:t>
      </w:r>
      <w:r>
        <w:rPr>
          <w:i/>
          <w:sz w:val="16"/>
        </w:rPr>
        <w:t>continued </w:t>
      </w:r>
      <w:r>
        <w:rPr>
          <w:sz w:val="16"/>
        </w:rPr>
        <w:t>)</w:t>
      </w:r>
    </w:p>
    <w:p>
      <w:pPr>
        <w:pStyle w:val="BodyText"/>
        <w:spacing w:before="3"/>
        <w:rPr>
          <w:sz w:val="10"/>
        </w:rPr>
      </w:pPr>
    </w:p>
    <w:p>
      <w:pPr>
        <w:spacing w:after="0"/>
        <w:rPr>
          <w:sz w:val="10"/>
        </w:rPr>
        <w:sectPr>
          <w:pgSz w:w="12240" w:h="15840"/>
          <w:pgMar w:header="719" w:footer="740" w:top="1260" w:bottom="920" w:left="1460" w:right="1440"/>
        </w:sectPr>
      </w:pPr>
    </w:p>
    <w:p>
      <w:pPr>
        <w:spacing w:line="247" w:lineRule="auto" w:before="90"/>
        <w:ind w:left="1020" w:right="1" w:firstLine="0"/>
        <w:jc w:val="both"/>
        <w:rPr>
          <w:rFonts w:ascii="Times New Roman" w:hAnsi="Times New Roman"/>
          <w:sz w:val="11"/>
        </w:rPr>
      </w:pPr>
      <w:r>
        <w:rPr>
          <w:rFonts w:ascii="Times New Roman" w:hAnsi="Times New Roman"/>
          <w:w w:val="105"/>
          <w:sz w:val="11"/>
        </w:rPr>
        <w:t>analyzed by sequence comparison of </w:t>
      </w:r>
      <w:r>
        <w:rPr>
          <w:rFonts w:ascii="Times New Roman" w:hAnsi="Times New Roman"/>
          <w:i/>
          <w:w w:val="105"/>
          <w:sz w:val="11"/>
        </w:rPr>
        <w:t>recA </w:t>
      </w:r>
      <w:r>
        <w:rPr>
          <w:rFonts w:ascii="Times New Roman" w:hAnsi="Times New Roman"/>
          <w:w w:val="105"/>
          <w:sz w:val="11"/>
        </w:rPr>
        <w:t>gene among other species in the genus </w:t>
      </w:r>
      <w:r>
        <w:rPr>
          <w:rFonts w:ascii="Times New Roman" w:hAnsi="Times New Roman"/>
          <w:i/>
          <w:w w:val="105"/>
          <w:sz w:val="11"/>
        </w:rPr>
        <w:t>Erwinia </w:t>
      </w:r>
      <w:r>
        <w:rPr>
          <w:rFonts w:ascii="Times New Roman" w:hAnsi="Times New Roman"/>
          <w:w w:val="105"/>
          <w:sz w:val="11"/>
        </w:rPr>
        <w:t>and related bacteria. The </w:t>
      </w:r>
      <w:r>
        <w:rPr>
          <w:rFonts w:ascii="Times New Roman" w:hAnsi="Times New Roman"/>
          <w:i/>
          <w:w w:val="105"/>
          <w:sz w:val="11"/>
        </w:rPr>
        <w:t>recA </w:t>
      </w:r>
      <w:r>
        <w:rPr>
          <w:rFonts w:ascii="Times New Roman" w:hAnsi="Times New Roman"/>
          <w:w w:val="105"/>
          <w:sz w:val="11"/>
        </w:rPr>
        <w:t>sequence of bacterial strains identified as </w:t>
      </w:r>
      <w:r>
        <w:rPr>
          <w:rFonts w:ascii="Times New Roman" w:hAnsi="Times New Roman"/>
          <w:i/>
          <w:w w:val="105"/>
          <w:sz w:val="11"/>
        </w:rPr>
        <w:t>E. amylovora </w:t>
      </w:r>
      <w:r>
        <w:rPr>
          <w:rFonts w:ascii="Times New Roman" w:hAnsi="Times New Roman"/>
          <w:w w:val="105"/>
          <w:sz w:val="11"/>
        </w:rPr>
        <w:t>revealed high similarity (99%) to the </w:t>
      </w:r>
      <w:r>
        <w:rPr>
          <w:rFonts w:ascii="Times New Roman" w:hAnsi="Times New Roman"/>
          <w:i/>
          <w:w w:val="105"/>
          <w:sz w:val="11"/>
        </w:rPr>
        <w:t>E. amylo- </w:t>
      </w:r>
      <w:r>
        <w:rPr>
          <w:rFonts w:ascii="Times New Roman" w:hAnsi="Times New Roman"/>
          <w:i/>
          <w:w w:val="105"/>
          <w:sz w:val="11"/>
        </w:rPr>
        <w:t>vora </w:t>
      </w:r>
      <w:r>
        <w:rPr>
          <w:rFonts w:ascii="Times New Roman" w:hAnsi="Times New Roman"/>
          <w:w w:val="105"/>
          <w:sz w:val="11"/>
        </w:rPr>
        <w:t>type strain (CFBP 1430). Genetic diversity of selected strains was assessed and compared with </w:t>
      </w:r>
      <w:r>
        <w:rPr>
          <w:rFonts w:ascii="Times New Roman" w:hAnsi="Times New Roman"/>
          <w:i/>
          <w:w w:val="105"/>
          <w:sz w:val="11"/>
        </w:rPr>
        <w:t>E. amylovora </w:t>
      </w:r>
      <w:r>
        <w:rPr>
          <w:rFonts w:ascii="Times New Roman" w:hAnsi="Times New Roman"/>
          <w:w w:val="105"/>
          <w:sz w:val="11"/>
        </w:rPr>
        <w:t>reference strain CFBP 1430 using ERIC and REP primers in rep-PCR analysis. (3). UPGMA cluster analysis of the combined data obtained in the rep-PCR experiments using Dice’s coefficient revealed that the majority of </w:t>
      </w:r>
      <w:r>
        <w:rPr>
          <w:rFonts w:ascii="Times New Roman" w:hAnsi="Times New Roman"/>
          <w:i/>
          <w:w w:val="105"/>
          <w:sz w:val="11"/>
        </w:rPr>
        <w:t>E. amylovora </w:t>
      </w:r>
      <w:r>
        <w:rPr>
          <w:rFonts w:ascii="Times New Roman" w:hAnsi="Times New Roman"/>
          <w:w w:val="105"/>
          <w:sz w:val="11"/>
        </w:rPr>
        <w:t>strains showed the same fingerprint patterns at a similarity level of 93%, indicat- ing genetic homogeneity among strains but clearly separated from </w:t>
      </w:r>
      <w:r>
        <w:rPr>
          <w:rFonts w:ascii="Times New Roman" w:hAnsi="Times New Roman"/>
          <w:i/>
          <w:w w:val="105"/>
          <w:sz w:val="11"/>
        </w:rPr>
        <w:t>Entero- </w:t>
      </w:r>
      <w:r>
        <w:rPr>
          <w:rFonts w:ascii="Times New Roman" w:hAnsi="Times New Roman"/>
          <w:i/>
          <w:w w:val="105"/>
          <w:sz w:val="11"/>
        </w:rPr>
        <w:t>bacter </w:t>
      </w:r>
      <w:r>
        <w:rPr>
          <w:rFonts w:ascii="Times New Roman" w:hAnsi="Times New Roman"/>
          <w:w w:val="105"/>
          <w:sz w:val="11"/>
        </w:rPr>
        <w:t>sp. and </w:t>
      </w:r>
      <w:r>
        <w:rPr>
          <w:rFonts w:ascii="Times New Roman" w:hAnsi="Times New Roman"/>
          <w:i/>
          <w:w w:val="105"/>
          <w:sz w:val="11"/>
        </w:rPr>
        <w:t>P. agglomerans </w:t>
      </w:r>
      <w:r>
        <w:rPr>
          <w:rFonts w:ascii="Times New Roman" w:hAnsi="Times New Roman"/>
          <w:w w:val="105"/>
          <w:sz w:val="11"/>
        </w:rPr>
        <w:t>strains. To our knowledge, this is the first report that characterizes the phenotypic and genetic properties of </w:t>
      </w:r>
      <w:r>
        <w:rPr>
          <w:rFonts w:ascii="Times New Roman" w:hAnsi="Times New Roman"/>
          <w:i/>
          <w:w w:val="105"/>
          <w:sz w:val="11"/>
        </w:rPr>
        <w:t>E. </w:t>
      </w:r>
      <w:r>
        <w:rPr>
          <w:rFonts w:ascii="Times New Roman" w:hAnsi="Times New Roman"/>
          <w:i/>
          <w:w w:val="105"/>
          <w:sz w:val="11"/>
        </w:rPr>
        <w:t>amylovora </w:t>
      </w:r>
      <w:r>
        <w:rPr>
          <w:rFonts w:ascii="Times New Roman" w:hAnsi="Times New Roman"/>
          <w:w w:val="105"/>
          <w:sz w:val="11"/>
        </w:rPr>
        <w:t>in western part of Iran.</w:t>
      </w:r>
    </w:p>
    <w:p>
      <w:pPr>
        <w:pStyle w:val="BodyText"/>
        <w:spacing w:before="9"/>
        <w:rPr>
          <w:rFonts w:ascii="Times New Roman"/>
          <w:sz w:val="9"/>
        </w:rPr>
      </w:pPr>
    </w:p>
    <w:p>
      <w:pPr>
        <w:spacing w:before="0"/>
        <w:ind w:left="1020" w:right="0" w:firstLine="0"/>
        <w:jc w:val="both"/>
        <w:rPr>
          <w:rFonts w:ascii="Times New Roman"/>
          <w:sz w:val="10"/>
        </w:rPr>
      </w:pPr>
      <w:r>
        <w:rPr>
          <w:rFonts w:ascii="Times New Roman"/>
          <w:i/>
          <w:sz w:val="10"/>
        </w:rPr>
        <w:t>References</w:t>
      </w:r>
      <w:r>
        <w:rPr>
          <w:rFonts w:ascii="Times New Roman"/>
          <w:sz w:val="10"/>
        </w:rPr>
        <w:t>: (1) S. Bereswill et al. Appl. Environ. Microbiol. 58:3522, 1992. (2) S. Bereswill et al. Appl. Environ. Microbiol. 61:2636, 1995. (3) J. Versalovic et al. Mol. Cell Biol. 5:25, 1994.</w:t>
      </w:r>
    </w:p>
    <w:p>
      <w:pPr>
        <w:pStyle w:val="BodyText"/>
        <w:rPr>
          <w:rFonts w:ascii="Times New Roman"/>
          <w:sz w:val="10"/>
        </w:rPr>
      </w:pPr>
    </w:p>
    <w:p>
      <w:pPr>
        <w:spacing w:line="247" w:lineRule="auto" w:before="61"/>
        <w:ind w:left="1020" w:right="1" w:firstLine="0"/>
        <w:jc w:val="both"/>
        <w:rPr>
          <w:rFonts w:ascii="Times New Roman" w:hAnsi="Times New Roman"/>
          <w:sz w:val="11"/>
        </w:rPr>
      </w:pPr>
      <w:r>
        <w:rPr>
          <w:rFonts w:ascii="Times New Roman" w:hAnsi="Times New Roman"/>
          <w:b/>
          <w:w w:val="105"/>
          <w:sz w:val="11"/>
        </w:rPr>
        <w:t>First Report of Homothallic Isolates of </w:t>
      </w:r>
      <w:r>
        <w:rPr>
          <w:rFonts w:ascii="Times New Roman" w:hAnsi="Times New Roman"/>
          <w:b/>
          <w:i/>
          <w:w w:val="105"/>
          <w:sz w:val="11"/>
        </w:rPr>
        <w:t>Phytophthora infestans </w:t>
      </w:r>
      <w:r>
        <w:rPr>
          <w:rFonts w:ascii="Times New Roman" w:hAnsi="Times New Roman"/>
          <w:b/>
          <w:w w:val="105"/>
          <w:sz w:val="11"/>
        </w:rPr>
        <w:t>in Commercial Potato Crops (</w:t>
      </w:r>
      <w:r>
        <w:rPr>
          <w:rFonts w:ascii="Times New Roman" w:hAnsi="Times New Roman"/>
          <w:b/>
          <w:i/>
          <w:w w:val="105"/>
          <w:sz w:val="11"/>
        </w:rPr>
        <w:t>Solanum tuberosum</w:t>
      </w:r>
      <w:r>
        <w:rPr>
          <w:rFonts w:ascii="Times New Roman" w:hAnsi="Times New Roman"/>
          <w:b/>
          <w:w w:val="105"/>
          <w:sz w:val="11"/>
        </w:rPr>
        <w:t>) in the </w:t>
      </w:r>
      <w:r>
        <w:rPr>
          <w:rFonts w:ascii="Times New Roman" w:hAnsi="Times New Roman"/>
          <w:b/>
          <w:spacing w:val="-3"/>
          <w:w w:val="105"/>
          <w:sz w:val="11"/>
        </w:rPr>
        <w:t>Toluca Valley, </w:t>
      </w:r>
      <w:r>
        <w:rPr>
          <w:rFonts w:ascii="Times New Roman" w:hAnsi="Times New Roman"/>
          <w:b/>
          <w:w w:val="105"/>
          <w:sz w:val="11"/>
        </w:rPr>
        <w:t>Mexico. </w:t>
      </w:r>
      <w:r>
        <w:rPr>
          <w:rFonts w:ascii="Times New Roman" w:hAnsi="Times New Roman"/>
          <w:w w:val="105"/>
          <w:sz w:val="11"/>
        </w:rPr>
        <w:t>C. A. López Orona, Universidad Autónoma del Estado de Mé- xico, Instituto de Ciencias Agropecuarias y Rurales, Km. 14.5 Autopista Toluca-Atlacomulco, San Cayetano de Morelos, Toluca, Estado de Mé- xico, </w:t>
      </w:r>
      <w:r>
        <w:rPr>
          <w:rFonts w:ascii="Times New Roman" w:hAnsi="Times New Roman"/>
          <w:spacing w:val="-4"/>
          <w:w w:val="105"/>
          <w:sz w:val="11"/>
        </w:rPr>
        <w:t>C.P. </w:t>
      </w:r>
      <w:r>
        <w:rPr>
          <w:rFonts w:ascii="Times New Roman" w:hAnsi="Times New Roman"/>
          <w:w w:val="105"/>
          <w:sz w:val="11"/>
        </w:rPr>
        <w:t>50295, México, and Universidad Autónoma de Sinaloa, Facultad de Agronomía, Carretera Culiacán-Eldorado, Km. 17.5, Culiacán de Rosa- les,   Sinaloa,   </w:t>
      </w:r>
      <w:r>
        <w:rPr>
          <w:rFonts w:ascii="Times New Roman" w:hAnsi="Times New Roman"/>
          <w:spacing w:val="-4"/>
          <w:w w:val="105"/>
          <w:sz w:val="11"/>
        </w:rPr>
        <w:t>C.P.   </w:t>
      </w:r>
      <w:r>
        <w:rPr>
          <w:rFonts w:ascii="Times New Roman" w:hAnsi="Times New Roman"/>
          <w:w w:val="105"/>
          <w:sz w:val="11"/>
        </w:rPr>
        <w:t>80398,   México;  A. R. Martínez,   </w:t>
      </w:r>
      <w:r>
        <w:rPr>
          <w:rFonts w:ascii="Times New Roman" w:hAnsi="Times New Roman"/>
          <w:spacing w:val="-5"/>
          <w:w w:val="105"/>
          <w:sz w:val="11"/>
        </w:rPr>
        <w:t>T. </w:t>
      </w:r>
      <w:r>
        <w:rPr>
          <w:rFonts w:ascii="Times New Roman" w:hAnsi="Times New Roman"/>
          <w:spacing w:val="-4"/>
          <w:w w:val="105"/>
          <w:sz w:val="11"/>
        </w:rPr>
        <w:t>T. </w:t>
      </w:r>
      <w:r>
        <w:rPr>
          <w:rFonts w:ascii="Times New Roman" w:hAnsi="Times New Roman"/>
          <w:w w:val="105"/>
          <w:sz w:val="11"/>
        </w:rPr>
        <w:t>Arteaga, and</w:t>
      </w:r>
    </w:p>
    <w:p>
      <w:pPr>
        <w:pStyle w:val="ListParagraph"/>
        <w:numPr>
          <w:ilvl w:val="0"/>
          <w:numId w:val="15"/>
        </w:numPr>
        <w:tabs>
          <w:tab w:pos="1162" w:val="left" w:leader="none"/>
        </w:tabs>
        <w:spacing w:line="247" w:lineRule="auto" w:before="0" w:after="0"/>
        <w:ind w:left="1020" w:right="1" w:firstLine="0"/>
        <w:jc w:val="both"/>
        <w:rPr>
          <w:sz w:val="11"/>
        </w:rPr>
      </w:pPr>
      <w:r>
        <w:rPr>
          <w:w w:val="105"/>
          <w:sz w:val="11"/>
        </w:rPr>
        <w:t>G. García, Universidad Autónoma del Estado de México, Instituto de Ciencias Agropecuarias y Rurales, Km. 14.5 Autopista Toluca-Atlaco- mulco, San Cayetano de Morelos, Toluca, Estado de México, </w:t>
      </w:r>
      <w:r>
        <w:rPr>
          <w:spacing w:val="-4"/>
          <w:w w:val="105"/>
          <w:sz w:val="11"/>
        </w:rPr>
        <w:t>C.P. </w:t>
      </w:r>
      <w:r>
        <w:rPr>
          <w:spacing w:val="6"/>
          <w:w w:val="105"/>
          <w:sz w:val="11"/>
        </w:rPr>
        <w:t> </w:t>
      </w:r>
      <w:r>
        <w:rPr>
          <w:w w:val="105"/>
          <w:sz w:val="11"/>
        </w:rPr>
        <w:t>50295;</w:t>
      </w:r>
    </w:p>
    <w:p>
      <w:pPr>
        <w:spacing w:line="247" w:lineRule="auto" w:before="0"/>
        <w:ind w:left="1020" w:right="1" w:firstLine="0"/>
        <w:jc w:val="both"/>
        <w:rPr>
          <w:rFonts w:ascii="Times New Roman" w:hAnsi="Times New Roman"/>
          <w:sz w:val="11"/>
        </w:rPr>
      </w:pPr>
      <w:r>
        <w:rPr>
          <w:rFonts w:ascii="Times New Roman" w:hAnsi="Times New Roman"/>
          <w:w w:val="105"/>
          <w:sz w:val="11"/>
        </w:rPr>
        <w:t>D. Palmero, Universidad Politécnica de Madrid (UPM), EUIT Agrícola, Ciudad Universitaria s/n. 28040 Madrid, Spain; C. A. Ruiz, Universidad  de Almería (UAL), Dpto. Producción Vegetal, Cañada de San Urbano, s/n. 04120 Almería, Spain; and C. G. Peñuelas, Universidad Autónoma del Estado</w:t>
      </w:r>
      <w:r>
        <w:rPr>
          <w:rFonts w:ascii="Times New Roman" w:hAnsi="Times New Roman"/>
          <w:spacing w:val="-6"/>
          <w:w w:val="105"/>
          <w:sz w:val="11"/>
        </w:rPr>
        <w:t> </w:t>
      </w:r>
      <w:r>
        <w:rPr>
          <w:rFonts w:ascii="Times New Roman" w:hAnsi="Times New Roman"/>
          <w:w w:val="105"/>
          <w:sz w:val="11"/>
        </w:rPr>
        <w:t>de</w:t>
      </w:r>
      <w:r>
        <w:rPr>
          <w:rFonts w:ascii="Times New Roman" w:hAnsi="Times New Roman"/>
          <w:spacing w:val="-6"/>
          <w:w w:val="105"/>
          <w:sz w:val="11"/>
        </w:rPr>
        <w:t> </w:t>
      </w:r>
      <w:r>
        <w:rPr>
          <w:rFonts w:ascii="Times New Roman" w:hAnsi="Times New Roman"/>
          <w:w w:val="105"/>
          <w:sz w:val="11"/>
        </w:rPr>
        <w:t>México,</w:t>
      </w:r>
      <w:r>
        <w:rPr>
          <w:rFonts w:ascii="Times New Roman" w:hAnsi="Times New Roman"/>
          <w:spacing w:val="-6"/>
          <w:w w:val="105"/>
          <w:sz w:val="11"/>
        </w:rPr>
        <w:t> </w:t>
      </w:r>
      <w:r>
        <w:rPr>
          <w:rFonts w:ascii="Times New Roman" w:hAnsi="Times New Roman"/>
          <w:w w:val="105"/>
          <w:sz w:val="11"/>
        </w:rPr>
        <w:t>Facultad</w:t>
      </w:r>
      <w:r>
        <w:rPr>
          <w:rFonts w:ascii="Times New Roman" w:hAnsi="Times New Roman"/>
          <w:spacing w:val="-6"/>
          <w:w w:val="105"/>
          <w:sz w:val="11"/>
        </w:rPr>
        <w:t> </w:t>
      </w:r>
      <w:r>
        <w:rPr>
          <w:rFonts w:ascii="Times New Roman" w:hAnsi="Times New Roman"/>
          <w:w w:val="105"/>
          <w:sz w:val="11"/>
        </w:rPr>
        <w:t>de</w:t>
      </w:r>
      <w:r>
        <w:rPr>
          <w:rFonts w:ascii="Times New Roman" w:hAnsi="Times New Roman"/>
          <w:spacing w:val="-6"/>
          <w:w w:val="105"/>
          <w:sz w:val="11"/>
        </w:rPr>
        <w:t> </w:t>
      </w:r>
      <w:r>
        <w:rPr>
          <w:rFonts w:ascii="Times New Roman" w:hAnsi="Times New Roman"/>
          <w:w w:val="105"/>
          <w:sz w:val="11"/>
        </w:rPr>
        <w:t>Medicina</w:t>
      </w:r>
      <w:r>
        <w:rPr>
          <w:rFonts w:ascii="Times New Roman" w:hAnsi="Times New Roman"/>
          <w:spacing w:val="-10"/>
          <w:w w:val="105"/>
          <w:sz w:val="11"/>
        </w:rPr>
        <w:t> </w:t>
      </w:r>
      <w:r>
        <w:rPr>
          <w:rFonts w:ascii="Times New Roman" w:hAnsi="Times New Roman"/>
          <w:w w:val="105"/>
          <w:sz w:val="11"/>
        </w:rPr>
        <w:t>Veterinaria</w:t>
      </w:r>
      <w:r>
        <w:rPr>
          <w:rFonts w:ascii="Times New Roman" w:hAnsi="Times New Roman"/>
          <w:spacing w:val="-5"/>
          <w:w w:val="105"/>
          <w:sz w:val="11"/>
        </w:rPr>
        <w:t> </w:t>
      </w:r>
      <w:r>
        <w:rPr>
          <w:rFonts w:ascii="Times New Roman" w:hAnsi="Times New Roman"/>
          <w:w w:val="105"/>
          <w:sz w:val="11"/>
        </w:rPr>
        <w:t>y</w:t>
      </w:r>
      <w:r>
        <w:rPr>
          <w:rFonts w:ascii="Times New Roman" w:hAnsi="Times New Roman"/>
          <w:spacing w:val="-6"/>
          <w:w w:val="105"/>
          <w:sz w:val="11"/>
        </w:rPr>
        <w:t> </w:t>
      </w:r>
      <w:r>
        <w:rPr>
          <w:rFonts w:ascii="Times New Roman" w:hAnsi="Times New Roman"/>
          <w:w w:val="105"/>
          <w:sz w:val="11"/>
        </w:rPr>
        <w:t>Zootecnia,</w:t>
      </w:r>
      <w:r>
        <w:rPr>
          <w:rFonts w:ascii="Times New Roman" w:hAnsi="Times New Roman"/>
          <w:spacing w:val="-5"/>
          <w:w w:val="105"/>
          <w:sz w:val="11"/>
        </w:rPr>
        <w:t> </w:t>
      </w:r>
      <w:r>
        <w:rPr>
          <w:rFonts w:ascii="Times New Roman" w:hAnsi="Times New Roman"/>
          <w:w w:val="105"/>
          <w:sz w:val="11"/>
        </w:rPr>
        <w:t>El</w:t>
      </w:r>
      <w:r>
        <w:rPr>
          <w:rFonts w:ascii="Times New Roman" w:hAnsi="Times New Roman"/>
          <w:spacing w:val="-6"/>
          <w:w w:val="105"/>
          <w:sz w:val="11"/>
        </w:rPr>
        <w:t> </w:t>
      </w:r>
      <w:r>
        <w:rPr>
          <w:rFonts w:ascii="Times New Roman" w:hAnsi="Times New Roman"/>
          <w:w w:val="105"/>
          <w:sz w:val="11"/>
        </w:rPr>
        <w:t>Cerri- llo Piedras Blancas, Toluca, Estado de México, CP 50090, México. This research was funded by the Consejo Nacional de Ciencia y Tecnología (CONACyT), the Universidad Autónoma de Sinaloa, and the Universidad Autónoma del Estado de México. Plant Dis. 97:1112, 2013; published online as </w:t>
      </w:r>
      <w:hyperlink r:id="rId50">
        <w:r>
          <w:rPr>
            <w:rFonts w:ascii="Times New Roman" w:hAnsi="Times New Roman"/>
            <w:w w:val="105"/>
            <w:sz w:val="11"/>
          </w:rPr>
          <w:t>http://dx.doi.org/10.1094/PDIS-10-12-0962-PDN.</w:t>
        </w:r>
      </w:hyperlink>
      <w:r>
        <w:rPr>
          <w:rFonts w:ascii="Times New Roman" w:hAnsi="Times New Roman"/>
          <w:w w:val="105"/>
          <w:sz w:val="11"/>
        </w:rPr>
        <w:t> Accepted for publication</w:t>
      </w:r>
      <w:r>
        <w:rPr>
          <w:rFonts w:ascii="Times New Roman" w:hAnsi="Times New Roman"/>
          <w:spacing w:val="-8"/>
          <w:w w:val="105"/>
          <w:sz w:val="11"/>
        </w:rPr>
        <w:t> </w:t>
      </w:r>
      <w:r>
        <w:rPr>
          <w:rFonts w:ascii="Times New Roman" w:hAnsi="Times New Roman"/>
          <w:w w:val="105"/>
          <w:sz w:val="11"/>
        </w:rPr>
        <w:t>14</w:t>
      </w:r>
      <w:r>
        <w:rPr>
          <w:rFonts w:ascii="Times New Roman" w:hAnsi="Times New Roman"/>
          <w:spacing w:val="-12"/>
          <w:w w:val="105"/>
          <w:sz w:val="11"/>
        </w:rPr>
        <w:t> </w:t>
      </w:r>
      <w:r>
        <w:rPr>
          <w:rFonts w:ascii="Times New Roman" w:hAnsi="Times New Roman"/>
          <w:w w:val="105"/>
          <w:sz w:val="11"/>
        </w:rPr>
        <w:t>April</w:t>
      </w:r>
      <w:r>
        <w:rPr>
          <w:rFonts w:ascii="Times New Roman" w:hAnsi="Times New Roman"/>
          <w:spacing w:val="-8"/>
          <w:w w:val="105"/>
          <w:sz w:val="11"/>
        </w:rPr>
        <w:t> </w:t>
      </w:r>
      <w:r>
        <w:rPr>
          <w:rFonts w:ascii="Times New Roman" w:hAnsi="Times New Roman"/>
          <w:w w:val="105"/>
          <w:sz w:val="11"/>
        </w:rPr>
        <w:t>2013.</w:t>
      </w:r>
    </w:p>
    <w:p>
      <w:pPr>
        <w:pStyle w:val="BodyText"/>
        <w:spacing w:before="3"/>
        <w:rPr>
          <w:rFonts w:ascii="Times New Roman"/>
          <w:sz w:val="11"/>
        </w:rPr>
      </w:pPr>
    </w:p>
    <w:p>
      <w:pPr>
        <w:spacing w:line="247" w:lineRule="auto" w:before="0"/>
        <w:ind w:left="1020" w:right="1" w:firstLine="129"/>
        <w:jc w:val="both"/>
        <w:rPr>
          <w:rFonts w:ascii="Times New Roman"/>
          <w:sz w:val="11"/>
        </w:rPr>
      </w:pPr>
      <w:r>
        <w:rPr>
          <w:rFonts w:ascii="Times New Roman"/>
          <w:i/>
          <w:w w:val="105"/>
          <w:sz w:val="11"/>
        </w:rPr>
        <w:t>Phytophthora infestans </w:t>
      </w:r>
      <w:r>
        <w:rPr>
          <w:rFonts w:ascii="Times New Roman"/>
          <w:w w:val="105"/>
          <w:sz w:val="11"/>
        </w:rPr>
        <w:t>causes severe symptoms of wilt disease on po- tato crops (</w:t>
      </w:r>
      <w:r>
        <w:rPr>
          <w:rFonts w:ascii="Times New Roman"/>
          <w:i/>
          <w:w w:val="105"/>
          <w:sz w:val="11"/>
        </w:rPr>
        <w:t>Solanum tuberosum</w:t>
      </w:r>
      <w:r>
        <w:rPr>
          <w:rFonts w:ascii="Times New Roman"/>
          <w:w w:val="105"/>
          <w:sz w:val="11"/>
        </w:rPr>
        <w:t>) in the Toluca </w:t>
      </w:r>
      <w:r>
        <w:rPr>
          <w:rFonts w:ascii="Times New Roman"/>
          <w:spacing w:val="-3"/>
          <w:w w:val="105"/>
          <w:sz w:val="11"/>
        </w:rPr>
        <w:t>Valley </w:t>
      </w:r>
      <w:r>
        <w:rPr>
          <w:rFonts w:ascii="Times New Roman"/>
          <w:w w:val="105"/>
          <w:sz w:val="11"/>
        </w:rPr>
        <w:t>(Mexico) despite the use of fungicides. </w:t>
      </w:r>
      <w:r>
        <w:rPr>
          <w:rFonts w:ascii="Times New Roman"/>
          <w:i/>
          <w:spacing w:val="-8"/>
          <w:w w:val="105"/>
          <w:sz w:val="11"/>
        </w:rPr>
        <w:t>P. </w:t>
      </w:r>
      <w:r>
        <w:rPr>
          <w:rFonts w:ascii="Times New Roman"/>
          <w:i/>
          <w:w w:val="105"/>
          <w:sz w:val="11"/>
        </w:rPr>
        <w:t>infestans </w:t>
      </w:r>
      <w:r>
        <w:rPr>
          <w:rFonts w:ascii="Times New Roman"/>
          <w:w w:val="105"/>
          <w:sz w:val="11"/>
        </w:rPr>
        <w:t>oospores produced by sexual reproduction can survive in the soil for many years, resisting harsh environments. In many agroecosystems, oospores germinate in the beginning of a season, which represents the initial inoculum for epidemics. The sexual cycle of the pathogen allows the generation of recombinant genotypes that can be more pathogenic or even resistant to chemicals. This paper presents a  study of 20 isolates of </w:t>
      </w:r>
      <w:r>
        <w:rPr>
          <w:rFonts w:ascii="Times New Roman"/>
          <w:i/>
          <w:spacing w:val="-8"/>
          <w:w w:val="105"/>
          <w:sz w:val="11"/>
        </w:rPr>
        <w:t>P. </w:t>
      </w:r>
      <w:r>
        <w:rPr>
          <w:rFonts w:ascii="Times New Roman"/>
          <w:i/>
          <w:w w:val="105"/>
          <w:sz w:val="11"/>
        </w:rPr>
        <w:t>infestans </w:t>
      </w:r>
      <w:r>
        <w:rPr>
          <w:rFonts w:ascii="Times New Roman"/>
          <w:w w:val="105"/>
          <w:sz w:val="11"/>
        </w:rPr>
        <w:t>collected from potato crops in the </w:t>
      </w:r>
      <w:r>
        <w:rPr>
          <w:rFonts w:ascii="Times New Roman"/>
          <w:spacing w:val="-4"/>
          <w:w w:val="105"/>
          <w:sz w:val="11"/>
        </w:rPr>
        <w:t>To- </w:t>
      </w:r>
      <w:r>
        <w:rPr>
          <w:rFonts w:ascii="Times New Roman"/>
          <w:w w:val="105"/>
          <w:sz w:val="11"/>
        </w:rPr>
        <w:t>luca </w:t>
      </w:r>
      <w:r>
        <w:rPr>
          <w:rFonts w:ascii="Times New Roman"/>
          <w:spacing w:val="-3"/>
          <w:w w:val="105"/>
          <w:sz w:val="11"/>
        </w:rPr>
        <w:t>Valley </w:t>
      </w:r>
      <w:r>
        <w:rPr>
          <w:rFonts w:ascii="Times New Roman"/>
          <w:w w:val="105"/>
          <w:sz w:val="11"/>
        </w:rPr>
        <w:t>within the municipality of Zinacantepec (Mexico State). Iso- lates were obtained from potato foliar infected tissues. The pathogen was confirmed as </w:t>
      </w:r>
      <w:r>
        <w:rPr>
          <w:rFonts w:ascii="Times New Roman"/>
          <w:i/>
          <w:spacing w:val="-8"/>
          <w:w w:val="105"/>
          <w:sz w:val="11"/>
        </w:rPr>
        <w:t>P. </w:t>
      </w:r>
      <w:r>
        <w:rPr>
          <w:rFonts w:ascii="Times New Roman"/>
          <w:i/>
          <w:w w:val="105"/>
          <w:sz w:val="11"/>
        </w:rPr>
        <w:t>infestans </w:t>
      </w:r>
      <w:r>
        <w:rPr>
          <w:rFonts w:ascii="Times New Roman"/>
          <w:w w:val="105"/>
          <w:sz w:val="11"/>
        </w:rPr>
        <w:t>on the basis of morphological characters (1). Sporangia</w:t>
      </w:r>
      <w:r>
        <w:rPr>
          <w:rFonts w:ascii="Times New Roman"/>
          <w:spacing w:val="-7"/>
          <w:w w:val="105"/>
          <w:sz w:val="11"/>
        </w:rPr>
        <w:t> </w:t>
      </w:r>
      <w:r>
        <w:rPr>
          <w:rFonts w:ascii="Times New Roman"/>
          <w:w w:val="105"/>
          <w:sz w:val="11"/>
        </w:rPr>
        <w:t>were</w:t>
      </w:r>
      <w:r>
        <w:rPr>
          <w:rFonts w:ascii="Times New Roman"/>
          <w:spacing w:val="-7"/>
          <w:w w:val="105"/>
          <w:sz w:val="11"/>
        </w:rPr>
        <w:t> </w:t>
      </w:r>
      <w:r>
        <w:rPr>
          <w:rFonts w:ascii="Times New Roman"/>
          <w:w w:val="105"/>
          <w:sz w:val="11"/>
        </w:rPr>
        <w:t>caducous,</w:t>
      </w:r>
      <w:r>
        <w:rPr>
          <w:rFonts w:ascii="Times New Roman"/>
          <w:spacing w:val="-7"/>
          <w:w w:val="105"/>
          <w:sz w:val="11"/>
        </w:rPr>
        <w:t> </w:t>
      </w:r>
      <w:r>
        <w:rPr>
          <w:rFonts w:ascii="Times New Roman"/>
          <w:w w:val="105"/>
          <w:sz w:val="11"/>
        </w:rPr>
        <w:t>ovoid,</w:t>
      </w:r>
      <w:r>
        <w:rPr>
          <w:rFonts w:ascii="Times New Roman"/>
          <w:spacing w:val="-7"/>
          <w:w w:val="105"/>
          <w:sz w:val="11"/>
        </w:rPr>
        <w:t> </w:t>
      </w:r>
      <w:r>
        <w:rPr>
          <w:rFonts w:ascii="Times New Roman"/>
          <w:w w:val="105"/>
          <w:sz w:val="11"/>
        </w:rPr>
        <w:t>limoniform,</w:t>
      </w:r>
      <w:r>
        <w:rPr>
          <w:rFonts w:ascii="Times New Roman"/>
          <w:spacing w:val="-7"/>
          <w:w w:val="105"/>
          <w:sz w:val="11"/>
        </w:rPr>
        <w:t> </w:t>
      </w:r>
      <w:r>
        <w:rPr>
          <w:rFonts w:ascii="Times New Roman"/>
          <w:w w:val="105"/>
          <w:sz w:val="11"/>
        </w:rPr>
        <w:t>semipapillate,</w:t>
      </w:r>
      <w:r>
        <w:rPr>
          <w:rFonts w:ascii="Times New Roman"/>
          <w:spacing w:val="-7"/>
          <w:w w:val="105"/>
          <w:sz w:val="11"/>
        </w:rPr>
        <w:t> </w:t>
      </w:r>
      <w:r>
        <w:rPr>
          <w:rFonts w:ascii="Times New Roman"/>
          <w:w w:val="105"/>
          <w:sz w:val="11"/>
        </w:rPr>
        <w:t>and</w:t>
      </w:r>
      <w:r>
        <w:rPr>
          <w:rFonts w:ascii="Times New Roman"/>
          <w:spacing w:val="-7"/>
          <w:w w:val="105"/>
          <w:sz w:val="11"/>
        </w:rPr>
        <w:t> </w:t>
      </w:r>
      <w:r>
        <w:rPr>
          <w:rFonts w:ascii="Times New Roman"/>
          <w:w w:val="105"/>
          <w:sz w:val="11"/>
        </w:rPr>
        <w:t>were</w:t>
      </w:r>
      <w:r>
        <w:rPr>
          <w:rFonts w:ascii="Times New Roman"/>
          <w:spacing w:val="-6"/>
          <w:w w:val="105"/>
          <w:sz w:val="11"/>
        </w:rPr>
        <w:t> </w:t>
      </w:r>
      <w:r>
        <w:rPr>
          <w:rFonts w:ascii="Times New Roman"/>
          <w:w w:val="105"/>
          <w:sz w:val="11"/>
        </w:rPr>
        <w:t>28.4</w:t>
      </w:r>
    </w:p>
    <w:p>
      <w:pPr>
        <w:spacing w:line="247" w:lineRule="auto" w:before="0"/>
        <w:ind w:left="1020" w:right="0" w:firstLine="0"/>
        <w:jc w:val="both"/>
        <w:rPr>
          <w:rFonts w:ascii="Times New Roman" w:hAnsi="Times New Roman"/>
          <w:sz w:val="11"/>
        </w:rPr>
      </w:pPr>
      <w:r>
        <w:rPr>
          <w:rFonts w:ascii="Times New Roman" w:hAnsi="Times New Roman"/>
          <w:w w:val="105"/>
          <w:sz w:val="11"/>
        </w:rPr>
        <w:t>± 1.3 × 17.6 ± 1.2 µm (height × width). Mycelium was coenocytic with hyphal diameter of 5 to 8 µm. Five isolates were collected in 2011, and 15 in 2012. Isolates were transferred by hyphal tip to culture medium plates with V8 juice agar and incubated at 19°C. All the isolates were mated to determine the mating type with the reference isolates J104 (A1) and J204 (A2), which were provided by the Michoacana University of San Nicolás de Hidalgo (Mx). Isolates that produced oospores with both A1 and A2 testers (J104 and J204) and in a single culture were designated homothal- lic. Results show that two out of the </w:t>
      </w:r>
      <w:r>
        <w:rPr>
          <w:rFonts w:ascii="Times New Roman" w:hAnsi="Times New Roman"/>
          <w:spacing w:val="-3"/>
          <w:w w:val="105"/>
          <w:sz w:val="11"/>
        </w:rPr>
        <w:t>five </w:t>
      </w:r>
      <w:r>
        <w:rPr>
          <w:rFonts w:ascii="Times New Roman" w:hAnsi="Times New Roman"/>
          <w:w w:val="105"/>
          <w:sz w:val="11"/>
        </w:rPr>
        <w:t>isolates collected in 2011 were homothallic and the other three were type A1. Regarding the 15 isolates collected in 2012, six were typed as A1, </w:t>
      </w:r>
      <w:r>
        <w:rPr>
          <w:rFonts w:ascii="Times New Roman" w:hAnsi="Times New Roman"/>
          <w:spacing w:val="-3"/>
          <w:w w:val="105"/>
          <w:sz w:val="11"/>
        </w:rPr>
        <w:t>five </w:t>
      </w:r>
      <w:r>
        <w:rPr>
          <w:rFonts w:ascii="Times New Roman" w:hAnsi="Times New Roman"/>
          <w:w w:val="105"/>
          <w:sz w:val="11"/>
        </w:rPr>
        <w:t>as A2, and four were homo- thallic. The heterothallic isolates only produce oospores when mated with the opposite mating type. The homothallic isolates possessed the ability to act as A1 and A2 during heterothallic mating and were found capable of producing sexual structures (oogonia and amphigynous antheridia) in a single culture, a phenomenon not observed in isolates that are strictly A1 or A2. Oospores formed were aplerotic and measured 32.2 ± 3.3 µm in diameter. Single-sporangium progeny were produced from the six homo- thallic isolates to be analyzed to confirm the occurrence of the self-fertil- </w:t>
      </w:r>
      <w:r>
        <w:rPr>
          <w:rFonts w:ascii="Times New Roman" w:hAnsi="Times New Roman"/>
          <w:spacing w:val="-3"/>
          <w:w w:val="105"/>
          <w:sz w:val="11"/>
        </w:rPr>
        <w:t>ity. </w:t>
      </w:r>
      <w:r>
        <w:rPr>
          <w:rFonts w:ascii="Times New Roman" w:hAnsi="Times New Roman"/>
          <w:w w:val="105"/>
          <w:sz w:val="11"/>
        </w:rPr>
        <w:t>Assessment of 48 single-sporangium progeny from the homothallic isolates resulted in 22 homothallic, 12 A1, 10 A2, and four sterile. These results</w:t>
      </w:r>
      <w:r>
        <w:rPr>
          <w:rFonts w:ascii="Times New Roman" w:hAnsi="Times New Roman"/>
          <w:spacing w:val="11"/>
          <w:w w:val="105"/>
          <w:sz w:val="11"/>
        </w:rPr>
        <w:t> </w:t>
      </w:r>
      <w:r>
        <w:rPr>
          <w:rFonts w:ascii="Times New Roman" w:hAnsi="Times New Roman"/>
          <w:w w:val="105"/>
          <w:sz w:val="11"/>
        </w:rPr>
        <w:t>differ</w:t>
      </w:r>
      <w:r>
        <w:rPr>
          <w:rFonts w:ascii="Times New Roman" w:hAnsi="Times New Roman"/>
          <w:spacing w:val="11"/>
          <w:w w:val="105"/>
          <w:sz w:val="11"/>
        </w:rPr>
        <w:t> </w:t>
      </w:r>
      <w:r>
        <w:rPr>
          <w:rFonts w:ascii="Times New Roman" w:hAnsi="Times New Roman"/>
          <w:w w:val="105"/>
          <w:sz w:val="11"/>
        </w:rPr>
        <w:t>from</w:t>
      </w:r>
      <w:r>
        <w:rPr>
          <w:rFonts w:ascii="Times New Roman" w:hAnsi="Times New Roman"/>
          <w:spacing w:val="10"/>
          <w:w w:val="105"/>
          <w:sz w:val="11"/>
        </w:rPr>
        <w:t> </w:t>
      </w:r>
      <w:r>
        <w:rPr>
          <w:rFonts w:ascii="Times New Roman" w:hAnsi="Times New Roman"/>
          <w:w w:val="105"/>
          <w:sz w:val="11"/>
        </w:rPr>
        <w:t>those</w:t>
      </w:r>
      <w:r>
        <w:rPr>
          <w:rFonts w:ascii="Times New Roman" w:hAnsi="Times New Roman"/>
          <w:spacing w:val="10"/>
          <w:w w:val="105"/>
          <w:sz w:val="11"/>
        </w:rPr>
        <w:t> </w:t>
      </w:r>
      <w:r>
        <w:rPr>
          <w:rFonts w:ascii="Times New Roman" w:hAnsi="Times New Roman"/>
          <w:w w:val="105"/>
          <w:sz w:val="11"/>
        </w:rPr>
        <w:t>found</w:t>
      </w:r>
      <w:r>
        <w:rPr>
          <w:rFonts w:ascii="Times New Roman" w:hAnsi="Times New Roman"/>
          <w:spacing w:val="11"/>
          <w:w w:val="105"/>
          <w:sz w:val="11"/>
        </w:rPr>
        <w:t> </w:t>
      </w:r>
      <w:r>
        <w:rPr>
          <w:rFonts w:ascii="Times New Roman" w:hAnsi="Times New Roman"/>
          <w:w w:val="105"/>
          <w:sz w:val="11"/>
        </w:rPr>
        <w:t>by</w:t>
      </w:r>
      <w:r>
        <w:rPr>
          <w:rFonts w:ascii="Times New Roman" w:hAnsi="Times New Roman"/>
          <w:spacing w:val="9"/>
          <w:w w:val="105"/>
          <w:sz w:val="11"/>
        </w:rPr>
        <w:t> </w:t>
      </w:r>
      <w:r>
        <w:rPr>
          <w:rFonts w:ascii="Times New Roman" w:hAnsi="Times New Roman"/>
          <w:w w:val="105"/>
          <w:sz w:val="11"/>
        </w:rPr>
        <w:t>Grünwald</w:t>
      </w:r>
      <w:r>
        <w:rPr>
          <w:rFonts w:ascii="Times New Roman" w:hAnsi="Times New Roman"/>
          <w:spacing w:val="9"/>
          <w:w w:val="105"/>
          <w:sz w:val="11"/>
        </w:rPr>
        <w:t> </w:t>
      </w:r>
      <w:r>
        <w:rPr>
          <w:rFonts w:ascii="Times New Roman" w:hAnsi="Times New Roman"/>
          <w:w w:val="105"/>
          <w:sz w:val="11"/>
        </w:rPr>
        <w:t>et</w:t>
      </w:r>
      <w:r>
        <w:rPr>
          <w:rFonts w:ascii="Times New Roman" w:hAnsi="Times New Roman"/>
          <w:spacing w:val="10"/>
          <w:w w:val="105"/>
          <w:sz w:val="11"/>
        </w:rPr>
        <w:t> </w:t>
      </w:r>
      <w:r>
        <w:rPr>
          <w:rFonts w:ascii="Times New Roman" w:hAnsi="Times New Roman"/>
          <w:w w:val="105"/>
          <w:sz w:val="11"/>
        </w:rPr>
        <w:t>al.</w:t>
      </w:r>
      <w:r>
        <w:rPr>
          <w:rFonts w:ascii="Times New Roman" w:hAnsi="Times New Roman"/>
          <w:spacing w:val="10"/>
          <w:w w:val="105"/>
          <w:sz w:val="11"/>
        </w:rPr>
        <w:t> </w:t>
      </w:r>
      <w:r>
        <w:rPr>
          <w:rFonts w:ascii="Times New Roman" w:hAnsi="Times New Roman"/>
          <w:w w:val="105"/>
          <w:sz w:val="11"/>
        </w:rPr>
        <w:t>(3),</w:t>
      </w:r>
      <w:r>
        <w:rPr>
          <w:rFonts w:ascii="Times New Roman" w:hAnsi="Times New Roman"/>
          <w:spacing w:val="11"/>
          <w:w w:val="105"/>
          <w:sz w:val="11"/>
        </w:rPr>
        <w:t> </w:t>
      </w:r>
      <w:r>
        <w:rPr>
          <w:rFonts w:ascii="Times New Roman" w:hAnsi="Times New Roman"/>
          <w:w w:val="105"/>
          <w:sz w:val="11"/>
        </w:rPr>
        <w:t>who</w:t>
      </w:r>
      <w:r>
        <w:rPr>
          <w:rFonts w:ascii="Times New Roman" w:hAnsi="Times New Roman"/>
          <w:spacing w:val="10"/>
          <w:w w:val="105"/>
          <w:sz w:val="11"/>
        </w:rPr>
        <w:t> </w:t>
      </w:r>
      <w:r>
        <w:rPr>
          <w:rFonts w:ascii="Times New Roman" w:hAnsi="Times New Roman"/>
          <w:w w:val="105"/>
          <w:sz w:val="11"/>
        </w:rPr>
        <w:t>conducted</w:t>
      </w:r>
      <w:r>
        <w:rPr>
          <w:rFonts w:ascii="Times New Roman" w:hAnsi="Times New Roman"/>
          <w:spacing w:val="10"/>
          <w:w w:val="105"/>
          <w:sz w:val="11"/>
        </w:rPr>
        <w:t> </w:t>
      </w:r>
      <w:r>
        <w:rPr>
          <w:rFonts w:ascii="Times New Roman" w:hAnsi="Times New Roman"/>
          <w:w w:val="105"/>
          <w:sz w:val="11"/>
        </w:rPr>
        <w:t>a</w:t>
      </w:r>
    </w:p>
    <w:p>
      <w:pPr>
        <w:spacing w:line="247" w:lineRule="auto" w:before="90"/>
        <w:ind w:left="304" w:right="1038" w:firstLine="0"/>
        <w:jc w:val="both"/>
        <w:rPr>
          <w:rFonts w:ascii="Times New Roman" w:hAnsi="Times New Roman"/>
          <w:sz w:val="11"/>
        </w:rPr>
      </w:pPr>
      <w:r>
        <w:rPr/>
        <w:br w:type="column"/>
      </w:r>
      <w:r>
        <w:rPr>
          <w:rFonts w:ascii="Times New Roman" w:hAnsi="Times New Roman"/>
          <w:w w:val="105"/>
          <w:sz w:val="11"/>
        </w:rPr>
        <w:t>study with isolates collected from the Toluca Valley region in 1997 and 1998, finding a 1:1 frequency between compatibility types A1 and A2. Fernandez et al. (2) studied a broad population of 27 isolates from potato crops in the state of Michoacán (Mx), and found two homothallic isolates among heterothallic isolates; the ratio was 1:1. Also, homothallic isolates have been found in Spain and China (4). To our knowledge, this is the first report of the occurrence of homothallic </w:t>
      </w:r>
      <w:r>
        <w:rPr>
          <w:rFonts w:ascii="Times New Roman" w:hAnsi="Times New Roman"/>
          <w:i/>
          <w:w w:val="105"/>
          <w:sz w:val="11"/>
        </w:rPr>
        <w:t>P. infestans </w:t>
      </w:r>
      <w:r>
        <w:rPr>
          <w:rFonts w:ascii="Times New Roman" w:hAnsi="Times New Roman"/>
          <w:w w:val="105"/>
          <w:sz w:val="11"/>
        </w:rPr>
        <w:t>isolates in commercial potato crops (</w:t>
      </w:r>
      <w:r>
        <w:rPr>
          <w:rFonts w:ascii="Times New Roman" w:hAnsi="Times New Roman"/>
          <w:i/>
          <w:w w:val="105"/>
          <w:sz w:val="11"/>
        </w:rPr>
        <w:t>S. tuberosum</w:t>
      </w:r>
      <w:r>
        <w:rPr>
          <w:rFonts w:ascii="Times New Roman" w:hAnsi="Times New Roman"/>
          <w:w w:val="105"/>
          <w:sz w:val="11"/>
        </w:rPr>
        <w:t>) in the Toluca Valley, Mexico.</w:t>
      </w:r>
    </w:p>
    <w:p>
      <w:pPr>
        <w:pStyle w:val="BodyText"/>
        <w:spacing w:before="9"/>
        <w:rPr>
          <w:rFonts w:ascii="Times New Roman"/>
          <w:sz w:val="9"/>
        </w:rPr>
      </w:pPr>
    </w:p>
    <w:p>
      <w:pPr>
        <w:spacing w:before="0"/>
        <w:ind w:left="304" w:right="1038" w:firstLine="0"/>
        <w:jc w:val="both"/>
        <w:rPr>
          <w:rFonts w:ascii="Times New Roman" w:hAnsi="Times New Roman"/>
          <w:sz w:val="10"/>
        </w:rPr>
      </w:pPr>
      <w:r>
        <w:rPr>
          <w:rFonts w:ascii="Times New Roman" w:hAnsi="Times New Roman"/>
          <w:i/>
          <w:sz w:val="10"/>
        </w:rPr>
        <w:t>References</w:t>
      </w:r>
      <w:r>
        <w:rPr>
          <w:rFonts w:ascii="Times New Roman" w:hAnsi="Times New Roman"/>
          <w:sz w:val="10"/>
        </w:rPr>
        <w:t>: (1) D. C. Erwin and O. K. Ribeiro, Page 346 in: Phytophthora Diseases Worldwide. The American Phytopathological Society. St. Paul, MN, 1996. (2) S. P. Fernández et al. Rev. Mexicana Fitopatol. 23:191, 2005. (3) N. J. Grünwald et al. Phytopathology  91:883,  2001.  (4)  M.  Han  et  al.  J.  </w:t>
      </w:r>
      <w:r>
        <w:rPr>
          <w:rFonts w:ascii="Times New Roman" w:hAnsi="Times New Roman"/>
          <w:color w:val="141413"/>
          <w:sz w:val="10"/>
        </w:rPr>
        <w:t>Eukaryotic  Microbiol. 60:79,</w:t>
      </w:r>
    </w:p>
    <w:p>
      <w:pPr>
        <w:spacing w:before="0"/>
        <w:ind w:left="304" w:right="0" w:firstLine="0"/>
        <w:jc w:val="both"/>
        <w:rPr>
          <w:rFonts w:ascii="Times New Roman"/>
          <w:sz w:val="10"/>
        </w:rPr>
      </w:pPr>
      <w:r>
        <w:rPr>
          <w:rFonts w:ascii="Times New Roman"/>
          <w:color w:val="141413"/>
          <w:sz w:val="10"/>
        </w:rPr>
        <w:t>2013</w:t>
      </w:r>
      <w:r>
        <w:rPr>
          <w:rFonts w:ascii="Times New Roman"/>
          <w:sz w:val="10"/>
        </w:rPr>
        <w:t>.</w:t>
      </w:r>
    </w:p>
    <w:p>
      <w:pPr>
        <w:pStyle w:val="BodyText"/>
        <w:spacing w:before="5"/>
        <w:rPr>
          <w:rFonts w:ascii="Times New Roman"/>
          <w:sz w:val="11"/>
        </w:rPr>
      </w:pPr>
    </w:p>
    <w:p>
      <w:pPr>
        <w:spacing w:before="0"/>
        <w:ind w:left="304" w:right="0" w:firstLine="0"/>
        <w:jc w:val="both"/>
        <w:rPr>
          <w:rFonts w:ascii="Times New Roman"/>
          <w:b/>
          <w:sz w:val="11"/>
        </w:rPr>
      </w:pPr>
      <w:r>
        <w:rPr>
          <w:rFonts w:ascii="Times New Roman"/>
          <w:b/>
          <w:w w:val="105"/>
          <w:sz w:val="11"/>
        </w:rPr>
        <w:t>First Report of Canker Disease Caused by </w:t>
      </w:r>
      <w:r>
        <w:rPr>
          <w:rFonts w:ascii="Times New Roman"/>
          <w:b/>
          <w:i/>
          <w:w w:val="105"/>
          <w:sz w:val="11"/>
        </w:rPr>
        <w:t>Neofusicoccum parvum </w:t>
      </w:r>
      <w:r>
        <w:rPr>
          <w:rFonts w:ascii="Times New Roman"/>
          <w:b/>
          <w:w w:val="105"/>
          <w:sz w:val="11"/>
        </w:rPr>
        <w:t>and</w:t>
      </w:r>
    </w:p>
    <w:p>
      <w:pPr>
        <w:spacing w:before="3"/>
        <w:ind w:left="304" w:right="0" w:firstLine="0"/>
        <w:jc w:val="both"/>
        <w:rPr>
          <w:rFonts w:ascii="Times New Roman"/>
          <w:sz w:val="11"/>
        </w:rPr>
      </w:pPr>
      <w:r>
        <w:rPr>
          <w:rFonts w:ascii="Times New Roman"/>
          <w:b/>
          <w:i/>
          <w:w w:val="105"/>
          <w:sz w:val="11"/>
        </w:rPr>
        <w:t>N. australe </w:t>
      </w:r>
      <w:r>
        <w:rPr>
          <w:rFonts w:ascii="Times New Roman"/>
          <w:b/>
          <w:w w:val="105"/>
          <w:sz w:val="11"/>
        </w:rPr>
        <w:t>on Blueberry Bushes in Spain. </w:t>
      </w:r>
      <w:r>
        <w:rPr>
          <w:rFonts w:ascii="Times New Roman"/>
          <w:w w:val="105"/>
          <w:sz w:val="11"/>
        </w:rPr>
        <w:t>S. Castillo, C. Borrero,    and</w:t>
      </w:r>
    </w:p>
    <w:p>
      <w:pPr>
        <w:spacing w:line="247" w:lineRule="auto" w:before="3"/>
        <w:ind w:left="304" w:right="1039" w:firstLine="0"/>
        <w:jc w:val="both"/>
        <w:rPr>
          <w:rFonts w:ascii="Times New Roman" w:hAnsi="Times New Roman"/>
          <w:sz w:val="11"/>
        </w:rPr>
      </w:pPr>
      <w:r>
        <w:rPr>
          <w:rFonts w:ascii="Times New Roman" w:hAnsi="Times New Roman"/>
          <w:w w:val="105"/>
          <w:sz w:val="11"/>
        </w:rPr>
        <w:t>R. Castaño, Dept. Ciencias Agroforestales, E.T.S.I.A. University of Se- ville, Ctra Utrera km 1, </w:t>
      </w:r>
      <w:r>
        <w:rPr>
          <w:rFonts w:ascii="Times New Roman" w:hAnsi="Times New Roman"/>
          <w:spacing w:val="-4"/>
          <w:w w:val="105"/>
          <w:sz w:val="11"/>
        </w:rPr>
        <w:t>C.P. </w:t>
      </w:r>
      <w:r>
        <w:rPr>
          <w:rFonts w:ascii="Times New Roman" w:hAnsi="Times New Roman"/>
          <w:w w:val="105"/>
          <w:sz w:val="11"/>
        </w:rPr>
        <w:t>41013 Seville, Spain; A. Rodríguez, BASF Española</w:t>
      </w:r>
      <w:r>
        <w:rPr>
          <w:rFonts w:ascii="Times New Roman" w:hAnsi="Times New Roman"/>
          <w:spacing w:val="-5"/>
          <w:w w:val="105"/>
          <w:sz w:val="11"/>
        </w:rPr>
        <w:t> </w:t>
      </w:r>
      <w:r>
        <w:rPr>
          <w:rFonts w:ascii="Times New Roman" w:hAnsi="Times New Roman"/>
          <w:w w:val="105"/>
          <w:sz w:val="11"/>
        </w:rPr>
        <w:t>S.</w:t>
      </w:r>
      <w:r>
        <w:rPr>
          <w:rFonts w:ascii="Times New Roman" w:hAnsi="Times New Roman"/>
          <w:spacing w:val="-4"/>
          <w:w w:val="105"/>
          <w:sz w:val="11"/>
        </w:rPr>
        <w:t> </w:t>
      </w:r>
      <w:r>
        <w:rPr>
          <w:rFonts w:ascii="Times New Roman" w:hAnsi="Times New Roman"/>
          <w:w w:val="105"/>
          <w:sz w:val="11"/>
        </w:rPr>
        <w:t>L.</w:t>
      </w:r>
      <w:r>
        <w:rPr>
          <w:rFonts w:ascii="Times New Roman" w:hAnsi="Times New Roman"/>
          <w:spacing w:val="-10"/>
          <w:w w:val="105"/>
          <w:sz w:val="11"/>
        </w:rPr>
        <w:t> </w:t>
      </w:r>
      <w:r>
        <w:rPr>
          <w:rFonts w:ascii="Times New Roman" w:hAnsi="Times New Roman"/>
          <w:w w:val="105"/>
          <w:sz w:val="11"/>
        </w:rPr>
        <w:t>Agricultural</w:t>
      </w:r>
      <w:r>
        <w:rPr>
          <w:rFonts w:ascii="Times New Roman" w:hAnsi="Times New Roman"/>
          <w:spacing w:val="-5"/>
          <w:w w:val="105"/>
          <w:sz w:val="11"/>
        </w:rPr>
        <w:t> </w:t>
      </w:r>
      <w:r>
        <w:rPr>
          <w:rFonts w:ascii="Times New Roman" w:hAnsi="Times New Roman"/>
          <w:w w:val="105"/>
          <w:sz w:val="11"/>
        </w:rPr>
        <w:t>Research</w:t>
      </w:r>
      <w:r>
        <w:rPr>
          <w:rFonts w:ascii="Times New Roman" w:hAnsi="Times New Roman"/>
          <w:spacing w:val="-4"/>
          <w:w w:val="105"/>
          <w:sz w:val="11"/>
        </w:rPr>
        <w:t> </w:t>
      </w:r>
      <w:r>
        <w:rPr>
          <w:rFonts w:ascii="Times New Roman" w:hAnsi="Times New Roman"/>
          <w:w w:val="105"/>
          <w:sz w:val="11"/>
        </w:rPr>
        <w:t>Station,</w:t>
      </w:r>
      <w:r>
        <w:rPr>
          <w:rFonts w:ascii="Times New Roman" w:hAnsi="Times New Roman"/>
          <w:spacing w:val="-5"/>
          <w:w w:val="105"/>
          <w:sz w:val="11"/>
        </w:rPr>
        <w:t> </w:t>
      </w:r>
      <w:r>
        <w:rPr>
          <w:rFonts w:ascii="Times New Roman" w:hAnsi="Times New Roman"/>
          <w:w w:val="105"/>
          <w:sz w:val="11"/>
        </w:rPr>
        <w:t>Ctra.</w:t>
      </w:r>
      <w:r>
        <w:rPr>
          <w:rFonts w:ascii="Times New Roman" w:hAnsi="Times New Roman"/>
          <w:spacing w:val="-10"/>
          <w:w w:val="105"/>
          <w:sz w:val="11"/>
        </w:rPr>
        <w:t> </w:t>
      </w:r>
      <w:r>
        <w:rPr>
          <w:rFonts w:ascii="Times New Roman" w:hAnsi="Times New Roman"/>
          <w:w w:val="105"/>
          <w:sz w:val="11"/>
        </w:rPr>
        <w:t>A-376,</w:t>
      </w:r>
      <w:r>
        <w:rPr>
          <w:rFonts w:ascii="Times New Roman" w:hAnsi="Times New Roman"/>
          <w:spacing w:val="-4"/>
          <w:w w:val="105"/>
          <w:sz w:val="11"/>
        </w:rPr>
        <w:t> </w:t>
      </w:r>
      <w:r>
        <w:rPr>
          <w:rFonts w:ascii="Times New Roman" w:hAnsi="Times New Roman"/>
          <w:w w:val="105"/>
          <w:sz w:val="11"/>
        </w:rPr>
        <w:t>km.</w:t>
      </w:r>
      <w:r>
        <w:rPr>
          <w:rFonts w:ascii="Times New Roman" w:hAnsi="Times New Roman"/>
          <w:spacing w:val="-4"/>
          <w:w w:val="105"/>
          <w:sz w:val="11"/>
        </w:rPr>
        <w:t> </w:t>
      </w:r>
      <w:r>
        <w:rPr>
          <w:rFonts w:ascii="Times New Roman" w:hAnsi="Times New Roman"/>
          <w:w w:val="105"/>
          <w:sz w:val="11"/>
        </w:rPr>
        <w:t>22.6,</w:t>
      </w:r>
      <w:r>
        <w:rPr>
          <w:rFonts w:ascii="Times New Roman" w:hAnsi="Times New Roman"/>
          <w:spacing w:val="-10"/>
          <w:w w:val="105"/>
          <w:sz w:val="11"/>
        </w:rPr>
        <w:t> </w:t>
      </w:r>
      <w:r>
        <w:rPr>
          <w:rFonts w:ascii="Times New Roman" w:hAnsi="Times New Roman"/>
          <w:w w:val="105"/>
          <w:sz w:val="11"/>
        </w:rPr>
        <w:t>Apar- tado de correos 41, </w:t>
      </w:r>
      <w:r>
        <w:rPr>
          <w:rFonts w:ascii="Times New Roman" w:hAnsi="Times New Roman"/>
          <w:spacing w:val="-4"/>
          <w:w w:val="105"/>
          <w:sz w:val="11"/>
        </w:rPr>
        <w:t>C.P. </w:t>
      </w:r>
      <w:r>
        <w:rPr>
          <w:rFonts w:ascii="Times New Roman" w:hAnsi="Times New Roman"/>
          <w:w w:val="105"/>
          <w:sz w:val="11"/>
        </w:rPr>
        <w:t>E-41710 Utrera, Seville, Spain; and M. Avilés, Dept. Ciencias Agroforestales, E.T.S.I.A. University of Seville, Ctra Utrera km 1, </w:t>
      </w:r>
      <w:r>
        <w:rPr>
          <w:rFonts w:ascii="Times New Roman" w:hAnsi="Times New Roman"/>
          <w:spacing w:val="-4"/>
          <w:w w:val="105"/>
          <w:sz w:val="11"/>
        </w:rPr>
        <w:t>C.P. </w:t>
      </w:r>
      <w:r>
        <w:rPr>
          <w:rFonts w:ascii="Times New Roman" w:hAnsi="Times New Roman"/>
          <w:w w:val="105"/>
          <w:sz w:val="11"/>
        </w:rPr>
        <w:t>41013 Seville, Spain. Plant Dis. 97:1112, 2013; pub- lished online as </w:t>
      </w:r>
      <w:hyperlink r:id="rId51">
        <w:r>
          <w:rPr>
            <w:rFonts w:ascii="Times New Roman" w:hAnsi="Times New Roman"/>
            <w:w w:val="105"/>
            <w:sz w:val="11"/>
          </w:rPr>
          <w:t>http://dx.doi.org/10.1094/PDIS-11-12-1048-PDN.</w:t>
        </w:r>
      </w:hyperlink>
      <w:r>
        <w:rPr>
          <w:rFonts w:ascii="Times New Roman" w:hAnsi="Times New Roman"/>
          <w:w w:val="105"/>
          <w:sz w:val="11"/>
        </w:rPr>
        <w:t> Ac- cepted</w:t>
      </w:r>
      <w:r>
        <w:rPr>
          <w:rFonts w:ascii="Times New Roman" w:hAnsi="Times New Roman"/>
          <w:spacing w:val="-5"/>
          <w:w w:val="105"/>
          <w:sz w:val="11"/>
        </w:rPr>
        <w:t> </w:t>
      </w:r>
      <w:r>
        <w:rPr>
          <w:rFonts w:ascii="Times New Roman" w:hAnsi="Times New Roman"/>
          <w:w w:val="105"/>
          <w:sz w:val="11"/>
        </w:rPr>
        <w:t>for</w:t>
      </w:r>
      <w:r>
        <w:rPr>
          <w:rFonts w:ascii="Times New Roman" w:hAnsi="Times New Roman"/>
          <w:spacing w:val="-5"/>
          <w:w w:val="105"/>
          <w:sz w:val="11"/>
        </w:rPr>
        <w:t> </w:t>
      </w:r>
      <w:r>
        <w:rPr>
          <w:rFonts w:ascii="Times New Roman" w:hAnsi="Times New Roman"/>
          <w:w w:val="105"/>
          <w:sz w:val="11"/>
        </w:rPr>
        <w:t>publication</w:t>
      </w:r>
      <w:r>
        <w:rPr>
          <w:rFonts w:ascii="Times New Roman" w:hAnsi="Times New Roman"/>
          <w:spacing w:val="-5"/>
          <w:w w:val="105"/>
          <w:sz w:val="11"/>
        </w:rPr>
        <w:t> </w:t>
      </w:r>
      <w:r>
        <w:rPr>
          <w:rFonts w:ascii="Times New Roman" w:hAnsi="Times New Roman"/>
          <w:w w:val="105"/>
          <w:sz w:val="11"/>
        </w:rPr>
        <w:t>1</w:t>
      </w:r>
      <w:r>
        <w:rPr>
          <w:rFonts w:ascii="Times New Roman" w:hAnsi="Times New Roman"/>
          <w:spacing w:val="-5"/>
          <w:w w:val="105"/>
          <w:sz w:val="11"/>
        </w:rPr>
        <w:t> </w:t>
      </w:r>
      <w:r>
        <w:rPr>
          <w:rFonts w:ascii="Times New Roman" w:hAnsi="Times New Roman"/>
          <w:w w:val="105"/>
          <w:sz w:val="11"/>
        </w:rPr>
        <w:t>March</w:t>
      </w:r>
      <w:r>
        <w:rPr>
          <w:rFonts w:ascii="Times New Roman" w:hAnsi="Times New Roman"/>
          <w:spacing w:val="-5"/>
          <w:w w:val="105"/>
          <w:sz w:val="11"/>
        </w:rPr>
        <w:t> </w:t>
      </w:r>
      <w:r>
        <w:rPr>
          <w:rFonts w:ascii="Times New Roman" w:hAnsi="Times New Roman"/>
          <w:w w:val="105"/>
          <w:sz w:val="11"/>
        </w:rPr>
        <w:t>2013.</w:t>
      </w:r>
    </w:p>
    <w:p>
      <w:pPr>
        <w:pStyle w:val="BodyText"/>
        <w:spacing w:before="3"/>
        <w:rPr>
          <w:rFonts w:ascii="Times New Roman"/>
          <w:sz w:val="11"/>
        </w:rPr>
      </w:pPr>
    </w:p>
    <w:p>
      <w:pPr>
        <w:spacing w:line="247" w:lineRule="auto" w:before="0"/>
        <w:ind w:left="304" w:right="1037" w:firstLine="130"/>
        <w:jc w:val="both"/>
        <w:rPr>
          <w:rFonts w:ascii="Times New Roman"/>
          <w:sz w:val="11"/>
        </w:rPr>
      </w:pPr>
      <w:r>
        <w:rPr>
          <w:rFonts w:ascii="Times New Roman"/>
          <w:w w:val="105"/>
          <w:sz w:val="11"/>
        </w:rPr>
        <w:t>A field survey conducted in September 2009 at five plantations of six different cultivars of southern highbush blueberries (</w:t>
      </w:r>
      <w:r>
        <w:rPr>
          <w:rFonts w:ascii="Times New Roman"/>
          <w:i/>
          <w:w w:val="105"/>
          <w:sz w:val="11"/>
        </w:rPr>
        <w:t>Vaccinium </w:t>
      </w:r>
      <w:r>
        <w:rPr>
          <w:rFonts w:ascii="Times New Roman"/>
          <w:w w:val="105"/>
          <w:sz w:val="11"/>
        </w:rPr>
        <w:t>spp.) in Huelva, Spain, yielded 35 diseased plants. Diseased plants exhibited red- brown cankers and stem dieback. Blueberry cultivation in Huelva rose from 290 ha in 2007 to 777 ha in 2012, and the increase of these symp- toms is of concern to producers. Stem pieces cut from the edge of lesions on infected plants were surface-disinfected with 5% sodium hypochlorite and cultured on potato dextrose agar (PDA). Based on colony characteris- tics on PDA, 18 colonies (one each from 18 different plants) were identi- fied as </w:t>
      </w:r>
      <w:r>
        <w:rPr>
          <w:rFonts w:ascii="Times New Roman"/>
          <w:i/>
          <w:w w:val="105"/>
          <w:sz w:val="11"/>
        </w:rPr>
        <w:t>Botryosphaeria </w:t>
      </w:r>
      <w:r>
        <w:rPr>
          <w:rFonts w:ascii="Times New Roman"/>
          <w:w w:val="105"/>
          <w:sz w:val="11"/>
        </w:rPr>
        <w:t>spp. Species identities were confirmed by analysis of nucleotide sequences of the internal transcribed spacer (ITS), rDNA, and elongation factor 1-alpha (EF1-a) sequences, using ITS1-ITS4 (3) and EF728f-EF986r (2) as primer pairs, respectively. BLAST searches of GenBank showed a high similarity of the isolate sequences to the refer- ence sequences. Molecular results confirmed these species as </w:t>
      </w:r>
      <w:r>
        <w:rPr>
          <w:rFonts w:ascii="Times New Roman"/>
          <w:i/>
          <w:w w:val="105"/>
          <w:sz w:val="11"/>
        </w:rPr>
        <w:t>Neofusicoc- </w:t>
      </w:r>
      <w:r>
        <w:rPr>
          <w:rFonts w:ascii="Times New Roman"/>
          <w:i/>
          <w:w w:val="105"/>
          <w:sz w:val="11"/>
        </w:rPr>
        <w:t>cum parvum</w:t>
      </w:r>
      <w:r>
        <w:rPr>
          <w:rFonts w:ascii="Times New Roman"/>
          <w:w w:val="105"/>
          <w:sz w:val="11"/>
        </w:rPr>
        <w:t>, </w:t>
      </w:r>
      <w:r>
        <w:rPr>
          <w:rFonts w:ascii="Times New Roman"/>
          <w:i/>
          <w:w w:val="105"/>
          <w:sz w:val="11"/>
        </w:rPr>
        <w:t>N. australe</w:t>
      </w:r>
      <w:r>
        <w:rPr>
          <w:rFonts w:ascii="Times New Roman"/>
          <w:w w:val="105"/>
          <w:sz w:val="11"/>
        </w:rPr>
        <w:t>, and </w:t>
      </w:r>
      <w:r>
        <w:rPr>
          <w:rFonts w:ascii="Times New Roman"/>
          <w:i/>
          <w:w w:val="105"/>
          <w:sz w:val="11"/>
        </w:rPr>
        <w:t>B. dothidea</w:t>
      </w:r>
      <w:r>
        <w:rPr>
          <w:rFonts w:ascii="Times New Roman"/>
          <w:w w:val="105"/>
          <w:sz w:val="11"/>
        </w:rPr>
        <w:t>. </w:t>
      </w:r>
      <w:r>
        <w:rPr>
          <w:rFonts w:ascii="Times New Roman"/>
          <w:i/>
          <w:w w:val="105"/>
          <w:sz w:val="11"/>
        </w:rPr>
        <w:t>N. parvum </w:t>
      </w:r>
      <w:r>
        <w:rPr>
          <w:rFonts w:ascii="Times New Roman"/>
          <w:w w:val="105"/>
          <w:sz w:val="11"/>
        </w:rPr>
        <w:t>was the most preva- lent (on 34% of the plants analyzed), followed by </w:t>
      </w:r>
      <w:r>
        <w:rPr>
          <w:rFonts w:ascii="Times New Roman"/>
          <w:i/>
          <w:w w:val="105"/>
          <w:sz w:val="11"/>
        </w:rPr>
        <w:t>N. australe </w:t>
      </w:r>
      <w:r>
        <w:rPr>
          <w:rFonts w:ascii="Times New Roman"/>
          <w:w w:val="105"/>
          <w:sz w:val="11"/>
        </w:rPr>
        <w:t>and </w:t>
      </w:r>
      <w:r>
        <w:rPr>
          <w:rFonts w:ascii="Times New Roman"/>
          <w:i/>
          <w:w w:val="105"/>
          <w:sz w:val="11"/>
        </w:rPr>
        <w:t>B. </w:t>
      </w:r>
      <w:r>
        <w:rPr>
          <w:rFonts w:ascii="Times New Roman"/>
          <w:i/>
          <w:w w:val="105"/>
          <w:sz w:val="11"/>
        </w:rPr>
        <w:t>dothidea </w:t>
      </w:r>
      <w:r>
        <w:rPr>
          <w:rFonts w:ascii="Times New Roman"/>
          <w:w w:val="105"/>
          <w:sz w:val="11"/>
        </w:rPr>
        <w:t>(9% each). In phylogenetic analyses, isolates that clustered in the same group belonged to the same species with a high homogeneity index (&gt;99%). One representative isolate of each species was selected for a pathogenicity assay. Amplified sequences from each selected isolate were deposited in GenBank with the following accession numbers: </w:t>
      </w:r>
      <w:r>
        <w:rPr>
          <w:rFonts w:ascii="Times New Roman"/>
          <w:i/>
          <w:w w:val="105"/>
          <w:sz w:val="11"/>
        </w:rPr>
        <w:t>N. parvum</w:t>
      </w:r>
      <w:r>
        <w:rPr>
          <w:rFonts w:ascii="Times New Roman"/>
          <w:w w:val="105"/>
          <w:sz w:val="11"/>
        </w:rPr>
        <w:t>, KC556958 (ITS) and KC556961 (EF); </w:t>
      </w:r>
      <w:r>
        <w:rPr>
          <w:rFonts w:ascii="Times New Roman"/>
          <w:i/>
          <w:w w:val="105"/>
          <w:sz w:val="11"/>
        </w:rPr>
        <w:t>N. australe</w:t>
      </w:r>
      <w:r>
        <w:rPr>
          <w:rFonts w:ascii="Times New Roman"/>
          <w:w w:val="105"/>
          <w:sz w:val="11"/>
        </w:rPr>
        <w:t>, KC556959 (ITS) and KC556962 (EF); and </w:t>
      </w:r>
      <w:r>
        <w:rPr>
          <w:rFonts w:ascii="Times New Roman"/>
          <w:i/>
          <w:w w:val="105"/>
          <w:sz w:val="11"/>
        </w:rPr>
        <w:t>B. dothidea</w:t>
      </w:r>
      <w:r>
        <w:rPr>
          <w:rFonts w:ascii="Times New Roman"/>
          <w:w w:val="105"/>
          <w:sz w:val="11"/>
        </w:rPr>
        <w:t>, KC556960 (ITS) and KC556963 </w:t>
      </w:r>
      <w:r>
        <w:rPr>
          <w:rFonts w:ascii="Times New Roman"/>
          <w:spacing w:val="26"/>
          <w:w w:val="105"/>
          <w:sz w:val="11"/>
        </w:rPr>
        <w:t> </w:t>
      </w:r>
      <w:r>
        <w:rPr>
          <w:rFonts w:ascii="Times New Roman"/>
          <w:w w:val="105"/>
          <w:sz w:val="11"/>
        </w:rPr>
        <w:t>(EF).</w:t>
      </w:r>
    </w:p>
    <w:p>
      <w:pPr>
        <w:spacing w:line="247" w:lineRule="auto" w:before="0"/>
        <w:ind w:left="304" w:right="1037" w:firstLine="0"/>
        <w:jc w:val="both"/>
        <w:rPr>
          <w:rFonts w:ascii="Times New Roman" w:hAnsi="Times New Roman"/>
          <w:sz w:val="11"/>
        </w:rPr>
      </w:pPr>
      <w:r>
        <w:rPr>
          <w:rFonts w:ascii="Times New Roman" w:hAnsi="Times New Roman"/>
          <w:w w:val="105"/>
          <w:sz w:val="11"/>
        </w:rPr>
        <w:t>The pathogenicity assay of these three isolates was conducted using two cultivars of southern highbush blueberry, ‘Misty’ and </w:t>
      </w:r>
      <w:r>
        <w:rPr>
          <w:rFonts w:ascii="Times New Roman" w:hAnsi="Times New Roman"/>
          <w:spacing w:val="-3"/>
          <w:w w:val="105"/>
          <w:sz w:val="11"/>
        </w:rPr>
        <w:t>‘Star.’ </w:t>
      </w:r>
      <w:r>
        <w:rPr>
          <w:rFonts w:ascii="Times New Roman" w:hAnsi="Times New Roman"/>
          <w:w w:val="105"/>
          <w:sz w:val="11"/>
        </w:rPr>
        <w:t>The isolates were cultured on acidified PDA at 25°C for 5 days. Stems of the plants were wounded at a height of 10 cm with a drill (5 mm diameter and ~4  mm deep). Six replicates per cultivar were inoculated per isolate by plac- ing a colonized agar plug (4 to 5 mm diameter) in the hole and wrapping the stem with Parafilm. Plants treated identically with sterile agar plugs were used as controls. The plants were then maintained at 100% relative humidity for 2 h. This trial was conducted in a growth chamber at 28°C (night) and 30°C (day) with a 14-h photoperiod for 3 months. Disease was measured on a six-point scale: 0 = healthy plant; 1 = plant with a canker smaller than 3.5 cm; 2 = plant with a canker bigger than 3.5 cm; 3 = plant with one dry shoot; 4 = plant with some dry shoots; 5 = dead plant. At the end of the trial, disease was expressed as area under the disease progress curve. The results showed the </w:t>
      </w:r>
      <w:r>
        <w:rPr>
          <w:rFonts w:ascii="Times New Roman" w:hAnsi="Times New Roman"/>
          <w:i/>
          <w:w w:val="105"/>
          <w:sz w:val="11"/>
        </w:rPr>
        <w:t>N. parvum </w:t>
      </w:r>
      <w:r>
        <w:rPr>
          <w:rFonts w:ascii="Times New Roman" w:hAnsi="Times New Roman"/>
          <w:w w:val="105"/>
          <w:sz w:val="11"/>
        </w:rPr>
        <w:t>isolate to be the most aggressive, followed by the </w:t>
      </w:r>
      <w:r>
        <w:rPr>
          <w:rFonts w:ascii="Times New Roman" w:hAnsi="Times New Roman"/>
          <w:i/>
          <w:w w:val="105"/>
          <w:sz w:val="11"/>
        </w:rPr>
        <w:t>N. australe </w:t>
      </w:r>
      <w:r>
        <w:rPr>
          <w:rFonts w:ascii="Times New Roman" w:hAnsi="Times New Roman"/>
          <w:w w:val="105"/>
          <w:sz w:val="11"/>
        </w:rPr>
        <w:t>isolate. Espinoza et al. (1) also found that </w:t>
      </w:r>
      <w:r>
        <w:rPr>
          <w:rFonts w:ascii="Times New Roman" w:hAnsi="Times New Roman"/>
          <w:i/>
          <w:w w:val="105"/>
          <w:sz w:val="11"/>
        </w:rPr>
        <w:t>N. </w:t>
      </w:r>
      <w:r>
        <w:rPr>
          <w:rFonts w:ascii="Times New Roman" w:hAnsi="Times New Roman"/>
          <w:i/>
          <w:w w:val="105"/>
          <w:sz w:val="11"/>
        </w:rPr>
        <w:t>parvum </w:t>
      </w:r>
      <w:r>
        <w:rPr>
          <w:rFonts w:ascii="Times New Roman" w:hAnsi="Times New Roman"/>
          <w:w w:val="105"/>
          <w:sz w:val="11"/>
        </w:rPr>
        <w:t>showed more aggressiveness than </w:t>
      </w:r>
      <w:r>
        <w:rPr>
          <w:rFonts w:ascii="Times New Roman" w:hAnsi="Times New Roman"/>
          <w:i/>
          <w:w w:val="105"/>
          <w:sz w:val="11"/>
        </w:rPr>
        <w:t>N. australe </w:t>
      </w:r>
      <w:r>
        <w:rPr>
          <w:rFonts w:ascii="Times New Roman" w:hAnsi="Times New Roman"/>
          <w:w w:val="105"/>
          <w:sz w:val="11"/>
        </w:rPr>
        <w:t>on blueberries in Chile. </w:t>
      </w:r>
      <w:r>
        <w:rPr>
          <w:rFonts w:ascii="Times New Roman" w:hAnsi="Times New Roman"/>
          <w:i/>
          <w:w w:val="105"/>
          <w:sz w:val="11"/>
        </w:rPr>
        <w:t>B. dothidea </w:t>
      </w:r>
      <w:r>
        <w:rPr>
          <w:rFonts w:ascii="Times New Roman" w:hAnsi="Times New Roman"/>
          <w:w w:val="105"/>
          <w:sz w:val="11"/>
        </w:rPr>
        <w:t>was not pathogenic and behaved similarly to the con- trols (</w:t>
      </w:r>
      <w:r>
        <w:rPr>
          <w:rFonts w:ascii="Times New Roman" w:hAnsi="Times New Roman"/>
          <w:i/>
          <w:w w:val="105"/>
          <w:sz w:val="11"/>
        </w:rPr>
        <w:t>P </w:t>
      </w:r>
      <w:r>
        <w:rPr>
          <w:rFonts w:ascii="Times New Roman" w:hAnsi="Times New Roman"/>
          <w:w w:val="105"/>
          <w:sz w:val="11"/>
        </w:rPr>
        <w:t>&lt; 0.05). Each pathogen was reisolated from all the inoculated plants, fulfilling </w:t>
      </w:r>
      <w:r>
        <w:rPr>
          <w:rFonts w:ascii="Times New Roman" w:hAnsi="Times New Roman"/>
          <w:spacing w:val="-3"/>
          <w:w w:val="105"/>
          <w:sz w:val="11"/>
        </w:rPr>
        <w:t>Koch’s </w:t>
      </w:r>
      <w:r>
        <w:rPr>
          <w:rFonts w:ascii="Times New Roman" w:hAnsi="Times New Roman"/>
          <w:w w:val="105"/>
          <w:sz w:val="11"/>
        </w:rPr>
        <w:t>postulates. </w:t>
      </w:r>
      <w:r>
        <w:rPr>
          <w:rFonts w:ascii="Times New Roman" w:hAnsi="Times New Roman"/>
          <w:spacing w:val="-5"/>
          <w:w w:val="105"/>
          <w:sz w:val="11"/>
        </w:rPr>
        <w:t>To </w:t>
      </w:r>
      <w:r>
        <w:rPr>
          <w:rFonts w:ascii="Times New Roman" w:hAnsi="Times New Roman"/>
          <w:w w:val="105"/>
          <w:sz w:val="11"/>
        </w:rPr>
        <w:t>our knowledge, this is  the  first report of isolates of these pathogens, </w:t>
      </w:r>
      <w:r>
        <w:rPr>
          <w:rFonts w:ascii="Times New Roman" w:hAnsi="Times New Roman"/>
          <w:i/>
          <w:w w:val="105"/>
          <w:sz w:val="11"/>
        </w:rPr>
        <w:t>N. parvum </w:t>
      </w:r>
      <w:r>
        <w:rPr>
          <w:rFonts w:ascii="Times New Roman" w:hAnsi="Times New Roman"/>
          <w:w w:val="105"/>
          <w:sz w:val="11"/>
        </w:rPr>
        <w:t>and </w:t>
      </w:r>
      <w:r>
        <w:rPr>
          <w:rFonts w:ascii="Times New Roman" w:hAnsi="Times New Roman"/>
          <w:i/>
          <w:w w:val="105"/>
          <w:sz w:val="11"/>
        </w:rPr>
        <w:t>N. australe</w:t>
      </w:r>
      <w:r>
        <w:rPr>
          <w:rFonts w:ascii="Times New Roman" w:hAnsi="Times New Roman"/>
          <w:w w:val="105"/>
          <w:sz w:val="11"/>
        </w:rPr>
        <w:t>, causing stem</w:t>
      </w:r>
      <w:r>
        <w:rPr>
          <w:rFonts w:ascii="Times New Roman" w:hAnsi="Times New Roman"/>
          <w:spacing w:val="-6"/>
          <w:w w:val="105"/>
          <w:sz w:val="11"/>
        </w:rPr>
        <w:t> </w:t>
      </w:r>
      <w:r>
        <w:rPr>
          <w:rFonts w:ascii="Times New Roman" w:hAnsi="Times New Roman"/>
          <w:w w:val="105"/>
          <w:sz w:val="11"/>
        </w:rPr>
        <w:t>canker</w:t>
      </w:r>
      <w:r>
        <w:rPr>
          <w:rFonts w:ascii="Times New Roman" w:hAnsi="Times New Roman"/>
          <w:spacing w:val="-5"/>
          <w:w w:val="105"/>
          <w:sz w:val="11"/>
        </w:rPr>
        <w:t> </w:t>
      </w:r>
      <w:r>
        <w:rPr>
          <w:rFonts w:ascii="Times New Roman" w:hAnsi="Times New Roman"/>
          <w:w w:val="105"/>
          <w:sz w:val="11"/>
        </w:rPr>
        <w:t>and</w:t>
      </w:r>
      <w:r>
        <w:rPr>
          <w:rFonts w:ascii="Times New Roman" w:hAnsi="Times New Roman"/>
          <w:spacing w:val="-5"/>
          <w:w w:val="105"/>
          <w:sz w:val="11"/>
        </w:rPr>
        <w:t> </w:t>
      </w:r>
      <w:r>
        <w:rPr>
          <w:rFonts w:ascii="Times New Roman" w:hAnsi="Times New Roman"/>
          <w:w w:val="105"/>
          <w:sz w:val="11"/>
        </w:rPr>
        <w:t>dieback</w:t>
      </w:r>
      <w:r>
        <w:rPr>
          <w:rFonts w:ascii="Times New Roman" w:hAnsi="Times New Roman"/>
          <w:spacing w:val="-5"/>
          <w:w w:val="105"/>
          <w:sz w:val="11"/>
        </w:rPr>
        <w:t> </w:t>
      </w:r>
      <w:r>
        <w:rPr>
          <w:rFonts w:ascii="Times New Roman" w:hAnsi="Times New Roman"/>
          <w:w w:val="105"/>
          <w:sz w:val="11"/>
        </w:rPr>
        <w:t>on</w:t>
      </w:r>
      <w:r>
        <w:rPr>
          <w:rFonts w:ascii="Times New Roman" w:hAnsi="Times New Roman"/>
          <w:spacing w:val="-5"/>
          <w:w w:val="105"/>
          <w:sz w:val="11"/>
        </w:rPr>
        <w:t> </w:t>
      </w:r>
      <w:r>
        <w:rPr>
          <w:rFonts w:ascii="Times New Roman" w:hAnsi="Times New Roman"/>
          <w:w w:val="105"/>
          <w:sz w:val="11"/>
        </w:rPr>
        <w:t>blueberry</w:t>
      </w:r>
      <w:r>
        <w:rPr>
          <w:rFonts w:ascii="Times New Roman" w:hAnsi="Times New Roman"/>
          <w:spacing w:val="-6"/>
          <w:w w:val="105"/>
          <w:sz w:val="11"/>
        </w:rPr>
        <w:t> </w:t>
      </w:r>
      <w:r>
        <w:rPr>
          <w:rFonts w:ascii="Times New Roman" w:hAnsi="Times New Roman"/>
          <w:w w:val="105"/>
          <w:sz w:val="11"/>
        </w:rPr>
        <w:t>bushes</w:t>
      </w:r>
      <w:r>
        <w:rPr>
          <w:rFonts w:ascii="Times New Roman" w:hAnsi="Times New Roman"/>
          <w:spacing w:val="-6"/>
          <w:w w:val="105"/>
          <w:sz w:val="11"/>
        </w:rPr>
        <w:t> </w:t>
      </w:r>
      <w:r>
        <w:rPr>
          <w:rFonts w:ascii="Times New Roman" w:hAnsi="Times New Roman"/>
          <w:w w:val="105"/>
          <w:sz w:val="11"/>
        </w:rPr>
        <w:t>in</w:t>
      </w:r>
      <w:r>
        <w:rPr>
          <w:rFonts w:ascii="Times New Roman" w:hAnsi="Times New Roman"/>
          <w:spacing w:val="-6"/>
          <w:w w:val="105"/>
          <w:sz w:val="11"/>
        </w:rPr>
        <w:t> </w:t>
      </w:r>
      <w:r>
        <w:rPr>
          <w:rFonts w:ascii="Times New Roman" w:hAnsi="Times New Roman"/>
          <w:w w:val="105"/>
          <w:sz w:val="11"/>
        </w:rPr>
        <w:t>Spain.</w:t>
      </w:r>
    </w:p>
    <w:p>
      <w:pPr>
        <w:pStyle w:val="BodyText"/>
        <w:spacing w:before="9"/>
        <w:rPr>
          <w:rFonts w:ascii="Times New Roman"/>
          <w:sz w:val="9"/>
        </w:rPr>
      </w:pPr>
    </w:p>
    <w:p>
      <w:pPr>
        <w:spacing w:before="0"/>
        <w:ind w:left="304" w:right="1037" w:firstLine="0"/>
        <w:jc w:val="both"/>
        <w:rPr>
          <w:rFonts w:ascii="Times New Roman"/>
          <w:sz w:val="10"/>
        </w:rPr>
      </w:pPr>
      <w:r>
        <w:rPr>
          <w:rFonts w:ascii="Times New Roman"/>
          <w:i/>
          <w:sz w:val="10"/>
        </w:rPr>
        <w:t>References</w:t>
      </w:r>
      <w:r>
        <w:rPr>
          <w:rFonts w:ascii="Times New Roman"/>
          <w:sz w:val="10"/>
        </w:rPr>
        <w:t>: (1) J. G. Espinoza et al. Plant Dis. 93:1187, 2009. (2) A. J. L. Phillips et al. Mycol. 97:513, 2005. (3) </w:t>
      </w:r>
      <w:r>
        <w:rPr>
          <w:rFonts w:ascii="Times New Roman"/>
          <w:spacing w:val="-5"/>
          <w:sz w:val="10"/>
        </w:rPr>
        <w:t>T. </w:t>
      </w:r>
      <w:r>
        <w:rPr>
          <w:rFonts w:ascii="Times New Roman"/>
          <w:sz w:val="10"/>
        </w:rPr>
        <w:t>J. White et al. Pages 315-322 in: PCR Protocols: a Guide to Methods and Amplifications. M. A. Innis et al., eds. Academic Press, San Diego, CA.</w:t>
      </w:r>
      <w:r>
        <w:rPr>
          <w:rFonts w:ascii="Times New Roman"/>
          <w:spacing w:val="-2"/>
          <w:sz w:val="10"/>
        </w:rPr>
        <w:t> </w:t>
      </w:r>
      <w:r>
        <w:rPr>
          <w:rFonts w:ascii="Times New Roman"/>
          <w:sz w:val="10"/>
        </w:rPr>
        <w:t>1990.</w:t>
      </w:r>
    </w:p>
    <w:p>
      <w:pPr>
        <w:spacing w:after="0"/>
        <w:jc w:val="both"/>
        <w:rPr>
          <w:rFonts w:ascii="Times New Roman"/>
          <w:sz w:val="10"/>
        </w:rPr>
        <w:sectPr>
          <w:type w:val="continuous"/>
          <w:pgSz w:w="12240" w:h="15840"/>
          <w:pgMar w:top="1500" w:bottom="1820" w:left="1460" w:right="1440"/>
          <w:cols w:num="2" w:equalWidth="0">
            <w:col w:w="4489" w:space="40"/>
            <w:col w:w="4811"/>
          </w:cols>
        </w:sectPr>
      </w:pPr>
    </w:p>
    <w:p>
      <w:pPr>
        <w:pStyle w:val="BodyText"/>
        <w:spacing w:before="9"/>
        <w:rPr>
          <w:rFonts w:ascii="Times New Roman"/>
          <w:sz w:val="11"/>
        </w:rPr>
      </w:pPr>
    </w:p>
    <w:p>
      <w:pPr>
        <w:spacing w:before="1"/>
        <w:ind w:left="1020" w:right="0" w:firstLine="0"/>
        <w:jc w:val="left"/>
        <w:rPr>
          <w:sz w:val="11"/>
        </w:rPr>
      </w:pPr>
      <w:r>
        <w:rPr>
          <w:w w:val="105"/>
          <w:sz w:val="11"/>
        </w:rPr>
        <w:t>1112   Plant Disease / Vol. 97 No. 8</w:t>
      </w:r>
    </w:p>
    <w:p>
      <w:pPr>
        <w:spacing w:after="0"/>
        <w:jc w:val="left"/>
        <w:rPr>
          <w:sz w:val="11"/>
        </w:rPr>
        <w:sectPr>
          <w:type w:val="continuous"/>
          <w:pgSz w:w="12240" w:h="15840"/>
          <w:pgMar w:top="1500" w:bottom="1820" w:left="1460" w:right="1440"/>
        </w:sectPr>
      </w:pPr>
    </w:p>
    <w:p>
      <w:pPr>
        <w:pStyle w:val="BodyText"/>
        <w:rPr>
          <w:sz w:val="14"/>
        </w:rPr>
      </w:pPr>
    </w:p>
    <w:p>
      <w:pPr>
        <w:spacing w:line="480" w:lineRule="auto" w:before="70"/>
        <w:ind w:left="239" w:right="260" w:firstLine="0"/>
        <w:jc w:val="both"/>
        <w:rPr>
          <w:b/>
          <w:sz w:val="24"/>
        </w:rPr>
      </w:pPr>
      <w:r>
        <w:rPr>
          <w:b/>
          <w:sz w:val="24"/>
        </w:rPr>
        <w:t>Capítulo 3. Presencia de aislamientos homotálicos de </w:t>
      </w:r>
      <w:r>
        <w:rPr>
          <w:b/>
          <w:i/>
          <w:sz w:val="24"/>
        </w:rPr>
        <w:t>Phytophthora  </w:t>
      </w:r>
      <w:r>
        <w:rPr>
          <w:b/>
          <w:i/>
          <w:sz w:val="24"/>
        </w:rPr>
        <w:t>infestans </w:t>
      </w:r>
      <w:r>
        <w:rPr>
          <w:b/>
          <w:sz w:val="24"/>
        </w:rPr>
        <w:t>en cultivos de papa (</w:t>
      </w:r>
      <w:r>
        <w:rPr>
          <w:b/>
          <w:i/>
          <w:sz w:val="24"/>
        </w:rPr>
        <w:t>Solanum tuberosum </w:t>
      </w:r>
      <w:r>
        <w:rPr>
          <w:b/>
          <w:sz w:val="24"/>
        </w:rPr>
        <w:t>L.) tratados con metalaxil en el Valle Toluca, México.</w:t>
      </w:r>
    </w:p>
    <w:p>
      <w:pPr>
        <w:pStyle w:val="BodyText"/>
        <w:rPr>
          <w:b/>
        </w:rPr>
      </w:pPr>
    </w:p>
    <w:p>
      <w:pPr>
        <w:pStyle w:val="BodyText"/>
        <w:spacing w:before="7"/>
        <w:rPr>
          <w:b/>
        </w:rPr>
      </w:pPr>
    </w:p>
    <w:p>
      <w:pPr>
        <w:pStyle w:val="BodyText"/>
        <w:spacing w:line="480" w:lineRule="auto" w:before="1"/>
        <w:ind w:left="239" w:right="260"/>
        <w:jc w:val="both"/>
      </w:pPr>
      <w:r>
        <w:rPr/>
        <w:t>Se realizó la valoración de la resistencia al metalaxil de los aislamientos de </w:t>
      </w:r>
      <w:r>
        <w:rPr>
          <w:i/>
        </w:rPr>
        <w:t>Phytophthora infestans </w:t>
      </w:r>
      <w:r>
        <w:rPr/>
        <w:t>bajo la metodología planteada por el FRAC (Fungicide Resistance Action Committee), donde los aislamientos que mostraron más de 40% de crecimiento relativo al testigo en presencia de 5.0 µg/ml (ingrediente activo) de metalaxil fueron considerados como resistentes al fungicida. Los aislamientos homotálicos fueron resistentes al metalaxil y procedían de cultivos de papa que fueron tratados con metalaxil.</w:t>
      </w:r>
    </w:p>
    <w:p>
      <w:pPr>
        <w:pStyle w:val="BodyText"/>
      </w:pPr>
    </w:p>
    <w:p>
      <w:pPr>
        <w:pStyle w:val="BodyText"/>
        <w:spacing w:before="7"/>
      </w:pPr>
    </w:p>
    <w:p>
      <w:pPr>
        <w:pStyle w:val="BodyText"/>
        <w:spacing w:line="480" w:lineRule="auto" w:before="1"/>
        <w:ind w:left="239" w:right="260"/>
        <w:jc w:val="both"/>
      </w:pPr>
      <w:r>
        <w:rPr/>
        <w:t>Los resultados completos se encuentran contenidos en la publicación “Presencia de aislamientos homotálicos de </w:t>
      </w:r>
      <w:r>
        <w:rPr>
          <w:i/>
        </w:rPr>
        <w:t>Phytophthora infestans </w:t>
      </w:r>
      <w:r>
        <w:rPr/>
        <w:t>en cultivos de papa (</w:t>
      </w:r>
      <w:r>
        <w:rPr>
          <w:i/>
        </w:rPr>
        <w:t>Solanum tuberosum </w:t>
      </w:r>
      <w:r>
        <w:rPr/>
        <w:t>L.) tratados con metalaxil en el Valle Toluca, México” que se transcribe a continuación.</w:t>
      </w:r>
    </w:p>
    <w:p>
      <w:pPr>
        <w:spacing w:after="0" w:line="480" w:lineRule="auto"/>
        <w:jc w:val="both"/>
        <w:sectPr>
          <w:pgSz w:w="12240" w:h="15840"/>
          <w:pgMar w:header="719" w:footer="740" w:top="1260" w:bottom="920" w:left="1460" w:right="1440"/>
        </w:sectPr>
      </w:pPr>
    </w:p>
    <w:p>
      <w:pPr>
        <w:pStyle w:val="BodyText"/>
        <w:rPr>
          <w:sz w:val="20"/>
        </w:rPr>
      </w:pPr>
    </w:p>
    <w:p>
      <w:pPr>
        <w:pStyle w:val="BodyText"/>
        <w:rPr>
          <w:sz w:val="20"/>
        </w:rPr>
      </w:pPr>
    </w:p>
    <w:p>
      <w:pPr>
        <w:pStyle w:val="BodyText"/>
        <w:rPr>
          <w:sz w:val="20"/>
        </w:rPr>
      </w:pPr>
    </w:p>
    <w:p>
      <w:pPr>
        <w:pStyle w:val="BodyText"/>
        <w:spacing w:before="3"/>
      </w:pPr>
    </w:p>
    <w:p>
      <w:pPr>
        <w:tabs>
          <w:tab w:pos="5018" w:val="left" w:leader="none"/>
        </w:tabs>
        <w:spacing w:before="82"/>
        <w:ind w:left="1503" w:right="0" w:firstLine="0"/>
        <w:jc w:val="left"/>
        <w:rPr>
          <w:rFonts w:ascii="Trebuchet MS" w:hAnsi="Trebuchet MS"/>
          <w:i/>
          <w:sz w:val="12"/>
        </w:rPr>
      </w:pPr>
      <w:r>
        <w:rPr>
          <w:rFonts w:ascii="Calibri" w:hAnsi="Calibri"/>
          <w:color w:val="231F20"/>
          <w:w w:val="105"/>
          <w:sz w:val="13"/>
        </w:rPr>
        <w:t>408</w:t>
        <w:tab/>
      </w:r>
      <w:r>
        <w:rPr>
          <w:rFonts w:ascii="Trebuchet MS" w:hAnsi="Trebuchet MS"/>
          <w:i/>
          <w:color w:val="231F20"/>
          <w:w w:val="105"/>
          <w:sz w:val="13"/>
        </w:rPr>
        <w:t>López-Orona</w:t>
      </w:r>
      <w:r>
        <w:rPr>
          <w:rFonts w:ascii="Trebuchet MS" w:hAnsi="Trebuchet MS"/>
          <w:i/>
          <w:color w:val="231F20"/>
          <w:spacing w:val="-11"/>
          <w:w w:val="105"/>
          <w:sz w:val="13"/>
        </w:rPr>
        <w:t> </w:t>
      </w:r>
      <w:r>
        <w:rPr>
          <w:rFonts w:ascii="Trebuchet MS" w:hAnsi="Trebuchet MS"/>
          <w:i/>
          <w:color w:val="231F20"/>
          <w:w w:val="105"/>
          <w:sz w:val="13"/>
        </w:rPr>
        <w:t>et</w:t>
      </w:r>
      <w:r>
        <w:rPr>
          <w:rFonts w:ascii="Trebuchet MS" w:hAnsi="Trebuchet MS"/>
          <w:i/>
          <w:color w:val="231F20"/>
          <w:spacing w:val="-11"/>
          <w:w w:val="105"/>
          <w:sz w:val="13"/>
        </w:rPr>
        <w:t> </w:t>
      </w:r>
      <w:r>
        <w:rPr>
          <w:rFonts w:ascii="Trebuchet MS" w:hAnsi="Trebuchet MS"/>
          <w:i/>
          <w:color w:val="231F20"/>
          <w:w w:val="105"/>
          <w:sz w:val="13"/>
        </w:rPr>
        <w:t>al.</w:t>
      </w:r>
      <w:r>
        <w:rPr>
          <w:rFonts w:ascii="Trebuchet MS" w:hAnsi="Trebuchet MS"/>
          <w:i/>
          <w:color w:val="231F20"/>
          <w:spacing w:val="-11"/>
          <w:w w:val="105"/>
          <w:sz w:val="13"/>
        </w:rPr>
        <w:t> </w:t>
      </w:r>
      <w:r>
        <w:rPr>
          <w:rFonts w:ascii="Trebuchet MS" w:hAnsi="Trebuchet MS"/>
          <w:i/>
          <w:color w:val="231F20"/>
          <w:w w:val="105"/>
          <w:sz w:val="13"/>
        </w:rPr>
        <w:t>ITEA</w:t>
      </w:r>
      <w:r>
        <w:rPr>
          <w:rFonts w:ascii="Trebuchet MS" w:hAnsi="Trebuchet MS"/>
          <w:i/>
          <w:color w:val="231F20"/>
          <w:spacing w:val="-15"/>
          <w:w w:val="105"/>
          <w:sz w:val="13"/>
        </w:rPr>
        <w:t> </w:t>
      </w:r>
      <w:r>
        <w:rPr>
          <w:rFonts w:ascii="Trebuchet MS" w:hAnsi="Trebuchet MS"/>
          <w:i/>
          <w:color w:val="231F20"/>
          <w:w w:val="105"/>
          <w:sz w:val="12"/>
        </w:rPr>
        <w:t>(2013),</w:t>
      </w:r>
      <w:r>
        <w:rPr>
          <w:rFonts w:ascii="Trebuchet MS" w:hAnsi="Trebuchet MS"/>
          <w:i/>
          <w:color w:val="231F20"/>
          <w:spacing w:val="-12"/>
          <w:w w:val="105"/>
          <w:sz w:val="12"/>
        </w:rPr>
        <w:t> </w:t>
      </w:r>
      <w:r>
        <w:rPr>
          <w:rFonts w:ascii="Trebuchet MS" w:hAnsi="Trebuchet MS"/>
          <w:i/>
          <w:color w:val="231F20"/>
          <w:w w:val="105"/>
          <w:sz w:val="12"/>
        </w:rPr>
        <w:t>109</w:t>
      </w:r>
      <w:r>
        <w:rPr>
          <w:rFonts w:ascii="Trebuchet MS" w:hAnsi="Trebuchet MS"/>
          <w:i/>
          <w:color w:val="231F20"/>
          <w:spacing w:val="-12"/>
          <w:w w:val="105"/>
          <w:sz w:val="12"/>
        </w:rPr>
        <w:t> </w:t>
      </w:r>
      <w:r>
        <w:rPr>
          <w:rFonts w:ascii="Trebuchet MS" w:hAnsi="Trebuchet MS"/>
          <w:i/>
          <w:color w:val="231F20"/>
          <w:w w:val="105"/>
          <w:sz w:val="12"/>
        </w:rPr>
        <w:t>(4),</w:t>
      </w:r>
      <w:r>
        <w:rPr>
          <w:rFonts w:ascii="Trebuchet MS" w:hAnsi="Trebuchet MS"/>
          <w:i/>
          <w:color w:val="231F20"/>
          <w:spacing w:val="-12"/>
          <w:w w:val="105"/>
          <w:sz w:val="12"/>
        </w:rPr>
        <w:t> </w:t>
      </w:r>
      <w:r>
        <w:rPr>
          <w:rFonts w:ascii="Trebuchet MS" w:hAnsi="Trebuchet MS"/>
          <w:i/>
          <w:color w:val="231F20"/>
          <w:w w:val="105"/>
          <w:sz w:val="12"/>
        </w:rPr>
        <w:t>408-414</w:t>
      </w:r>
    </w:p>
    <w:p>
      <w:pPr>
        <w:pStyle w:val="BodyText"/>
        <w:rPr>
          <w:rFonts w:ascii="Trebuchet MS"/>
          <w:i/>
          <w:sz w:val="12"/>
        </w:rPr>
      </w:pPr>
    </w:p>
    <w:p>
      <w:pPr>
        <w:pStyle w:val="BodyText"/>
        <w:rPr>
          <w:rFonts w:ascii="Trebuchet MS"/>
          <w:i/>
          <w:sz w:val="12"/>
        </w:rPr>
      </w:pPr>
    </w:p>
    <w:p>
      <w:pPr>
        <w:pStyle w:val="BodyText"/>
        <w:rPr>
          <w:rFonts w:ascii="Trebuchet MS"/>
          <w:i/>
          <w:sz w:val="12"/>
        </w:rPr>
      </w:pPr>
    </w:p>
    <w:p>
      <w:pPr>
        <w:pStyle w:val="BodyText"/>
        <w:rPr>
          <w:rFonts w:ascii="Trebuchet MS"/>
          <w:i/>
          <w:sz w:val="12"/>
        </w:rPr>
      </w:pPr>
    </w:p>
    <w:p>
      <w:pPr>
        <w:pStyle w:val="BodyText"/>
        <w:rPr>
          <w:rFonts w:ascii="Trebuchet MS"/>
          <w:i/>
          <w:sz w:val="10"/>
        </w:rPr>
      </w:pPr>
    </w:p>
    <w:p>
      <w:pPr>
        <w:spacing w:line="252" w:lineRule="exact" w:before="0"/>
        <w:ind w:left="1503" w:right="1902" w:firstLine="0"/>
        <w:jc w:val="left"/>
        <w:rPr>
          <w:b/>
          <w:sz w:val="22"/>
        </w:rPr>
      </w:pPr>
      <w:r>
        <w:rPr>
          <w:b/>
          <w:color w:val="231F20"/>
          <w:sz w:val="22"/>
        </w:rPr>
        <w:t>Presencia de aislamientos homotálicos de </w:t>
      </w:r>
      <w:r>
        <w:rPr>
          <w:rFonts w:ascii="Trebuchet MS" w:hAnsi="Trebuchet MS"/>
          <w:b/>
          <w:i/>
          <w:color w:val="231F20"/>
          <w:sz w:val="22"/>
        </w:rPr>
        <w:t>Phytophthora </w:t>
      </w:r>
      <w:r>
        <w:rPr>
          <w:rFonts w:ascii="Trebuchet MS" w:hAnsi="Trebuchet MS"/>
          <w:b/>
          <w:i/>
          <w:color w:val="231F20"/>
          <w:sz w:val="22"/>
        </w:rPr>
        <w:t>infestans en cultivos de papa </w:t>
      </w:r>
      <w:r>
        <w:rPr>
          <w:b/>
          <w:color w:val="231F20"/>
          <w:sz w:val="22"/>
        </w:rPr>
        <w:t>(</w:t>
      </w:r>
      <w:r>
        <w:rPr>
          <w:rFonts w:ascii="Trebuchet MS" w:hAnsi="Trebuchet MS"/>
          <w:b/>
          <w:i/>
          <w:color w:val="231F20"/>
          <w:sz w:val="22"/>
        </w:rPr>
        <w:t>Solanum tuberosum </w:t>
      </w:r>
      <w:r>
        <w:rPr>
          <w:b/>
          <w:color w:val="231F20"/>
          <w:sz w:val="22"/>
        </w:rPr>
        <w:t>L.) tratados con metalaxil en el Valle Toluca, México</w:t>
      </w:r>
    </w:p>
    <w:p>
      <w:pPr>
        <w:pStyle w:val="BodyText"/>
        <w:spacing w:before="1"/>
        <w:rPr>
          <w:b/>
        </w:rPr>
      </w:pPr>
    </w:p>
    <w:p>
      <w:pPr>
        <w:spacing w:line="215" w:lineRule="exact" w:before="1"/>
        <w:ind w:left="1503" w:right="0" w:firstLine="0"/>
        <w:jc w:val="left"/>
        <w:rPr>
          <w:rFonts w:ascii="Calibri" w:hAnsi="Calibri"/>
          <w:sz w:val="18"/>
        </w:rPr>
      </w:pPr>
      <w:r>
        <w:rPr>
          <w:rFonts w:ascii="Calibri" w:hAnsi="Calibri"/>
          <w:color w:val="231F20"/>
          <w:w w:val="115"/>
          <w:sz w:val="18"/>
        </w:rPr>
        <w:t>C.A. López-Orona</w:t>
      </w:r>
      <w:r>
        <w:rPr>
          <w:rFonts w:ascii="Calibri" w:hAnsi="Calibri"/>
          <w:color w:val="231F20"/>
          <w:w w:val="115"/>
          <w:position w:val="6"/>
          <w:sz w:val="12"/>
        </w:rPr>
        <w:t>*,**</w:t>
      </w:r>
      <w:r>
        <w:rPr>
          <w:rFonts w:ascii="Calibri" w:hAnsi="Calibri"/>
          <w:color w:val="231F20"/>
          <w:w w:val="115"/>
          <w:sz w:val="18"/>
        </w:rPr>
        <w:t>, A.R. Martínez-Campos</w:t>
      </w:r>
      <w:r>
        <w:rPr>
          <w:rFonts w:ascii="Calibri" w:hAnsi="Calibri"/>
          <w:color w:val="231F20"/>
          <w:w w:val="115"/>
          <w:position w:val="6"/>
          <w:sz w:val="12"/>
        </w:rPr>
        <w:t>*</w:t>
      </w:r>
      <w:r>
        <w:rPr>
          <w:rFonts w:ascii="Calibri" w:hAnsi="Calibri"/>
          <w:color w:val="231F20"/>
          <w:w w:val="115"/>
          <w:sz w:val="18"/>
        </w:rPr>
        <w:t>, C.G. Peñuelas-Rivas</w:t>
      </w:r>
      <w:r>
        <w:rPr>
          <w:rFonts w:ascii="Calibri" w:hAnsi="Calibri"/>
          <w:color w:val="231F20"/>
          <w:w w:val="115"/>
          <w:position w:val="6"/>
          <w:sz w:val="12"/>
        </w:rPr>
        <w:t>***</w:t>
      </w:r>
      <w:r>
        <w:rPr>
          <w:rFonts w:ascii="Calibri" w:hAnsi="Calibri"/>
          <w:color w:val="231F20"/>
          <w:w w:val="115"/>
          <w:sz w:val="18"/>
        </w:rPr>
        <w:t>,</w:t>
      </w:r>
    </w:p>
    <w:p>
      <w:pPr>
        <w:spacing w:line="208" w:lineRule="exact" w:before="0"/>
        <w:ind w:left="1503" w:right="2389" w:firstLine="0"/>
        <w:jc w:val="left"/>
        <w:rPr>
          <w:rFonts w:ascii="Calibri" w:hAnsi="Calibri"/>
          <w:sz w:val="12"/>
        </w:rPr>
      </w:pPr>
      <w:r>
        <w:rPr>
          <w:rFonts w:ascii="Calibri" w:hAnsi="Calibri"/>
          <w:color w:val="231F20"/>
          <w:spacing w:val="-9"/>
          <w:w w:val="115"/>
          <w:sz w:val="18"/>
        </w:rPr>
        <w:t>T.T. </w:t>
      </w:r>
      <w:r>
        <w:rPr>
          <w:rFonts w:ascii="Calibri" w:hAnsi="Calibri"/>
          <w:color w:val="231F20"/>
          <w:w w:val="115"/>
          <w:sz w:val="18"/>
        </w:rPr>
        <w:t>Arteaga-Reyes</w:t>
      </w:r>
      <w:r>
        <w:rPr>
          <w:rFonts w:ascii="Calibri" w:hAnsi="Calibri"/>
          <w:color w:val="231F20"/>
          <w:w w:val="115"/>
          <w:position w:val="6"/>
          <w:sz w:val="12"/>
        </w:rPr>
        <w:t>*</w:t>
      </w:r>
      <w:r>
        <w:rPr>
          <w:rFonts w:ascii="Calibri" w:hAnsi="Calibri"/>
          <w:color w:val="231F20"/>
          <w:w w:val="115"/>
          <w:sz w:val="18"/>
        </w:rPr>
        <w:t>, C.A. Ruiz-Olmos</w:t>
      </w:r>
      <w:r>
        <w:rPr>
          <w:rFonts w:ascii="Calibri" w:hAnsi="Calibri"/>
          <w:color w:val="231F20"/>
          <w:w w:val="115"/>
          <w:position w:val="6"/>
          <w:sz w:val="12"/>
        </w:rPr>
        <w:t>****</w:t>
      </w:r>
      <w:r>
        <w:rPr>
          <w:rFonts w:ascii="Calibri" w:hAnsi="Calibri"/>
          <w:color w:val="231F20"/>
          <w:w w:val="115"/>
          <w:sz w:val="18"/>
        </w:rPr>
        <w:t>, M.A. Gómez-Tenorio</w:t>
      </w:r>
      <w:r>
        <w:rPr>
          <w:rFonts w:ascii="Calibri" w:hAnsi="Calibri"/>
          <w:color w:val="231F20"/>
          <w:w w:val="115"/>
          <w:position w:val="6"/>
          <w:sz w:val="12"/>
        </w:rPr>
        <w:t>**** </w:t>
      </w:r>
      <w:r>
        <w:rPr>
          <w:rFonts w:ascii="Calibri" w:hAnsi="Calibri"/>
          <w:color w:val="231F20"/>
          <w:w w:val="115"/>
          <w:sz w:val="18"/>
        </w:rPr>
        <w:t>y D. Palmero</w:t>
      </w:r>
      <w:r>
        <w:rPr>
          <w:rFonts w:ascii="Calibri" w:hAnsi="Calibri"/>
          <w:color w:val="231F20"/>
          <w:w w:val="115"/>
          <w:position w:val="6"/>
          <w:sz w:val="12"/>
        </w:rPr>
        <w:t>*****,1</w:t>
      </w:r>
    </w:p>
    <w:p>
      <w:pPr>
        <w:pStyle w:val="BodyText"/>
        <w:spacing w:before="10"/>
        <w:rPr>
          <w:rFonts w:ascii="Calibri"/>
          <w:sz w:val="14"/>
        </w:rPr>
      </w:pPr>
    </w:p>
    <w:p>
      <w:pPr>
        <w:spacing w:before="0"/>
        <w:ind w:left="1794" w:right="0" w:firstLine="0"/>
        <w:jc w:val="left"/>
        <w:rPr>
          <w:rFonts w:ascii="Calibri" w:hAnsi="Calibri"/>
          <w:sz w:val="13"/>
        </w:rPr>
      </w:pPr>
      <w:r>
        <w:rPr>
          <w:rFonts w:ascii="Calibri" w:hAnsi="Calibri"/>
          <w:color w:val="231F20"/>
          <w:w w:val="115"/>
          <w:sz w:val="13"/>
        </w:rPr>
        <w:t>* Universidad Autónoma del Estado de México. Instituto de Ciencias Agropecuarias y Rurales.  Km.</w:t>
      </w:r>
    </w:p>
    <w:p>
      <w:pPr>
        <w:spacing w:line="268" w:lineRule="auto" w:before="19"/>
        <w:ind w:left="1902" w:right="1511" w:firstLine="0"/>
        <w:jc w:val="left"/>
        <w:rPr>
          <w:rFonts w:ascii="Calibri" w:hAnsi="Calibri"/>
          <w:sz w:val="13"/>
        </w:rPr>
      </w:pPr>
      <w:r>
        <w:rPr>
          <w:rFonts w:ascii="Calibri" w:hAnsi="Calibri"/>
          <w:color w:val="231F20"/>
          <w:w w:val="115"/>
          <w:sz w:val="13"/>
        </w:rPr>
        <w:t>14.5 Autopista Toluca-Atlacomulco. San Cayetano de Morelos. Toluca, Estado de México. C.P. 50295. México</w:t>
      </w:r>
    </w:p>
    <w:p>
      <w:pPr>
        <w:spacing w:before="0"/>
        <w:ind w:left="1726" w:right="0" w:firstLine="0"/>
        <w:jc w:val="left"/>
        <w:rPr>
          <w:rFonts w:ascii="Calibri" w:hAnsi="Calibri"/>
          <w:sz w:val="13"/>
        </w:rPr>
      </w:pPr>
      <w:r>
        <w:rPr>
          <w:rFonts w:ascii="Calibri" w:hAnsi="Calibri"/>
          <w:color w:val="231F20"/>
          <w:w w:val="120"/>
          <w:sz w:val="13"/>
        </w:rPr>
        <w:t>** Universidad Autónoma de Sinaloa. Facultad de Agronomía. Carretera Culiacán-Eldorado Km.</w:t>
      </w:r>
    </w:p>
    <w:p>
      <w:pPr>
        <w:spacing w:before="19"/>
        <w:ind w:left="1911" w:right="0" w:firstLine="0"/>
        <w:jc w:val="left"/>
        <w:rPr>
          <w:rFonts w:ascii="Calibri" w:hAnsi="Calibri"/>
          <w:sz w:val="13"/>
        </w:rPr>
      </w:pPr>
      <w:r>
        <w:rPr>
          <w:rFonts w:ascii="Calibri" w:hAnsi="Calibri"/>
          <w:color w:val="231F20"/>
          <w:w w:val="115"/>
          <w:sz w:val="13"/>
        </w:rPr>
        <w:t>17.5. Cualiacán de Rosales, Sinaloa. C.P. 80398. México</w:t>
      </w:r>
    </w:p>
    <w:p>
      <w:pPr>
        <w:spacing w:line="268" w:lineRule="auto" w:before="19"/>
        <w:ind w:left="1911" w:right="1511" w:hanging="260"/>
        <w:jc w:val="left"/>
        <w:rPr>
          <w:rFonts w:ascii="Calibri" w:hAnsi="Calibri"/>
          <w:sz w:val="13"/>
        </w:rPr>
      </w:pPr>
      <w:r>
        <w:rPr>
          <w:rFonts w:ascii="Calibri" w:hAnsi="Calibri"/>
          <w:color w:val="231F20"/>
          <w:w w:val="115"/>
          <w:sz w:val="13"/>
        </w:rPr>
        <w:t>*** Universidad Autónoma del Estado de México. Facultad de Medicina Veterinaria y Zootecnia. El Cerrillo Piedras Blancas, Toluca, Estado de México. C.P. 50090. México</w:t>
      </w:r>
    </w:p>
    <w:p>
      <w:pPr>
        <w:spacing w:line="268" w:lineRule="auto" w:before="0"/>
        <w:ind w:left="1911" w:right="1511" w:hanging="334"/>
        <w:jc w:val="left"/>
        <w:rPr>
          <w:rFonts w:ascii="Calibri" w:hAnsi="Calibri"/>
          <w:sz w:val="13"/>
        </w:rPr>
      </w:pPr>
      <w:r>
        <w:rPr>
          <w:rFonts w:ascii="Calibri" w:hAnsi="Calibri"/>
          <w:color w:val="231F20"/>
          <w:w w:val="115"/>
          <w:sz w:val="13"/>
        </w:rPr>
        <w:t>**** Universidad de Almería (UAL), Dpto. Producción Vegetal, Cañada de San Urbano s/n. 04120 15 Almería, España</w:t>
      </w:r>
    </w:p>
    <w:p>
      <w:pPr>
        <w:spacing w:before="0"/>
        <w:ind w:left="1503" w:right="0" w:firstLine="0"/>
        <w:jc w:val="left"/>
        <w:rPr>
          <w:rFonts w:ascii="Calibri" w:hAnsi="Calibri"/>
          <w:sz w:val="13"/>
        </w:rPr>
      </w:pPr>
      <w:r>
        <w:rPr>
          <w:rFonts w:ascii="Calibri" w:hAnsi="Calibri"/>
          <w:color w:val="231F20"/>
          <w:w w:val="115"/>
          <w:sz w:val="13"/>
        </w:rPr>
        <w:t>***** Universidad Politécnica de Madrid. EUIT Agrícola. Ciudad Universitaria s/n. C.P. 28040.   Madrid.</w:t>
      </w:r>
    </w:p>
    <w:p>
      <w:pPr>
        <w:spacing w:before="19"/>
        <w:ind w:left="1911" w:right="0" w:firstLine="0"/>
        <w:jc w:val="left"/>
        <w:rPr>
          <w:rFonts w:ascii="Calibri" w:hAnsi="Calibri"/>
          <w:sz w:val="13"/>
        </w:rPr>
      </w:pPr>
      <w:r>
        <w:rPr>
          <w:rFonts w:ascii="Calibri" w:hAnsi="Calibri"/>
          <w:color w:val="231F20"/>
          <w:w w:val="115"/>
          <w:sz w:val="13"/>
        </w:rPr>
        <w:t>España</w:t>
      </w:r>
    </w:p>
    <w:p>
      <w:pPr>
        <w:pStyle w:val="BodyText"/>
        <w:spacing w:before="9"/>
        <w:rPr>
          <w:rFonts w:ascii="Calibri"/>
          <w:sz w:val="17"/>
        </w:rPr>
      </w:pPr>
    </w:p>
    <w:p>
      <w:pPr>
        <w:spacing w:before="0"/>
        <w:ind w:left="1503" w:right="0" w:firstLine="0"/>
        <w:jc w:val="left"/>
        <w:rPr>
          <w:b/>
          <w:sz w:val="13"/>
        </w:rPr>
      </w:pPr>
      <w:r>
        <w:rPr>
          <w:b/>
          <w:color w:val="231F20"/>
          <w:sz w:val="13"/>
        </w:rPr>
        <w:t>Resumen</w:t>
      </w:r>
    </w:p>
    <w:p>
      <w:pPr>
        <w:spacing w:line="247" w:lineRule="auto" w:before="96"/>
        <w:ind w:left="1503" w:right="1519" w:firstLine="0"/>
        <w:jc w:val="both"/>
        <w:rPr>
          <w:rFonts w:ascii="Calibri" w:hAnsi="Calibri"/>
          <w:sz w:val="13"/>
        </w:rPr>
      </w:pPr>
      <w:r>
        <w:rPr>
          <w:rFonts w:ascii="Calibri" w:hAnsi="Calibri"/>
          <w:color w:val="231F20"/>
          <w:w w:val="115"/>
          <w:sz w:val="13"/>
        </w:rPr>
        <w:t>El</w:t>
      </w:r>
      <w:r>
        <w:rPr>
          <w:rFonts w:ascii="Calibri" w:hAnsi="Calibri"/>
          <w:color w:val="231F20"/>
          <w:spacing w:val="-9"/>
          <w:w w:val="115"/>
          <w:sz w:val="13"/>
        </w:rPr>
        <w:t> </w:t>
      </w:r>
      <w:r>
        <w:rPr>
          <w:rFonts w:ascii="Calibri" w:hAnsi="Calibri"/>
          <w:color w:val="231F20"/>
          <w:spacing w:val="-3"/>
          <w:w w:val="115"/>
          <w:sz w:val="13"/>
        </w:rPr>
        <w:t>objetivo</w:t>
      </w:r>
      <w:r>
        <w:rPr>
          <w:rFonts w:ascii="Calibri" w:hAnsi="Calibri"/>
          <w:color w:val="231F20"/>
          <w:spacing w:val="-9"/>
          <w:w w:val="115"/>
          <w:sz w:val="13"/>
        </w:rPr>
        <w:t> </w:t>
      </w:r>
      <w:r>
        <w:rPr>
          <w:rFonts w:ascii="Calibri" w:hAnsi="Calibri"/>
          <w:color w:val="231F20"/>
          <w:w w:val="115"/>
          <w:sz w:val="13"/>
        </w:rPr>
        <w:t>del</w:t>
      </w:r>
      <w:r>
        <w:rPr>
          <w:rFonts w:ascii="Calibri" w:hAnsi="Calibri"/>
          <w:color w:val="231F20"/>
          <w:spacing w:val="-9"/>
          <w:w w:val="115"/>
          <w:sz w:val="13"/>
        </w:rPr>
        <w:t> </w:t>
      </w:r>
      <w:r>
        <w:rPr>
          <w:rFonts w:ascii="Calibri" w:hAnsi="Calibri"/>
          <w:color w:val="231F20"/>
          <w:spacing w:val="-3"/>
          <w:w w:val="115"/>
          <w:sz w:val="13"/>
        </w:rPr>
        <w:t>presente</w:t>
      </w:r>
      <w:r>
        <w:rPr>
          <w:rFonts w:ascii="Calibri" w:hAnsi="Calibri"/>
          <w:color w:val="231F20"/>
          <w:spacing w:val="-9"/>
          <w:w w:val="115"/>
          <w:sz w:val="13"/>
        </w:rPr>
        <w:t> </w:t>
      </w:r>
      <w:r>
        <w:rPr>
          <w:rFonts w:ascii="Calibri" w:hAnsi="Calibri"/>
          <w:color w:val="231F20"/>
          <w:spacing w:val="-3"/>
          <w:w w:val="115"/>
          <w:sz w:val="13"/>
        </w:rPr>
        <w:t>trabajo</w:t>
      </w:r>
      <w:r>
        <w:rPr>
          <w:rFonts w:ascii="Calibri" w:hAnsi="Calibri"/>
          <w:color w:val="231F20"/>
          <w:spacing w:val="-9"/>
          <w:w w:val="115"/>
          <w:sz w:val="13"/>
        </w:rPr>
        <w:t> </w:t>
      </w:r>
      <w:r>
        <w:rPr>
          <w:rFonts w:ascii="Calibri" w:hAnsi="Calibri"/>
          <w:color w:val="231F20"/>
          <w:w w:val="115"/>
          <w:sz w:val="13"/>
        </w:rPr>
        <w:t>es</w:t>
      </w:r>
      <w:r>
        <w:rPr>
          <w:rFonts w:ascii="Calibri" w:hAnsi="Calibri"/>
          <w:color w:val="231F20"/>
          <w:spacing w:val="-9"/>
          <w:w w:val="115"/>
          <w:sz w:val="13"/>
        </w:rPr>
        <w:t> </w:t>
      </w:r>
      <w:r>
        <w:rPr>
          <w:rFonts w:ascii="Calibri" w:hAnsi="Calibri"/>
          <w:color w:val="231F20"/>
          <w:spacing w:val="-3"/>
          <w:w w:val="115"/>
          <w:sz w:val="13"/>
        </w:rPr>
        <w:t>presentar</w:t>
      </w:r>
      <w:r>
        <w:rPr>
          <w:rFonts w:ascii="Calibri" w:hAnsi="Calibri"/>
          <w:color w:val="231F20"/>
          <w:spacing w:val="-9"/>
          <w:w w:val="115"/>
          <w:sz w:val="13"/>
        </w:rPr>
        <w:t> </w:t>
      </w:r>
      <w:r>
        <w:rPr>
          <w:rFonts w:ascii="Calibri" w:hAnsi="Calibri"/>
          <w:color w:val="231F20"/>
          <w:w w:val="115"/>
          <w:sz w:val="13"/>
        </w:rPr>
        <w:t>la</w:t>
      </w:r>
      <w:r>
        <w:rPr>
          <w:rFonts w:ascii="Calibri" w:hAnsi="Calibri"/>
          <w:color w:val="231F20"/>
          <w:spacing w:val="-9"/>
          <w:w w:val="115"/>
          <w:sz w:val="13"/>
        </w:rPr>
        <w:t> </w:t>
      </w:r>
      <w:r>
        <w:rPr>
          <w:rFonts w:ascii="Calibri" w:hAnsi="Calibri"/>
          <w:color w:val="231F20"/>
          <w:spacing w:val="-3"/>
          <w:w w:val="115"/>
          <w:sz w:val="13"/>
        </w:rPr>
        <w:t>existencia</w:t>
      </w:r>
      <w:r>
        <w:rPr>
          <w:rFonts w:ascii="Calibri" w:hAnsi="Calibri"/>
          <w:color w:val="231F20"/>
          <w:spacing w:val="-9"/>
          <w:w w:val="115"/>
          <w:sz w:val="13"/>
        </w:rPr>
        <w:t> </w:t>
      </w:r>
      <w:r>
        <w:rPr>
          <w:rFonts w:ascii="Calibri" w:hAnsi="Calibri"/>
          <w:color w:val="231F20"/>
          <w:w w:val="115"/>
          <w:sz w:val="13"/>
        </w:rPr>
        <w:t>de</w:t>
      </w:r>
      <w:r>
        <w:rPr>
          <w:rFonts w:ascii="Calibri" w:hAnsi="Calibri"/>
          <w:color w:val="231F20"/>
          <w:spacing w:val="-9"/>
          <w:w w:val="115"/>
          <w:sz w:val="13"/>
        </w:rPr>
        <w:t> </w:t>
      </w:r>
      <w:r>
        <w:rPr>
          <w:rFonts w:ascii="Calibri" w:hAnsi="Calibri"/>
          <w:color w:val="231F20"/>
          <w:spacing w:val="-3"/>
          <w:w w:val="115"/>
          <w:sz w:val="13"/>
        </w:rPr>
        <w:t>cepas</w:t>
      </w:r>
      <w:r>
        <w:rPr>
          <w:rFonts w:ascii="Calibri" w:hAnsi="Calibri"/>
          <w:color w:val="231F20"/>
          <w:spacing w:val="-9"/>
          <w:w w:val="115"/>
          <w:sz w:val="13"/>
        </w:rPr>
        <w:t> </w:t>
      </w:r>
      <w:r>
        <w:rPr>
          <w:rFonts w:ascii="Calibri" w:hAnsi="Calibri"/>
          <w:color w:val="231F20"/>
          <w:spacing w:val="-3"/>
          <w:w w:val="115"/>
          <w:sz w:val="13"/>
        </w:rPr>
        <w:t>homotálicas</w:t>
      </w:r>
      <w:r>
        <w:rPr>
          <w:rFonts w:ascii="Calibri" w:hAnsi="Calibri"/>
          <w:color w:val="231F20"/>
          <w:spacing w:val="-9"/>
          <w:w w:val="115"/>
          <w:sz w:val="13"/>
        </w:rPr>
        <w:t> </w:t>
      </w:r>
      <w:r>
        <w:rPr>
          <w:rFonts w:ascii="Calibri" w:hAnsi="Calibri"/>
          <w:color w:val="231F20"/>
          <w:w w:val="115"/>
          <w:sz w:val="13"/>
        </w:rPr>
        <w:t>de</w:t>
      </w:r>
      <w:r>
        <w:rPr>
          <w:rFonts w:ascii="Calibri" w:hAnsi="Calibri"/>
          <w:color w:val="231F20"/>
          <w:spacing w:val="-9"/>
          <w:w w:val="115"/>
          <w:sz w:val="13"/>
        </w:rPr>
        <w:t> </w:t>
      </w:r>
      <w:r>
        <w:rPr>
          <w:rFonts w:ascii="Trebuchet MS" w:hAnsi="Trebuchet MS"/>
          <w:i/>
          <w:color w:val="231F20"/>
          <w:spacing w:val="-3"/>
          <w:w w:val="115"/>
          <w:sz w:val="13"/>
        </w:rPr>
        <w:t>Phytophthora</w:t>
      </w:r>
      <w:r>
        <w:rPr>
          <w:rFonts w:ascii="Trebuchet MS" w:hAnsi="Trebuchet MS"/>
          <w:i/>
          <w:color w:val="231F20"/>
          <w:spacing w:val="-19"/>
          <w:w w:val="115"/>
          <w:sz w:val="13"/>
        </w:rPr>
        <w:t> </w:t>
      </w:r>
      <w:r>
        <w:rPr>
          <w:rFonts w:ascii="Trebuchet MS" w:hAnsi="Trebuchet MS"/>
          <w:i/>
          <w:color w:val="231F20"/>
          <w:spacing w:val="-3"/>
          <w:w w:val="115"/>
          <w:sz w:val="13"/>
        </w:rPr>
        <w:t>infestans </w:t>
      </w:r>
      <w:r>
        <w:rPr>
          <w:rFonts w:ascii="Calibri" w:hAnsi="Calibri"/>
          <w:color w:val="231F20"/>
          <w:w w:val="115"/>
          <w:sz w:val="13"/>
        </w:rPr>
        <w:t>en los cultivos de papa tratados con metalaxil. Los aislamientos de </w:t>
      </w:r>
      <w:r>
        <w:rPr>
          <w:rFonts w:ascii="Trebuchet MS" w:hAnsi="Trebuchet MS"/>
          <w:i/>
          <w:color w:val="231F20"/>
          <w:w w:val="115"/>
          <w:sz w:val="13"/>
        </w:rPr>
        <w:t>Phytophthora infestans</w:t>
      </w:r>
      <w:r>
        <w:rPr>
          <w:rFonts w:ascii="Trebuchet MS" w:hAnsi="Trebuchet MS"/>
          <w:i/>
          <w:color w:val="231F20"/>
          <w:spacing w:val="-23"/>
          <w:w w:val="115"/>
          <w:sz w:val="13"/>
        </w:rPr>
        <w:t> </w:t>
      </w:r>
      <w:r>
        <w:rPr>
          <w:rFonts w:ascii="Calibri" w:hAnsi="Calibri"/>
          <w:color w:val="231F20"/>
          <w:w w:val="115"/>
          <w:sz w:val="13"/>
        </w:rPr>
        <w:t>fueron ob- tenidos</w:t>
      </w:r>
      <w:r>
        <w:rPr>
          <w:rFonts w:ascii="Calibri" w:hAnsi="Calibri"/>
          <w:color w:val="231F20"/>
          <w:spacing w:val="-9"/>
          <w:w w:val="115"/>
          <w:sz w:val="13"/>
        </w:rPr>
        <w:t> </w:t>
      </w:r>
      <w:r>
        <w:rPr>
          <w:rFonts w:ascii="Calibri" w:hAnsi="Calibri"/>
          <w:color w:val="231F20"/>
          <w:w w:val="115"/>
          <w:sz w:val="13"/>
        </w:rPr>
        <w:t>de</w:t>
      </w:r>
      <w:r>
        <w:rPr>
          <w:rFonts w:ascii="Calibri" w:hAnsi="Calibri"/>
          <w:color w:val="231F20"/>
          <w:spacing w:val="-9"/>
          <w:w w:val="115"/>
          <w:sz w:val="13"/>
        </w:rPr>
        <w:t> </w:t>
      </w:r>
      <w:r>
        <w:rPr>
          <w:rFonts w:ascii="Calibri" w:hAnsi="Calibri"/>
          <w:color w:val="231F20"/>
          <w:w w:val="115"/>
          <w:sz w:val="13"/>
        </w:rPr>
        <w:t>cultivos</w:t>
      </w:r>
      <w:r>
        <w:rPr>
          <w:rFonts w:ascii="Calibri" w:hAnsi="Calibri"/>
          <w:color w:val="231F20"/>
          <w:spacing w:val="-9"/>
          <w:w w:val="115"/>
          <w:sz w:val="13"/>
        </w:rPr>
        <w:t> </w:t>
      </w:r>
      <w:r>
        <w:rPr>
          <w:rFonts w:ascii="Calibri" w:hAnsi="Calibri"/>
          <w:color w:val="231F20"/>
          <w:w w:val="115"/>
          <w:sz w:val="13"/>
        </w:rPr>
        <w:t>comerciales</w:t>
      </w:r>
      <w:r>
        <w:rPr>
          <w:rFonts w:ascii="Calibri" w:hAnsi="Calibri"/>
          <w:color w:val="231F20"/>
          <w:spacing w:val="-9"/>
          <w:w w:val="115"/>
          <w:sz w:val="13"/>
        </w:rPr>
        <w:t> </w:t>
      </w:r>
      <w:r>
        <w:rPr>
          <w:rFonts w:ascii="Calibri" w:hAnsi="Calibri"/>
          <w:color w:val="231F20"/>
          <w:w w:val="115"/>
          <w:sz w:val="13"/>
        </w:rPr>
        <w:t>de</w:t>
      </w:r>
      <w:r>
        <w:rPr>
          <w:rFonts w:ascii="Calibri" w:hAnsi="Calibri"/>
          <w:color w:val="231F20"/>
          <w:spacing w:val="-9"/>
          <w:w w:val="115"/>
          <w:sz w:val="13"/>
        </w:rPr>
        <w:t> </w:t>
      </w:r>
      <w:r>
        <w:rPr>
          <w:rFonts w:ascii="Calibri" w:hAnsi="Calibri"/>
          <w:color w:val="231F20"/>
          <w:w w:val="115"/>
          <w:sz w:val="13"/>
        </w:rPr>
        <w:t>papa</w:t>
      </w:r>
      <w:r>
        <w:rPr>
          <w:rFonts w:ascii="Calibri" w:hAnsi="Calibri"/>
          <w:color w:val="231F20"/>
          <w:spacing w:val="-9"/>
          <w:w w:val="115"/>
          <w:sz w:val="13"/>
        </w:rPr>
        <w:t> </w:t>
      </w:r>
      <w:r>
        <w:rPr>
          <w:rFonts w:ascii="Calibri" w:hAnsi="Calibri"/>
          <w:color w:val="231F20"/>
          <w:w w:val="115"/>
          <w:sz w:val="13"/>
        </w:rPr>
        <w:t>del</w:t>
      </w:r>
      <w:r>
        <w:rPr>
          <w:rFonts w:ascii="Calibri" w:hAnsi="Calibri"/>
          <w:color w:val="231F20"/>
          <w:spacing w:val="-9"/>
          <w:w w:val="115"/>
          <w:sz w:val="13"/>
        </w:rPr>
        <w:t> </w:t>
      </w:r>
      <w:r>
        <w:rPr>
          <w:rFonts w:ascii="Calibri" w:hAnsi="Calibri"/>
          <w:color w:val="231F20"/>
          <w:w w:val="115"/>
          <w:sz w:val="13"/>
        </w:rPr>
        <w:t>municipio</w:t>
      </w:r>
      <w:r>
        <w:rPr>
          <w:rFonts w:ascii="Calibri" w:hAnsi="Calibri"/>
          <w:color w:val="231F20"/>
          <w:spacing w:val="-9"/>
          <w:w w:val="115"/>
          <w:sz w:val="13"/>
        </w:rPr>
        <w:t> </w:t>
      </w:r>
      <w:r>
        <w:rPr>
          <w:rFonts w:ascii="Calibri" w:hAnsi="Calibri"/>
          <w:color w:val="231F20"/>
          <w:w w:val="115"/>
          <w:sz w:val="13"/>
        </w:rPr>
        <w:t>de</w:t>
      </w:r>
      <w:r>
        <w:rPr>
          <w:rFonts w:ascii="Calibri" w:hAnsi="Calibri"/>
          <w:color w:val="231F20"/>
          <w:spacing w:val="-9"/>
          <w:w w:val="115"/>
          <w:sz w:val="13"/>
        </w:rPr>
        <w:t> </w:t>
      </w:r>
      <w:r>
        <w:rPr>
          <w:rFonts w:ascii="Calibri" w:hAnsi="Calibri"/>
          <w:color w:val="231F20"/>
          <w:w w:val="115"/>
          <w:sz w:val="13"/>
        </w:rPr>
        <w:t>Zinacantepec,</w:t>
      </w:r>
      <w:r>
        <w:rPr>
          <w:rFonts w:ascii="Calibri" w:hAnsi="Calibri"/>
          <w:color w:val="231F20"/>
          <w:spacing w:val="-9"/>
          <w:w w:val="115"/>
          <w:sz w:val="13"/>
        </w:rPr>
        <w:t> </w:t>
      </w:r>
      <w:r>
        <w:rPr>
          <w:rFonts w:ascii="Calibri" w:hAnsi="Calibri"/>
          <w:color w:val="231F20"/>
          <w:w w:val="115"/>
          <w:sz w:val="13"/>
        </w:rPr>
        <w:t>Estado</w:t>
      </w:r>
      <w:r>
        <w:rPr>
          <w:rFonts w:ascii="Calibri" w:hAnsi="Calibri"/>
          <w:color w:val="231F20"/>
          <w:spacing w:val="-9"/>
          <w:w w:val="115"/>
          <w:sz w:val="13"/>
        </w:rPr>
        <w:t> </w:t>
      </w:r>
      <w:r>
        <w:rPr>
          <w:rFonts w:ascii="Calibri" w:hAnsi="Calibri"/>
          <w:color w:val="231F20"/>
          <w:w w:val="115"/>
          <w:sz w:val="13"/>
        </w:rPr>
        <w:t>de</w:t>
      </w:r>
      <w:r>
        <w:rPr>
          <w:rFonts w:ascii="Calibri" w:hAnsi="Calibri"/>
          <w:color w:val="231F20"/>
          <w:spacing w:val="-9"/>
          <w:w w:val="115"/>
          <w:sz w:val="13"/>
        </w:rPr>
        <w:t> </w:t>
      </w:r>
      <w:r>
        <w:rPr>
          <w:rFonts w:ascii="Calibri" w:hAnsi="Calibri"/>
          <w:color w:val="231F20"/>
          <w:w w:val="115"/>
          <w:sz w:val="13"/>
        </w:rPr>
        <w:t>México</w:t>
      </w:r>
      <w:r>
        <w:rPr>
          <w:rFonts w:ascii="Calibri" w:hAnsi="Calibri"/>
          <w:color w:val="231F20"/>
          <w:spacing w:val="-9"/>
          <w:w w:val="115"/>
          <w:sz w:val="13"/>
        </w:rPr>
        <w:t> </w:t>
      </w:r>
      <w:r>
        <w:rPr>
          <w:rFonts w:ascii="Calibri" w:hAnsi="Calibri"/>
          <w:color w:val="231F20"/>
          <w:w w:val="115"/>
          <w:sz w:val="13"/>
        </w:rPr>
        <w:t>(México).</w:t>
      </w:r>
      <w:r>
        <w:rPr>
          <w:rFonts w:ascii="Calibri" w:hAnsi="Calibri"/>
          <w:color w:val="231F20"/>
          <w:spacing w:val="-9"/>
          <w:w w:val="115"/>
          <w:sz w:val="13"/>
        </w:rPr>
        <w:t> </w:t>
      </w:r>
      <w:r>
        <w:rPr>
          <w:rFonts w:ascii="Calibri" w:hAnsi="Calibri"/>
          <w:color w:val="231F20"/>
          <w:w w:val="115"/>
          <w:sz w:val="13"/>
        </w:rPr>
        <w:t>Cada aislamiento a estudiar se enfrentó a los aislados de referencia J104 (A1) y J204 (A2) y se cultivó solo en el mismo medio para comprobar su homotalismo. La valoración de la resistencia de los aislados estu- diados se determinó bajo la metodología planteada por el FRAC (Fungicide Resistance Action Com- mittee), donde los aislamientos que mostraron más de 40% de crecimiento relativo al testigo en pre- sencia de 5.0 μg/ml (ingrediente activo) de metalaxil fueron considerados como resistentes a la materia activa. Se encontró que de los 5 aislamientos del año 2011, dos aislamientos fueron homotálicos, y de los</w:t>
      </w:r>
      <w:r>
        <w:rPr>
          <w:rFonts w:ascii="Calibri" w:hAnsi="Calibri"/>
          <w:color w:val="231F20"/>
          <w:spacing w:val="-13"/>
          <w:w w:val="115"/>
          <w:sz w:val="13"/>
        </w:rPr>
        <w:t> </w:t>
      </w:r>
      <w:r>
        <w:rPr>
          <w:rFonts w:ascii="Calibri" w:hAnsi="Calibri"/>
          <w:color w:val="231F20"/>
          <w:w w:val="115"/>
          <w:sz w:val="13"/>
        </w:rPr>
        <w:t>15</w:t>
      </w:r>
      <w:r>
        <w:rPr>
          <w:rFonts w:ascii="Calibri" w:hAnsi="Calibri"/>
          <w:color w:val="231F20"/>
          <w:spacing w:val="-13"/>
          <w:w w:val="115"/>
          <w:sz w:val="13"/>
        </w:rPr>
        <w:t> </w:t>
      </w:r>
      <w:r>
        <w:rPr>
          <w:rFonts w:ascii="Calibri" w:hAnsi="Calibri"/>
          <w:color w:val="231F20"/>
          <w:w w:val="115"/>
          <w:sz w:val="13"/>
        </w:rPr>
        <w:t>aislados</w:t>
      </w:r>
      <w:r>
        <w:rPr>
          <w:rFonts w:ascii="Calibri" w:hAnsi="Calibri"/>
          <w:color w:val="231F20"/>
          <w:spacing w:val="-13"/>
          <w:w w:val="115"/>
          <w:sz w:val="13"/>
        </w:rPr>
        <w:t> </w:t>
      </w:r>
      <w:r>
        <w:rPr>
          <w:rFonts w:ascii="Calibri" w:hAnsi="Calibri"/>
          <w:color w:val="231F20"/>
          <w:w w:val="115"/>
          <w:sz w:val="13"/>
        </w:rPr>
        <w:t>de</w:t>
      </w:r>
      <w:r>
        <w:rPr>
          <w:rFonts w:ascii="Calibri" w:hAnsi="Calibri"/>
          <w:color w:val="231F20"/>
          <w:spacing w:val="-13"/>
          <w:w w:val="115"/>
          <w:sz w:val="13"/>
        </w:rPr>
        <w:t> </w:t>
      </w:r>
      <w:r>
        <w:rPr>
          <w:rFonts w:ascii="Calibri" w:hAnsi="Calibri"/>
          <w:color w:val="231F20"/>
          <w:w w:val="115"/>
          <w:sz w:val="13"/>
        </w:rPr>
        <w:t>2012</w:t>
      </w:r>
      <w:r>
        <w:rPr>
          <w:rFonts w:ascii="Calibri" w:hAnsi="Calibri"/>
          <w:color w:val="231F20"/>
          <w:spacing w:val="-13"/>
          <w:w w:val="115"/>
          <w:sz w:val="13"/>
        </w:rPr>
        <w:t> </w:t>
      </w:r>
      <w:r>
        <w:rPr>
          <w:rFonts w:ascii="Calibri" w:hAnsi="Calibri"/>
          <w:color w:val="231F20"/>
          <w:w w:val="115"/>
          <w:sz w:val="13"/>
        </w:rPr>
        <w:t>se</w:t>
      </w:r>
      <w:r>
        <w:rPr>
          <w:rFonts w:ascii="Calibri" w:hAnsi="Calibri"/>
          <w:color w:val="231F20"/>
          <w:spacing w:val="-13"/>
          <w:w w:val="115"/>
          <w:sz w:val="13"/>
        </w:rPr>
        <w:t> </w:t>
      </w:r>
      <w:r>
        <w:rPr>
          <w:rFonts w:ascii="Calibri" w:hAnsi="Calibri"/>
          <w:color w:val="231F20"/>
          <w:w w:val="115"/>
          <w:sz w:val="13"/>
        </w:rPr>
        <w:t>encontraron</w:t>
      </w:r>
      <w:r>
        <w:rPr>
          <w:rFonts w:ascii="Calibri" w:hAnsi="Calibri"/>
          <w:color w:val="231F20"/>
          <w:spacing w:val="-13"/>
          <w:w w:val="115"/>
          <w:sz w:val="13"/>
        </w:rPr>
        <w:t> </w:t>
      </w:r>
      <w:r>
        <w:rPr>
          <w:rFonts w:ascii="Calibri" w:hAnsi="Calibri"/>
          <w:color w:val="231F20"/>
          <w:w w:val="115"/>
          <w:sz w:val="13"/>
        </w:rPr>
        <w:t>cuatro</w:t>
      </w:r>
      <w:r>
        <w:rPr>
          <w:rFonts w:ascii="Calibri" w:hAnsi="Calibri"/>
          <w:color w:val="231F20"/>
          <w:spacing w:val="-13"/>
          <w:w w:val="115"/>
          <w:sz w:val="13"/>
        </w:rPr>
        <w:t> </w:t>
      </w:r>
      <w:r>
        <w:rPr>
          <w:rFonts w:ascii="Calibri" w:hAnsi="Calibri"/>
          <w:color w:val="231F20"/>
          <w:w w:val="115"/>
          <w:sz w:val="13"/>
        </w:rPr>
        <w:t>homotálicos.</w:t>
      </w:r>
      <w:r>
        <w:rPr>
          <w:rFonts w:ascii="Calibri" w:hAnsi="Calibri"/>
          <w:color w:val="231F20"/>
          <w:spacing w:val="-13"/>
          <w:w w:val="115"/>
          <w:sz w:val="13"/>
        </w:rPr>
        <w:t> </w:t>
      </w:r>
      <w:r>
        <w:rPr>
          <w:rFonts w:ascii="Calibri" w:hAnsi="Calibri"/>
          <w:color w:val="231F20"/>
          <w:w w:val="115"/>
          <w:sz w:val="13"/>
        </w:rPr>
        <w:t>Dichos</w:t>
      </w:r>
      <w:r>
        <w:rPr>
          <w:rFonts w:ascii="Calibri" w:hAnsi="Calibri"/>
          <w:color w:val="231F20"/>
          <w:spacing w:val="-13"/>
          <w:w w:val="115"/>
          <w:sz w:val="13"/>
        </w:rPr>
        <w:t> </w:t>
      </w:r>
      <w:r>
        <w:rPr>
          <w:rFonts w:ascii="Calibri" w:hAnsi="Calibri"/>
          <w:color w:val="231F20"/>
          <w:w w:val="115"/>
          <w:sz w:val="13"/>
        </w:rPr>
        <w:t>aislamientos</w:t>
      </w:r>
      <w:r>
        <w:rPr>
          <w:rFonts w:ascii="Calibri" w:hAnsi="Calibri"/>
          <w:color w:val="231F20"/>
          <w:spacing w:val="-13"/>
          <w:w w:val="115"/>
          <w:sz w:val="13"/>
        </w:rPr>
        <w:t> </w:t>
      </w:r>
      <w:r>
        <w:rPr>
          <w:rFonts w:ascii="Calibri" w:hAnsi="Calibri"/>
          <w:color w:val="231F20"/>
          <w:w w:val="115"/>
          <w:sz w:val="13"/>
        </w:rPr>
        <w:t>homotálicos,</w:t>
      </w:r>
      <w:r>
        <w:rPr>
          <w:rFonts w:ascii="Calibri" w:hAnsi="Calibri"/>
          <w:color w:val="231F20"/>
          <w:spacing w:val="-13"/>
          <w:w w:val="115"/>
          <w:sz w:val="13"/>
        </w:rPr>
        <w:t> </w:t>
      </w:r>
      <w:r>
        <w:rPr>
          <w:rFonts w:ascii="Calibri" w:hAnsi="Calibri"/>
          <w:color w:val="231F20"/>
          <w:w w:val="115"/>
          <w:sz w:val="13"/>
        </w:rPr>
        <w:t>fueron</w:t>
      </w:r>
      <w:r>
        <w:rPr>
          <w:rFonts w:ascii="Calibri" w:hAnsi="Calibri"/>
          <w:color w:val="231F20"/>
          <w:spacing w:val="-13"/>
          <w:w w:val="115"/>
          <w:sz w:val="13"/>
        </w:rPr>
        <w:t> </w:t>
      </w:r>
      <w:r>
        <w:rPr>
          <w:rFonts w:ascii="Calibri" w:hAnsi="Calibri"/>
          <w:color w:val="231F20"/>
          <w:w w:val="115"/>
          <w:sz w:val="13"/>
        </w:rPr>
        <w:t>siem- pre resistentes al metalaxil. Los aislados estudiados procedían de cultivos de papa que fueron tratados con metalaxil. Los resultados obtenidos respecto al homotalísmo sugieren una posible relación con el uso del metalaxil, aunque podrá no ser la única causa, dado que aislamientos heterotálicos de la misma procedencia también son resistentes al </w:t>
      </w:r>
      <w:r>
        <w:rPr>
          <w:rFonts w:ascii="Calibri" w:hAnsi="Calibri"/>
          <w:color w:val="231F20"/>
          <w:spacing w:val="21"/>
          <w:w w:val="115"/>
          <w:sz w:val="13"/>
        </w:rPr>
        <w:t> </w:t>
      </w:r>
      <w:r>
        <w:rPr>
          <w:rFonts w:ascii="Calibri" w:hAnsi="Calibri"/>
          <w:color w:val="231F20"/>
          <w:w w:val="115"/>
          <w:sz w:val="13"/>
        </w:rPr>
        <w:t>fitosanitario.</w:t>
      </w:r>
    </w:p>
    <w:p>
      <w:pPr>
        <w:pStyle w:val="BodyText"/>
        <w:spacing w:before="4"/>
        <w:rPr>
          <w:rFonts w:ascii="Calibri"/>
          <w:sz w:val="10"/>
        </w:rPr>
      </w:pPr>
    </w:p>
    <w:p>
      <w:pPr>
        <w:spacing w:before="0"/>
        <w:ind w:left="1503" w:right="0" w:firstLine="0"/>
        <w:jc w:val="left"/>
        <w:rPr>
          <w:rFonts w:ascii="Calibri"/>
          <w:sz w:val="13"/>
        </w:rPr>
      </w:pPr>
      <w:r>
        <w:rPr>
          <w:b/>
          <w:color w:val="231F20"/>
          <w:w w:val="110"/>
          <w:sz w:val="13"/>
        </w:rPr>
        <w:t>Palabras clave: </w:t>
      </w:r>
      <w:r>
        <w:rPr>
          <w:rFonts w:ascii="Calibri"/>
          <w:color w:val="231F20"/>
          <w:w w:val="110"/>
          <w:sz w:val="13"/>
        </w:rPr>
        <w:t>Resistencia a fungicidas, oosporas, mildiu.</w:t>
      </w:r>
    </w:p>
    <w:p>
      <w:pPr>
        <w:pStyle w:val="BodyText"/>
        <w:spacing w:before="10"/>
        <w:rPr>
          <w:rFonts w:ascii="Calibri"/>
          <w:sz w:val="10"/>
        </w:rPr>
      </w:pPr>
    </w:p>
    <w:p>
      <w:pPr>
        <w:spacing w:before="0"/>
        <w:ind w:left="1503" w:right="0" w:firstLine="0"/>
        <w:jc w:val="left"/>
        <w:rPr>
          <w:b/>
          <w:sz w:val="13"/>
        </w:rPr>
      </w:pPr>
      <w:r>
        <w:rPr>
          <w:b/>
          <w:color w:val="231F20"/>
          <w:sz w:val="13"/>
        </w:rPr>
        <w:t>Abstract</w:t>
      </w:r>
    </w:p>
    <w:p>
      <w:pPr>
        <w:spacing w:before="13"/>
        <w:ind w:left="1503" w:right="0" w:firstLine="0"/>
        <w:jc w:val="left"/>
        <w:rPr>
          <w:rFonts w:ascii="Trebuchet MS"/>
          <w:b/>
          <w:i/>
          <w:sz w:val="13"/>
        </w:rPr>
      </w:pPr>
      <w:r>
        <w:rPr>
          <w:b/>
          <w:color w:val="231F20"/>
          <w:sz w:val="13"/>
        </w:rPr>
        <w:t>Ocurrence of homothallic isolates of </w:t>
      </w:r>
      <w:r>
        <w:rPr>
          <w:rFonts w:ascii="Trebuchet MS"/>
          <w:b/>
          <w:i/>
          <w:color w:val="231F20"/>
          <w:sz w:val="13"/>
        </w:rPr>
        <w:t>Phytophthora infestans within potato crops </w:t>
      </w:r>
      <w:r>
        <w:rPr>
          <w:b/>
          <w:color w:val="231F20"/>
          <w:sz w:val="13"/>
        </w:rPr>
        <w:t>(</w:t>
      </w:r>
      <w:r>
        <w:rPr>
          <w:rFonts w:ascii="Trebuchet MS"/>
          <w:b/>
          <w:i/>
          <w:color w:val="231F20"/>
          <w:sz w:val="13"/>
        </w:rPr>
        <w:t>Solanum tuberosum</w:t>
      </w:r>
    </w:p>
    <w:p>
      <w:pPr>
        <w:spacing w:before="12"/>
        <w:ind w:left="1503" w:right="0" w:firstLine="0"/>
        <w:jc w:val="left"/>
        <w:rPr>
          <w:b/>
          <w:sz w:val="13"/>
        </w:rPr>
      </w:pPr>
      <w:r>
        <w:rPr>
          <w:b/>
          <w:color w:val="231F20"/>
          <w:w w:val="105"/>
          <w:sz w:val="13"/>
        </w:rPr>
        <w:t>L.) treated with metalaxil in the Toluca Valley, Mexico</w:t>
      </w:r>
    </w:p>
    <w:p>
      <w:pPr>
        <w:spacing w:line="247" w:lineRule="auto" w:before="96"/>
        <w:ind w:left="1503" w:right="1511" w:firstLine="0"/>
        <w:jc w:val="left"/>
        <w:rPr>
          <w:rFonts w:ascii="Calibri"/>
          <w:sz w:val="13"/>
        </w:rPr>
      </w:pPr>
      <w:r>
        <w:rPr>
          <w:rFonts w:ascii="Calibri"/>
          <w:color w:val="231F20"/>
          <w:w w:val="115"/>
          <w:sz w:val="13"/>
        </w:rPr>
        <w:t>This</w:t>
      </w:r>
      <w:r>
        <w:rPr>
          <w:rFonts w:ascii="Calibri"/>
          <w:color w:val="231F20"/>
          <w:spacing w:val="-12"/>
          <w:w w:val="115"/>
          <w:sz w:val="13"/>
        </w:rPr>
        <w:t> </w:t>
      </w:r>
      <w:r>
        <w:rPr>
          <w:rFonts w:ascii="Calibri"/>
          <w:color w:val="231F20"/>
          <w:w w:val="115"/>
          <w:sz w:val="13"/>
        </w:rPr>
        <w:t>paper</w:t>
      </w:r>
      <w:r>
        <w:rPr>
          <w:rFonts w:ascii="Calibri"/>
          <w:color w:val="231F20"/>
          <w:spacing w:val="-12"/>
          <w:w w:val="115"/>
          <w:sz w:val="13"/>
        </w:rPr>
        <w:t> </w:t>
      </w:r>
      <w:r>
        <w:rPr>
          <w:rFonts w:ascii="Calibri"/>
          <w:color w:val="231F20"/>
          <w:w w:val="115"/>
          <w:sz w:val="13"/>
        </w:rPr>
        <w:t>presents</w:t>
      </w:r>
      <w:r>
        <w:rPr>
          <w:rFonts w:ascii="Calibri"/>
          <w:color w:val="231F20"/>
          <w:spacing w:val="-12"/>
          <w:w w:val="115"/>
          <w:sz w:val="13"/>
        </w:rPr>
        <w:t> </w:t>
      </w:r>
      <w:r>
        <w:rPr>
          <w:rFonts w:ascii="Calibri"/>
          <w:color w:val="231F20"/>
          <w:w w:val="115"/>
          <w:sz w:val="13"/>
        </w:rPr>
        <w:t>the</w:t>
      </w:r>
      <w:r>
        <w:rPr>
          <w:rFonts w:ascii="Calibri"/>
          <w:color w:val="231F20"/>
          <w:spacing w:val="-12"/>
          <w:w w:val="115"/>
          <w:sz w:val="13"/>
        </w:rPr>
        <w:t> </w:t>
      </w:r>
      <w:r>
        <w:rPr>
          <w:rFonts w:ascii="Calibri"/>
          <w:color w:val="231F20"/>
          <w:w w:val="115"/>
          <w:sz w:val="13"/>
        </w:rPr>
        <w:t>ocurrence</w:t>
      </w:r>
      <w:r>
        <w:rPr>
          <w:rFonts w:ascii="Calibri"/>
          <w:color w:val="231F20"/>
          <w:spacing w:val="-12"/>
          <w:w w:val="115"/>
          <w:sz w:val="13"/>
        </w:rPr>
        <w:t> </w:t>
      </w:r>
      <w:r>
        <w:rPr>
          <w:rFonts w:ascii="Calibri"/>
          <w:color w:val="231F20"/>
          <w:w w:val="115"/>
          <w:sz w:val="13"/>
        </w:rPr>
        <w:t>of</w:t>
      </w:r>
      <w:r>
        <w:rPr>
          <w:rFonts w:ascii="Calibri"/>
          <w:color w:val="231F20"/>
          <w:spacing w:val="-12"/>
          <w:w w:val="115"/>
          <w:sz w:val="13"/>
        </w:rPr>
        <w:t> </w:t>
      </w:r>
      <w:r>
        <w:rPr>
          <w:rFonts w:ascii="Calibri"/>
          <w:color w:val="231F20"/>
          <w:w w:val="115"/>
          <w:sz w:val="13"/>
        </w:rPr>
        <w:t>homothallic</w:t>
      </w:r>
      <w:r>
        <w:rPr>
          <w:rFonts w:ascii="Calibri"/>
          <w:color w:val="231F20"/>
          <w:spacing w:val="-12"/>
          <w:w w:val="115"/>
          <w:sz w:val="13"/>
        </w:rPr>
        <w:t> </w:t>
      </w:r>
      <w:r>
        <w:rPr>
          <w:rFonts w:ascii="Calibri"/>
          <w:color w:val="231F20"/>
          <w:w w:val="115"/>
          <w:sz w:val="13"/>
        </w:rPr>
        <w:t>isolates</w:t>
      </w:r>
      <w:r>
        <w:rPr>
          <w:rFonts w:ascii="Calibri"/>
          <w:color w:val="231F20"/>
          <w:spacing w:val="-12"/>
          <w:w w:val="115"/>
          <w:sz w:val="13"/>
        </w:rPr>
        <w:t> </w:t>
      </w:r>
      <w:r>
        <w:rPr>
          <w:rFonts w:ascii="Calibri"/>
          <w:color w:val="231F20"/>
          <w:w w:val="115"/>
          <w:sz w:val="13"/>
        </w:rPr>
        <w:t>of</w:t>
      </w:r>
      <w:r>
        <w:rPr>
          <w:rFonts w:ascii="Calibri"/>
          <w:color w:val="231F20"/>
          <w:spacing w:val="-13"/>
          <w:w w:val="115"/>
          <w:sz w:val="13"/>
        </w:rPr>
        <w:t> </w:t>
      </w:r>
      <w:r>
        <w:rPr>
          <w:rFonts w:ascii="Trebuchet MS"/>
          <w:i/>
          <w:color w:val="231F20"/>
          <w:w w:val="115"/>
          <w:sz w:val="13"/>
        </w:rPr>
        <w:t>Phytophthora</w:t>
      </w:r>
      <w:r>
        <w:rPr>
          <w:rFonts w:ascii="Trebuchet MS"/>
          <w:i/>
          <w:color w:val="231F20"/>
          <w:spacing w:val="-23"/>
          <w:w w:val="115"/>
          <w:sz w:val="13"/>
        </w:rPr>
        <w:t> </w:t>
      </w:r>
      <w:r>
        <w:rPr>
          <w:rFonts w:ascii="Trebuchet MS"/>
          <w:i/>
          <w:color w:val="231F20"/>
          <w:w w:val="115"/>
          <w:sz w:val="13"/>
        </w:rPr>
        <w:t>infestans</w:t>
      </w:r>
      <w:r>
        <w:rPr>
          <w:rFonts w:ascii="Trebuchet MS"/>
          <w:i/>
          <w:color w:val="231F20"/>
          <w:spacing w:val="-23"/>
          <w:w w:val="115"/>
          <w:sz w:val="13"/>
        </w:rPr>
        <w:t> </w:t>
      </w:r>
      <w:r>
        <w:rPr>
          <w:rFonts w:ascii="Calibri"/>
          <w:color w:val="231F20"/>
          <w:w w:val="115"/>
          <w:sz w:val="13"/>
        </w:rPr>
        <w:t>within</w:t>
      </w:r>
      <w:r>
        <w:rPr>
          <w:rFonts w:ascii="Calibri"/>
          <w:color w:val="231F20"/>
          <w:spacing w:val="-12"/>
          <w:w w:val="115"/>
          <w:sz w:val="13"/>
        </w:rPr>
        <w:t> </w:t>
      </w:r>
      <w:r>
        <w:rPr>
          <w:rFonts w:ascii="Calibri"/>
          <w:color w:val="231F20"/>
          <w:w w:val="115"/>
          <w:sz w:val="13"/>
        </w:rPr>
        <w:t>potato</w:t>
      </w:r>
      <w:r>
        <w:rPr>
          <w:rFonts w:ascii="Calibri"/>
          <w:color w:val="231F20"/>
          <w:spacing w:val="-12"/>
          <w:w w:val="115"/>
          <w:sz w:val="13"/>
        </w:rPr>
        <w:t> </w:t>
      </w:r>
      <w:r>
        <w:rPr>
          <w:rFonts w:ascii="Calibri"/>
          <w:color w:val="231F20"/>
          <w:w w:val="115"/>
          <w:sz w:val="13"/>
        </w:rPr>
        <w:t>crops treated with metalaxyl. Isolates of </w:t>
      </w:r>
      <w:r>
        <w:rPr>
          <w:rFonts w:ascii="Trebuchet MS"/>
          <w:i/>
          <w:color w:val="231F20"/>
          <w:spacing w:val="-9"/>
          <w:w w:val="115"/>
          <w:sz w:val="13"/>
        </w:rPr>
        <w:t>P. </w:t>
      </w:r>
      <w:r>
        <w:rPr>
          <w:rFonts w:ascii="Trebuchet MS"/>
          <w:i/>
          <w:color w:val="231F20"/>
          <w:w w:val="115"/>
          <w:sz w:val="13"/>
        </w:rPr>
        <w:t>infestans </w:t>
      </w:r>
      <w:r>
        <w:rPr>
          <w:rFonts w:ascii="Calibri"/>
          <w:color w:val="231F20"/>
          <w:w w:val="115"/>
          <w:sz w:val="13"/>
        </w:rPr>
        <w:t>were obtained from potato crops within the</w:t>
      </w:r>
      <w:r>
        <w:rPr>
          <w:rFonts w:ascii="Calibri"/>
          <w:color w:val="231F20"/>
          <w:spacing w:val="2"/>
          <w:w w:val="115"/>
          <w:sz w:val="13"/>
        </w:rPr>
        <w:t> </w:t>
      </w:r>
      <w:r>
        <w:rPr>
          <w:rFonts w:ascii="Calibri"/>
          <w:color w:val="231F20"/>
          <w:w w:val="115"/>
          <w:sz w:val="13"/>
        </w:rPr>
        <w:t>municipal-</w:t>
      </w:r>
    </w:p>
    <w:p>
      <w:pPr>
        <w:pStyle w:val="BodyText"/>
        <w:spacing w:before="7"/>
        <w:rPr>
          <w:rFonts w:ascii="Calibri"/>
          <w:sz w:val="18"/>
        </w:rPr>
      </w:pPr>
      <w:r>
        <w:rPr/>
        <w:pict>
          <v:line style="position:absolute;mso-position-horizontal-relative:page;mso-position-vertical-relative:paragraph;z-index:2632;mso-wrap-distance-left:0;mso-wrap-distance-right:0" from="148.918304pt,13.516894pt" to="189.517868pt,13.516894pt" stroked="true" strokeweight=".371215pt" strokecolor="#231f20">
            <w10:wrap type="topAndBottom"/>
          </v:line>
        </w:pict>
      </w:r>
    </w:p>
    <w:p>
      <w:pPr>
        <w:spacing w:line="312" w:lineRule="auto" w:before="67"/>
        <w:ind w:left="1518" w:right="3646" w:firstLine="0"/>
        <w:jc w:val="left"/>
        <w:rPr>
          <w:rFonts w:ascii="Calibri"/>
          <w:sz w:val="12"/>
        </w:rPr>
      </w:pPr>
      <w:r>
        <w:rPr>
          <w:rFonts w:ascii="Calibri"/>
          <w:color w:val="231F20"/>
          <w:w w:val="110"/>
          <w:sz w:val="12"/>
        </w:rPr>
        <w:t>1. Autor para correspondencia: </w:t>
      </w:r>
      <w:hyperlink r:id="rId52">
        <w:r>
          <w:rPr>
            <w:rFonts w:ascii="Calibri"/>
            <w:color w:val="231F20"/>
            <w:w w:val="110"/>
            <w:sz w:val="12"/>
          </w:rPr>
          <w:t>daniel.palmero@upm.es</w:t>
        </w:r>
      </w:hyperlink>
      <w:r>
        <w:rPr>
          <w:rFonts w:ascii="Calibri"/>
          <w:color w:val="231F20"/>
          <w:w w:val="110"/>
          <w:sz w:val="12"/>
        </w:rPr>
        <w:t> </w:t>
      </w:r>
      <w:hyperlink r:id="rId53">
        <w:r>
          <w:rPr>
            <w:rFonts w:ascii="Calibri"/>
            <w:color w:val="231F20"/>
            <w:w w:val="110"/>
            <w:sz w:val="12"/>
          </w:rPr>
          <w:t>http://dx.doi.org/10.12706/itea.2013.024</w:t>
        </w:r>
      </w:hyperlink>
    </w:p>
    <w:p>
      <w:pPr>
        <w:spacing w:after="0" w:line="312" w:lineRule="auto"/>
        <w:jc w:val="left"/>
        <w:rPr>
          <w:rFonts w:ascii="Calibri"/>
          <w:sz w:val="12"/>
        </w:rPr>
        <w:sectPr>
          <w:pgSz w:w="12240" w:h="15840"/>
          <w:pgMar w:header="719" w:footer="740" w:top="1260" w:bottom="920" w:left="1460" w:right="144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5"/>
        <w:rPr>
          <w:rFonts w:ascii="Calibri"/>
          <w:sz w:val="19"/>
        </w:rPr>
      </w:pPr>
    </w:p>
    <w:p>
      <w:pPr>
        <w:tabs>
          <w:tab w:pos="7816" w:val="right" w:leader="none"/>
        </w:tabs>
        <w:spacing w:before="82"/>
        <w:ind w:left="1503" w:right="0" w:firstLine="0"/>
        <w:jc w:val="left"/>
        <w:rPr>
          <w:rFonts w:ascii="Calibri" w:hAnsi="Calibri"/>
          <w:sz w:val="13"/>
        </w:rPr>
      </w:pPr>
      <w:r>
        <w:rPr>
          <w:rFonts w:ascii="Trebuchet MS" w:hAnsi="Trebuchet MS"/>
          <w:i/>
          <w:color w:val="231F20"/>
          <w:w w:val="105"/>
          <w:sz w:val="13"/>
        </w:rPr>
        <w:t>López-Orona</w:t>
      </w:r>
      <w:r>
        <w:rPr>
          <w:rFonts w:ascii="Trebuchet MS" w:hAnsi="Trebuchet MS"/>
          <w:i/>
          <w:color w:val="231F20"/>
          <w:spacing w:val="-6"/>
          <w:w w:val="105"/>
          <w:sz w:val="13"/>
        </w:rPr>
        <w:t> </w:t>
      </w:r>
      <w:r>
        <w:rPr>
          <w:rFonts w:ascii="Trebuchet MS" w:hAnsi="Trebuchet MS"/>
          <w:i/>
          <w:color w:val="231F20"/>
          <w:w w:val="105"/>
          <w:sz w:val="13"/>
        </w:rPr>
        <w:t>et</w:t>
      </w:r>
      <w:r>
        <w:rPr>
          <w:rFonts w:ascii="Trebuchet MS" w:hAnsi="Trebuchet MS"/>
          <w:i/>
          <w:color w:val="231F20"/>
          <w:spacing w:val="-6"/>
          <w:w w:val="105"/>
          <w:sz w:val="13"/>
        </w:rPr>
        <w:t> </w:t>
      </w:r>
      <w:r>
        <w:rPr>
          <w:rFonts w:ascii="Trebuchet MS" w:hAnsi="Trebuchet MS"/>
          <w:i/>
          <w:color w:val="231F20"/>
          <w:w w:val="105"/>
          <w:sz w:val="13"/>
        </w:rPr>
        <w:t>al.</w:t>
      </w:r>
      <w:r>
        <w:rPr>
          <w:rFonts w:ascii="Trebuchet MS" w:hAnsi="Trebuchet MS"/>
          <w:i/>
          <w:color w:val="231F20"/>
          <w:spacing w:val="-6"/>
          <w:w w:val="105"/>
          <w:sz w:val="13"/>
        </w:rPr>
        <w:t> </w:t>
      </w:r>
      <w:r>
        <w:rPr>
          <w:rFonts w:ascii="Trebuchet MS" w:hAnsi="Trebuchet MS"/>
          <w:i/>
          <w:color w:val="231F20"/>
          <w:w w:val="105"/>
          <w:sz w:val="13"/>
        </w:rPr>
        <w:t>ITEA</w:t>
      </w:r>
      <w:r>
        <w:rPr>
          <w:rFonts w:ascii="Trebuchet MS" w:hAnsi="Trebuchet MS"/>
          <w:i/>
          <w:color w:val="231F20"/>
          <w:spacing w:val="-10"/>
          <w:w w:val="105"/>
          <w:sz w:val="13"/>
        </w:rPr>
        <w:t> </w:t>
      </w:r>
      <w:r>
        <w:rPr>
          <w:rFonts w:ascii="Trebuchet MS" w:hAnsi="Trebuchet MS"/>
          <w:i/>
          <w:color w:val="231F20"/>
          <w:w w:val="105"/>
          <w:sz w:val="12"/>
        </w:rPr>
        <w:t>(2013),</w:t>
      </w:r>
      <w:r>
        <w:rPr>
          <w:rFonts w:ascii="Trebuchet MS" w:hAnsi="Trebuchet MS"/>
          <w:i/>
          <w:color w:val="231F20"/>
          <w:spacing w:val="-6"/>
          <w:w w:val="105"/>
          <w:sz w:val="12"/>
        </w:rPr>
        <w:t> </w:t>
      </w:r>
      <w:r>
        <w:rPr>
          <w:rFonts w:ascii="Trebuchet MS" w:hAnsi="Trebuchet MS"/>
          <w:i/>
          <w:color w:val="231F20"/>
          <w:w w:val="105"/>
          <w:sz w:val="12"/>
        </w:rPr>
        <w:t>109</w:t>
      </w:r>
      <w:r>
        <w:rPr>
          <w:rFonts w:ascii="Trebuchet MS" w:hAnsi="Trebuchet MS"/>
          <w:i/>
          <w:color w:val="231F20"/>
          <w:spacing w:val="-6"/>
          <w:w w:val="105"/>
          <w:sz w:val="12"/>
        </w:rPr>
        <w:t> </w:t>
      </w:r>
      <w:r>
        <w:rPr>
          <w:rFonts w:ascii="Trebuchet MS" w:hAnsi="Trebuchet MS"/>
          <w:i/>
          <w:color w:val="231F20"/>
          <w:w w:val="105"/>
          <w:sz w:val="12"/>
        </w:rPr>
        <w:t>(4),</w:t>
      </w:r>
      <w:r>
        <w:rPr>
          <w:rFonts w:ascii="Trebuchet MS" w:hAnsi="Trebuchet MS"/>
          <w:i/>
          <w:color w:val="231F20"/>
          <w:spacing w:val="-6"/>
          <w:w w:val="105"/>
          <w:sz w:val="12"/>
        </w:rPr>
        <w:t> </w:t>
      </w:r>
      <w:r>
        <w:rPr>
          <w:rFonts w:ascii="Trebuchet MS" w:hAnsi="Trebuchet MS"/>
          <w:i/>
          <w:color w:val="231F20"/>
          <w:w w:val="105"/>
          <w:sz w:val="12"/>
        </w:rPr>
        <w:t>408-414</w:t>
      </w:r>
      <w:r>
        <w:rPr>
          <w:rFonts w:ascii="Calibri" w:hAnsi="Calibri"/>
          <w:color w:val="231F20"/>
          <w:w w:val="105"/>
          <w:sz w:val="13"/>
        </w:rPr>
        <w:tab/>
        <w:t>409</w:t>
      </w:r>
    </w:p>
    <w:p>
      <w:pPr>
        <w:spacing w:line="247" w:lineRule="auto" w:before="700"/>
        <w:ind w:left="1518" w:right="1535" w:firstLine="0"/>
        <w:jc w:val="both"/>
        <w:rPr>
          <w:rFonts w:ascii="Calibri"/>
          <w:sz w:val="13"/>
        </w:rPr>
      </w:pPr>
      <w:r>
        <w:rPr>
          <w:rFonts w:ascii="Calibri"/>
          <w:color w:val="231F20"/>
          <w:w w:val="115"/>
          <w:sz w:val="13"/>
        </w:rPr>
        <w:t>ity of Zinacantepec, State of Mexico (Mexico). Each isolate was confronted with the reference isolates J104 (A1) and J204 (A2) and cultivated in the same medium just to check the homotallism. The meas- urement of the metalaxyl resistance of the isolates studied was determined under the methodology proposed by the FRAC (Fungicide Resistance Action Committee), where the isolates that showed more than 40% growth relative to the control in the presence of 5.0 mg (active ingredient) of metalaxyl </w:t>
      </w:r>
      <w:r>
        <w:rPr>
          <w:rFonts w:ascii="Calibri"/>
          <w:color w:val="231F20"/>
          <w:w w:val="105"/>
          <w:sz w:val="13"/>
        </w:rPr>
        <w:t>/      </w:t>
      </w:r>
      <w:r>
        <w:rPr>
          <w:rFonts w:ascii="Calibri"/>
          <w:color w:val="231F20"/>
          <w:w w:val="115"/>
          <w:sz w:val="13"/>
        </w:rPr>
        <w:t>ml were considered resistant. Results show that two out of the five isolates collected in 2011 were ho- mothallic. Regarding the fifteen isolates collected in 2012, four were homothallic. Such homothallic iso- lates</w:t>
      </w:r>
      <w:r>
        <w:rPr>
          <w:rFonts w:ascii="Calibri"/>
          <w:color w:val="231F20"/>
          <w:spacing w:val="-7"/>
          <w:w w:val="115"/>
          <w:sz w:val="13"/>
        </w:rPr>
        <w:t> </w:t>
      </w:r>
      <w:r>
        <w:rPr>
          <w:rFonts w:ascii="Calibri"/>
          <w:color w:val="231F20"/>
          <w:w w:val="115"/>
          <w:sz w:val="13"/>
        </w:rPr>
        <w:t>were</w:t>
      </w:r>
      <w:r>
        <w:rPr>
          <w:rFonts w:ascii="Calibri"/>
          <w:color w:val="231F20"/>
          <w:spacing w:val="-7"/>
          <w:w w:val="115"/>
          <w:sz w:val="13"/>
        </w:rPr>
        <w:t> </w:t>
      </w:r>
      <w:r>
        <w:rPr>
          <w:rFonts w:ascii="Calibri"/>
          <w:color w:val="231F20"/>
          <w:w w:val="115"/>
          <w:sz w:val="13"/>
        </w:rPr>
        <w:t>resistant</w:t>
      </w:r>
      <w:r>
        <w:rPr>
          <w:rFonts w:ascii="Calibri"/>
          <w:color w:val="231F20"/>
          <w:spacing w:val="-7"/>
          <w:w w:val="115"/>
          <w:sz w:val="13"/>
        </w:rPr>
        <w:t> </w:t>
      </w:r>
      <w:r>
        <w:rPr>
          <w:rFonts w:ascii="Calibri"/>
          <w:color w:val="231F20"/>
          <w:w w:val="115"/>
          <w:sz w:val="13"/>
        </w:rPr>
        <w:t>to</w:t>
      </w:r>
      <w:r>
        <w:rPr>
          <w:rFonts w:ascii="Calibri"/>
          <w:color w:val="231F20"/>
          <w:spacing w:val="-7"/>
          <w:w w:val="115"/>
          <w:sz w:val="13"/>
        </w:rPr>
        <w:t> </w:t>
      </w:r>
      <w:r>
        <w:rPr>
          <w:rFonts w:ascii="Calibri"/>
          <w:color w:val="231F20"/>
          <w:w w:val="115"/>
          <w:sz w:val="13"/>
        </w:rPr>
        <w:t>metalaxyl.</w:t>
      </w:r>
      <w:r>
        <w:rPr>
          <w:rFonts w:ascii="Calibri"/>
          <w:color w:val="231F20"/>
          <w:spacing w:val="-7"/>
          <w:w w:val="115"/>
          <w:sz w:val="13"/>
        </w:rPr>
        <w:t> </w:t>
      </w:r>
      <w:r>
        <w:rPr>
          <w:rFonts w:ascii="Calibri"/>
          <w:color w:val="231F20"/>
          <w:w w:val="115"/>
          <w:sz w:val="13"/>
        </w:rPr>
        <w:t>Keeping</w:t>
      </w:r>
      <w:r>
        <w:rPr>
          <w:rFonts w:ascii="Calibri"/>
          <w:color w:val="231F20"/>
          <w:spacing w:val="-7"/>
          <w:w w:val="115"/>
          <w:sz w:val="13"/>
        </w:rPr>
        <w:t> </w:t>
      </w:r>
      <w:r>
        <w:rPr>
          <w:rFonts w:ascii="Calibri"/>
          <w:color w:val="231F20"/>
          <w:w w:val="115"/>
          <w:sz w:val="13"/>
        </w:rPr>
        <w:t>in</w:t>
      </w:r>
      <w:r>
        <w:rPr>
          <w:rFonts w:ascii="Calibri"/>
          <w:color w:val="231F20"/>
          <w:spacing w:val="-7"/>
          <w:w w:val="115"/>
          <w:sz w:val="13"/>
        </w:rPr>
        <w:t> </w:t>
      </w:r>
      <w:r>
        <w:rPr>
          <w:rFonts w:ascii="Calibri"/>
          <w:color w:val="231F20"/>
          <w:w w:val="115"/>
          <w:sz w:val="13"/>
        </w:rPr>
        <w:t>mind</w:t>
      </w:r>
      <w:r>
        <w:rPr>
          <w:rFonts w:ascii="Calibri"/>
          <w:color w:val="231F20"/>
          <w:spacing w:val="-7"/>
          <w:w w:val="115"/>
          <w:sz w:val="13"/>
        </w:rPr>
        <w:t> </w:t>
      </w:r>
      <w:r>
        <w:rPr>
          <w:rFonts w:ascii="Calibri"/>
          <w:color w:val="231F20"/>
          <w:w w:val="115"/>
          <w:sz w:val="13"/>
        </w:rPr>
        <w:t>that</w:t>
      </w:r>
      <w:r>
        <w:rPr>
          <w:rFonts w:ascii="Calibri"/>
          <w:color w:val="231F20"/>
          <w:spacing w:val="-7"/>
          <w:w w:val="115"/>
          <w:sz w:val="13"/>
        </w:rPr>
        <w:t> </w:t>
      </w:r>
      <w:r>
        <w:rPr>
          <w:rFonts w:ascii="Calibri"/>
          <w:color w:val="231F20"/>
          <w:w w:val="115"/>
          <w:sz w:val="13"/>
        </w:rPr>
        <w:t>the</w:t>
      </w:r>
      <w:r>
        <w:rPr>
          <w:rFonts w:ascii="Calibri"/>
          <w:color w:val="231F20"/>
          <w:spacing w:val="-7"/>
          <w:w w:val="115"/>
          <w:sz w:val="13"/>
        </w:rPr>
        <w:t> </w:t>
      </w:r>
      <w:r>
        <w:rPr>
          <w:rFonts w:ascii="Calibri"/>
          <w:color w:val="231F20"/>
          <w:w w:val="115"/>
          <w:sz w:val="13"/>
        </w:rPr>
        <w:t>studied</w:t>
      </w:r>
      <w:r>
        <w:rPr>
          <w:rFonts w:ascii="Calibri"/>
          <w:color w:val="231F20"/>
          <w:spacing w:val="-7"/>
          <w:w w:val="115"/>
          <w:sz w:val="13"/>
        </w:rPr>
        <w:t> </w:t>
      </w:r>
      <w:r>
        <w:rPr>
          <w:rFonts w:ascii="Calibri"/>
          <w:color w:val="231F20"/>
          <w:w w:val="115"/>
          <w:sz w:val="13"/>
        </w:rPr>
        <w:t>isolates</w:t>
      </w:r>
      <w:r>
        <w:rPr>
          <w:rFonts w:ascii="Calibri"/>
          <w:color w:val="231F20"/>
          <w:spacing w:val="-7"/>
          <w:w w:val="115"/>
          <w:sz w:val="13"/>
        </w:rPr>
        <w:t> </w:t>
      </w:r>
      <w:r>
        <w:rPr>
          <w:rFonts w:ascii="Calibri"/>
          <w:color w:val="231F20"/>
          <w:w w:val="115"/>
          <w:sz w:val="13"/>
        </w:rPr>
        <w:t>were</w:t>
      </w:r>
      <w:r>
        <w:rPr>
          <w:rFonts w:ascii="Calibri"/>
          <w:color w:val="231F20"/>
          <w:spacing w:val="-7"/>
          <w:w w:val="115"/>
          <w:sz w:val="13"/>
        </w:rPr>
        <w:t> </w:t>
      </w:r>
      <w:r>
        <w:rPr>
          <w:rFonts w:ascii="Calibri"/>
          <w:color w:val="231F20"/>
          <w:w w:val="115"/>
          <w:sz w:val="13"/>
        </w:rPr>
        <w:t>sampled</w:t>
      </w:r>
      <w:r>
        <w:rPr>
          <w:rFonts w:ascii="Calibri"/>
          <w:color w:val="231F20"/>
          <w:spacing w:val="-7"/>
          <w:w w:val="115"/>
          <w:sz w:val="13"/>
        </w:rPr>
        <w:t> </w:t>
      </w:r>
      <w:r>
        <w:rPr>
          <w:rFonts w:ascii="Calibri"/>
          <w:color w:val="231F20"/>
          <w:w w:val="115"/>
          <w:sz w:val="13"/>
        </w:rPr>
        <w:t>in</w:t>
      </w:r>
      <w:r>
        <w:rPr>
          <w:rFonts w:ascii="Calibri"/>
          <w:color w:val="231F20"/>
          <w:spacing w:val="-7"/>
          <w:w w:val="115"/>
          <w:sz w:val="13"/>
        </w:rPr>
        <w:t> </w:t>
      </w:r>
      <w:r>
        <w:rPr>
          <w:rFonts w:ascii="Calibri"/>
          <w:color w:val="231F20"/>
          <w:w w:val="115"/>
          <w:sz w:val="13"/>
        </w:rPr>
        <w:t>potato</w:t>
      </w:r>
      <w:r>
        <w:rPr>
          <w:rFonts w:ascii="Calibri"/>
          <w:color w:val="231F20"/>
          <w:spacing w:val="-7"/>
          <w:w w:val="115"/>
          <w:sz w:val="13"/>
        </w:rPr>
        <w:t> </w:t>
      </w:r>
      <w:r>
        <w:rPr>
          <w:rFonts w:ascii="Calibri"/>
          <w:color w:val="231F20"/>
          <w:w w:val="115"/>
          <w:sz w:val="13"/>
        </w:rPr>
        <w:t>crops treated with metalaxyl and that showed resistance to this fungicide, the results suggest a possible re- lationship with and use of metalaxyl and the homotallism. However, it may not be the only reason be- cause heterothallic isolates from the same origin are also resistant to  </w:t>
      </w:r>
      <w:r>
        <w:rPr>
          <w:rFonts w:ascii="Calibri"/>
          <w:color w:val="231F20"/>
          <w:spacing w:val="28"/>
          <w:w w:val="115"/>
          <w:sz w:val="13"/>
        </w:rPr>
        <w:t> </w:t>
      </w:r>
      <w:r>
        <w:rPr>
          <w:rFonts w:ascii="Calibri"/>
          <w:color w:val="231F20"/>
          <w:w w:val="115"/>
          <w:sz w:val="13"/>
        </w:rPr>
        <w:t>metalaxyl.</w:t>
      </w:r>
    </w:p>
    <w:p>
      <w:pPr>
        <w:spacing w:before="126"/>
        <w:ind w:left="1518" w:right="0" w:firstLine="0"/>
        <w:jc w:val="both"/>
        <w:rPr>
          <w:rFonts w:ascii="Calibri"/>
          <w:sz w:val="13"/>
        </w:rPr>
      </w:pPr>
      <w:r>
        <w:rPr>
          <w:b/>
          <w:color w:val="231F20"/>
          <w:w w:val="110"/>
          <w:sz w:val="13"/>
        </w:rPr>
        <w:t>Key words: </w:t>
      </w:r>
      <w:r>
        <w:rPr>
          <w:rFonts w:ascii="Calibri"/>
          <w:color w:val="231F20"/>
          <w:w w:val="110"/>
          <w:sz w:val="13"/>
        </w:rPr>
        <w:t>Fungicide resistance, oospores, mildew.</w:t>
      </w:r>
    </w:p>
    <w:p>
      <w:pPr>
        <w:spacing w:after="0"/>
        <w:jc w:val="both"/>
        <w:rPr>
          <w:rFonts w:ascii="Calibri"/>
          <w:sz w:val="13"/>
        </w:rPr>
        <w:sectPr>
          <w:pgSz w:w="12240" w:h="15840"/>
          <w:pgMar w:header="719" w:footer="740" w:top="1260" w:bottom="920" w:left="1460" w:right="1440"/>
        </w:sectPr>
      </w:pPr>
    </w:p>
    <w:p>
      <w:pPr>
        <w:spacing w:before="486"/>
        <w:ind w:left="1503" w:right="0" w:firstLine="0"/>
        <w:jc w:val="both"/>
        <w:rPr>
          <w:b/>
          <w:sz w:val="15"/>
        </w:rPr>
      </w:pPr>
      <w:r>
        <w:rPr>
          <w:b/>
          <w:color w:val="231F20"/>
          <w:sz w:val="15"/>
        </w:rPr>
        <w:t>Introducción</w:t>
      </w:r>
    </w:p>
    <w:p>
      <w:pPr>
        <w:spacing w:line="176" w:lineRule="exact" w:before="179"/>
        <w:ind w:left="1503" w:right="0" w:firstLine="0"/>
        <w:jc w:val="both"/>
        <w:rPr>
          <w:rFonts w:ascii="Calibri" w:hAnsi="Calibri"/>
          <w:sz w:val="15"/>
        </w:rPr>
      </w:pPr>
      <w:r>
        <w:rPr>
          <w:rFonts w:ascii="Calibri" w:hAnsi="Calibri"/>
          <w:color w:val="231F20"/>
          <w:w w:val="110"/>
          <w:sz w:val="15"/>
        </w:rPr>
        <w:t>La enfermedad del tizón tardío, causada por el patógeno </w:t>
      </w:r>
      <w:r>
        <w:rPr>
          <w:rFonts w:ascii="Trebuchet MS" w:hAnsi="Trebuchet MS"/>
          <w:i/>
          <w:color w:val="231F20"/>
          <w:w w:val="110"/>
          <w:sz w:val="15"/>
        </w:rPr>
        <w:t>Phytophthora infestans </w:t>
      </w:r>
      <w:r>
        <w:rPr>
          <w:rFonts w:ascii="Calibri" w:hAnsi="Calibri"/>
          <w:color w:val="231F20"/>
          <w:w w:val="110"/>
          <w:sz w:val="15"/>
        </w:rPr>
        <w:t>ha re- surgido en los últimos años como una ame- naza significativa para la producción de papa y</w:t>
      </w:r>
      <w:r>
        <w:rPr>
          <w:rFonts w:ascii="Calibri" w:hAnsi="Calibri"/>
          <w:color w:val="231F20"/>
          <w:spacing w:val="-4"/>
          <w:w w:val="110"/>
          <w:sz w:val="15"/>
        </w:rPr>
        <w:t> </w:t>
      </w:r>
      <w:r>
        <w:rPr>
          <w:rFonts w:ascii="Calibri" w:hAnsi="Calibri"/>
          <w:color w:val="231F20"/>
          <w:w w:val="110"/>
          <w:sz w:val="15"/>
        </w:rPr>
        <w:t>tomate</w:t>
      </w:r>
      <w:r>
        <w:rPr>
          <w:rFonts w:ascii="Calibri" w:hAnsi="Calibri"/>
          <w:color w:val="231F20"/>
          <w:spacing w:val="-4"/>
          <w:w w:val="110"/>
          <w:sz w:val="15"/>
        </w:rPr>
        <w:t> </w:t>
      </w:r>
      <w:r>
        <w:rPr>
          <w:rFonts w:ascii="Calibri" w:hAnsi="Calibri"/>
          <w:color w:val="231F20"/>
          <w:w w:val="110"/>
          <w:sz w:val="15"/>
        </w:rPr>
        <w:t>en</w:t>
      </w:r>
      <w:r>
        <w:rPr>
          <w:rFonts w:ascii="Calibri" w:hAnsi="Calibri"/>
          <w:color w:val="231F20"/>
          <w:spacing w:val="-4"/>
          <w:w w:val="110"/>
          <w:sz w:val="15"/>
        </w:rPr>
        <w:t> </w:t>
      </w:r>
      <w:r>
        <w:rPr>
          <w:rFonts w:ascii="Calibri" w:hAnsi="Calibri"/>
          <w:color w:val="231F20"/>
          <w:w w:val="110"/>
          <w:sz w:val="15"/>
        </w:rPr>
        <w:t>todo</w:t>
      </w:r>
      <w:r>
        <w:rPr>
          <w:rFonts w:ascii="Calibri" w:hAnsi="Calibri"/>
          <w:color w:val="231F20"/>
          <w:spacing w:val="-4"/>
          <w:w w:val="110"/>
          <w:sz w:val="15"/>
        </w:rPr>
        <w:t> </w:t>
      </w:r>
      <w:r>
        <w:rPr>
          <w:rFonts w:ascii="Calibri" w:hAnsi="Calibri"/>
          <w:color w:val="231F20"/>
          <w:w w:val="110"/>
          <w:sz w:val="15"/>
        </w:rPr>
        <w:t>el</w:t>
      </w:r>
      <w:r>
        <w:rPr>
          <w:rFonts w:ascii="Calibri" w:hAnsi="Calibri"/>
          <w:color w:val="231F20"/>
          <w:spacing w:val="-4"/>
          <w:w w:val="110"/>
          <w:sz w:val="15"/>
        </w:rPr>
        <w:t> </w:t>
      </w:r>
      <w:r>
        <w:rPr>
          <w:rFonts w:ascii="Calibri" w:hAnsi="Calibri"/>
          <w:color w:val="231F20"/>
          <w:w w:val="110"/>
          <w:sz w:val="15"/>
        </w:rPr>
        <w:t>mundo</w:t>
      </w:r>
      <w:r>
        <w:rPr>
          <w:rFonts w:ascii="Calibri" w:hAnsi="Calibri"/>
          <w:color w:val="231F20"/>
          <w:spacing w:val="-4"/>
          <w:w w:val="110"/>
          <w:sz w:val="15"/>
        </w:rPr>
        <w:t> </w:t>
      </w:r>
      <w:r>
        <w:rPr>
          <w:rFonts w:ascii="Calibri" w:hAnsi="Calibri"/>
          <w:color w:val="231F20"/>
          <w:w w:val="110"/>
          <w:sz w:val="15"/>
        </w:rPr>
        <w:t>(Fry</w:t>
      </w:r>
      <w:r>
        <w:rPr>
          <w:rFonts w:ascii="Calibri" w:hAnsi="Calibri"/>
          <w:color w:val="231F20"/>
          <w:spacing w:val="-4"/>
          <w:w w:val="110"/>
          <w:sz w:val="15"/>
        </w:rPr>
        <w:t> </w:t>
      </w:r>
      <w:r>
        <w:rPr>
          <w:rFonts w:ascii="Trebuchet MS" w:hAnsi="Trebuchet MS"/>
          <w:i/>
          <w:color w:val="231F20"/>
          <w:w w:val="110"/>
          <w:sz w:val="15"/>
        </w:rPr>
        <w:t>et</w:t>
      </w:r>
      <w:r>
        <w:rPr>
          <w:rFonts w:ascii="Trebuchet MS" w:hAnsi="Trebuchet MS"/>
          <w:i/>
          <w:color w:val="231F20"/>
          <w:spacing w:val="-16"/>
          <w:w w:val="110"/>
          <w:sz w:val="15"/>
        </w:rPr>
        <w:t> </w:t>
      </w:r>
      <w:r>
        <w:rPr>
          <w:rFonts w:ascii="Trebuchet MS" w:hAnsi="Trebuchet MS"/>
          <w:i/>
          <w:color w:val="231F20"/>
          <w:w w:val="110"/>
          <w:sz w:val="15"/>
        </w:rPr>
        <w:t>al</w:t>
      </w:r>
      <w:r>
        <w:rPr>
          <w:rFonts w:ascii="Calibri" w:hAnsi="Calibri"/>
          <w:color w:val="231F20"/>
          <w:w w:val="110"/>
          <w:sz w:val="15"/>
        </w:rPr>
        <w:t>.,</w:t>
      </w:r>
      <w:r>
        <w:rPr>
          <w:rFonts w:ascii="Calibri" w:hAnsi="Calibri"/>
          <w:color w:val="231F20"/>
          <w:spacing w:val="-4"/>
          <w:w w:val="110"/>
          <w:sz w:val="15"/>
        </w:rPr>
        <w:t> </w:t>
      </w:r>
      <w:r>
        <w:rPr>
          <w:rFonts w:ascii="Calibri" w:hAnsi="Calibri"/>
          <w:color w:val="231F20"/>
          <w:w w:val="110"/>
          <w:sz w:val="15"/>
        </w:rPr>
        <w:t>1997). Esto puede atribuirse en gran medida a los cambios genéticos en el patógeno. Las po- </w:t>
      </w:r>
      <w:r>
        <w:rPr>
          <w:rFonts w:ascii="Calibri" w:hAnsi="Calibri"/>
          <w:color w:val="231F20"/>
          <w:spacing w:val="-3"/>
          <w:w w:val="110"/>
          <w:sz w:val="15"/>
        </w:rPr>
        <w:t>blaciones</w:t>
      </w:r>
      <w:r>
        <w:rPr>
          <w:rFonts w:ascii="Calibri" w:hAnsi="Calibri"/>
          <w:color w:val="231F20"/>
          <w:spacing w:val="-11"/>
          <w:w w:val="110"/>
          <w:sz w:val="15"/>
        </w:rPr>
        <w:t> </w:t>
      </w:r>
      <w:r>
        <w:rPr>
          <w:rFonts w:ascii="Calibri" w:hAnsi="Calibri"/>
          <w:color w:val="231F20"/>
          <w:w w:val="110"/>
          <w:sz w:val="15"/>
        </w:rPr>
        <w:t>de</w:t>
      </w:r>
      <w:r>
        <w:rPr>
          <w:rFonts w:ascii="Calibri" w:hAnsi="Calibri"/>
          <w:color w:val="231F20"/>
          <w:spacing w:val="-11"/>
          <w:w w:val="110"/>
          <w:sz w:val="15"/>
        </w:rPr>
        <w:t> </w:t>
      </w:r>
      <w:r>
        <w:rPr>
          <w:rFonts w:ascii="Trebuchet MS" w:hAnsi="Trebuchet MS"/>
          <w:i/>
          <w:color w:val="231F20"/>
          <w:spacing w:val="-11"/>
          <w:w w:val="110"/>
          <w:sz w:val="15"/>
        </w:rPr>
        <w:t>P.</w:t>
      </w:r>
      <w:r>
        <w:rPr>
          <w:rFonts w:ascii="Trebuchet MS" w:hAnsi="Trebuchet MS"/>
          <w:i/>
          <w:color w:val="231F20"/>
          <w:spacing w:val="-24"/>
          <w:w w:val="110"/>
          <w:sz w:val="15"/>
        </w:rPr>
        <w:t> </w:t>
      </w:r>
      <w:r>
        <w:rPr>
          <w:rFonts w:ascii="Trebuchet MS" w:hAnsi="Trebuchet MS"/>
          <w:i/>
          <w:color w:val="231F20"/>
          <w:spacing w:val="-3"/>
          <w:w w:val="110"/>
          <w:sz w:val="15"/>
        </w:rPr>
        <w:t>infestans</w:t>
      </w:r>
      <w:r>
        <w:rPr>
          <w:rFonts w:ascii="Trebuchet MS" w:hAnsi="Trebuchet MS"/>
          <w:i/>
          <w:color w:val="231F20"/>
          <w:spacing w:val="-24"/>
          <w:w w:val="110"/>
          <w:sz w:val="15"/>
        </w:rPr>
        <w:t> </w:t>
      </w:r>
      <w:r>
        <w:rPr>
          <w:rFonts w:ascii="Calibri" w:hAnsi="Calibri"/>
          <w:color w:val="231F20"/>
          <w:w w:val="110"/>
          <w:sz w:val="15"/>
        </w:rPr>
        <w:t>del</w:t>
      </w:r>
      <w:r>
        <w:rPr>
          <w:rFonts w:ascii="Calibri" w:hAnsi="Calibri"/>
          <w:color w:val="231F20"/>
          <w:spacing w:val="-11"/>
          <w:w w:val="110"/>
          <w:sz w:val="15"/>
        </w:rPr>
        <w:t> </w:t>
      </w:r>
      <w:r>
        <w:rPr>
          <w:rFonts w:ascii="Calibri" w:hAnsi="Calibri"/>
          <w:color w:val="231F20"/>
          <w:spacing w:val="-3"/>
          <w:w w:val="110"/>
          <w:sz w:val="15"/>
        </w:rPr>
        <w:t>centro</w:t>
      </w:r>
      <w:r>
        <w:rPr>
          <w:rFonts w:ascii="Calibri" w:hAnsi="Calibri"/>
          <w:color w:val="231F20"/>
          <w:spacing w:val="-11"/>
          <w:w w:val="110"/>
          <w:sz w:val="15"/>
        </w:rPr>
        <w:t> </w:t>
      </w:r>
      <w:r>
        <w:rPr>
          <w:rFonts w:ascii="Calibri" w:hAnsi="Calibri"/>
          <w:color w:val="231F20"/>
          <w:w w:val="110"/>
          <w:sz w:val="15"/>
        </w:rPr>
        <w:t>de</w:t>
      </w:r>
      <w:r>
        <w:rPr>
          <w:rFonts w:ascii="Calibri" w:hAnsi="Calibri"/>
          <w:color w:val="231F20"/>
          <w:spacing w:val="-11"/>
          <w:w w:val="110"/>
          <w:sz w:val="15"/>
        </w:rPr>
        <w:t> </w:t>
      </w:r>
      <w:r>
        <w:rPr>
          <w:rFonts w:ascii="Calibri" w:hAnsi="Calibri"/>
          <w:color w:val="231F20"/>
          <w:spacing w:val="-3"/>
          <w:w w:val="110"/>
          <w:sz w:val="15"/>
        </w:rPr>
        <w:t>México </w:t>
      </w:r>
      <w:r>
        <w:rPr>
          <w:rFonts w:ascii="Calibri" w:hAnsi="Calibri"/>
          <w:color w:val="231F20"/>
          <w:w w:val="110"/>
          <w:sz w:val="15"/>
        </w:rPr>
        <w:t>son muy diversas, lo que indica que esta área es el centro de origen del agente patógeno (Goodwin, </w:t>
      </w:r>
      <w:r>
        <w:rPr>
          <w:rFonts w:ascii="Trebuchet MS" w:hAnsi="Trebuchet MS"/>
          <w:i/>
          <w:color w:val="231F20"/>
          <w:w w:val="110"/>
          <w:sz w:val="15"/>
        </w:rPr>
        <w:t>et al</w:t>
      </w:r>
      <w:r>
        <w:rPr>
          <w:rFonts w:ascii="Calibri" w:hAnsi="Calibri"/>
          <w:color w:val="231F20"/>
          <w:w w:val="110"/>
          <w:sz w:val="15"/>
        </w:rPr>
        <w:t>., 1992). La reproducción se- </w:t>
      </w:r>
      <w:r>
        <w:rPr>
          <w:rFonts w:ascii="Calibri" w:hAnsi="Calibri"/>
          <w:color w:val="231F20"/>
          <w:spacing w:val="-3"/>
          <w:w w:val="110"/>
          <w:sz w:val="15"/>
        </w:rPr>
        <w:t>xual</w:t>
      </w:r>
      <w:r>
        <w:rPr>
          <w:rFonts w:ascii="Calibri" w:hAnsi="Calibri"/>
          <w:color w:val="231F20"/>
          <w:spacing w:val="-12"/>
          <w:w w:val="110"/>
          <w:sz w:val="15"/>
        </w:rPr>
        <w:t> </w:t>
      </w:r>
      <w:r>
        <w:rPr>
          <w:rFonts w:ascii="Calibri" w:hAnsi="Calibri"/>
          <w:color w:val="231F20"/>
          <w:w w:val="110"/>
          <w:sz w:val="15"/>
        </w:rPr>
        <w:t>de</w:t>
      </w:r>
      <w:r>
        <w:rPr>
          <w:rFonts w:ascii="Calibri" w:hAnsi="Calibri"/>
          <w:color w:val="231F20"/>
          <w:spacing w:val="-12"/>
          <w:w w:val="110"/>
          <w:sz w:val="15"/>
        </w:rPr>
        <w:t> </w:t>
      </w:r>
      <w:r>
        <w:rPr>
          <w:rFonts w:ascii="Trebuchet MS" w:hAnsi="Trebuchet MS"/>
          <w:i/>
          <w:color w:val="231F20"/>
          <w:spacing w:val="-11"/>
          <w:w w:val="110"/>
          <w:sz w:val="15"/>
        </w:rPr>
        <w:t>P.</w:t>
      </w:r>
      <w:r>
        <w:rPr>
          <w:rFonts w:ascii="Trebuchet MS" w:hAnsi="Trebuchet MS"/>
          <w:i/>
          <w:color w:val="231F20"/>
          <w:spacing w:val="-24"/>
          <w:w w:val="110"/>
          <w:sz w:val="15"/>
        </w:rPr>
        <w:t> </w:t>
      </w:r>
      <w:r>
        <w:rPr>
          <w:rFonts w:ascii="Trebuchet MS" w:hAnsi="Trebuchet MS"/>
          <w:i/>
          <w:color w:val="231F20"/>
          <w:spacing w:val="-3"/>
          <w:w w:val="110"/>
          <w:sz w:val="15"/>
        </w:rPr>
        <w:t>infestans</w:t>
      </w:r>
      <w:r>
        <w:rPr>
          <w:rFonts w:ascii="Trebuchet MS" w:hAnsi="Trebuchet MS"/>
          <w:i/>
          <w:color w:val="231F20"/>
          <w:spacing w:val="-24"/>
          <w:w w:val="110"/>
          <w:sz w:val="15"/>
        </w:rPr>
        <w:t> </w:t>
      </w:r>
      <w:r>
        <w:rPr>
          <w:rFonts w:ascii="Calibri" w:hAnsi="Calibri"/>
          <w:color w:val="231F20"/>
          <w:spacing w:val="-3"/>
          <w:w w:val="110"/>
          <w:sz w:val="15"/>
        </w:rPr>
        <w:t>produce</w:t>
      </w:r>
      <w:r>
        <w:rPr>
          <w:rFonts w:ascii="Calibri" w:hAnsi="Calibri"/>
          <w:color w:val="231F20"/>
          <w:spacing w:val="-12"/>
          <w:w w:val="110"/>
          <w:sz w:val="15"/>
        </w:rPr>
        <w:t> </w:t>
      </w:r>
      <w:r>
        <w:rPr>
          <w:rFonts w:ascii="Calibri" w:hAnsi="Calibri"/>
          <w:color w:val="231F20"/>
          <w:spacing w:val="-3"/>
          <w:w w:val="110"/>
          <w:sz w:val="15"/>
        </w:rPr>
        <w:t>oosporas,</w:t>
      </w:r>
      <w:r>
        <w:rPr>
          <w:rFonts w:ascii="Calibri" w:hAnsi="Calibri"/>
          <w:color w:val="231F20"/>
          <w:spacing w:val="-12"/>
          <w:w w:val="110"/>
          <w:sz w:val="15"/>
        </w:rPr>
        <w:t> </w:t>
      </w:r>
      <w:r>
        <w:rPr>
          <w:rFonts w:ascii="Calibri" w:hAnsi="Calibri"/>
          <w:color w:val="231F20"/>
          <w:w w:val="110"/>
          <w:sz w:val="15"/>
        </w:rPr>
        <w:t>las</w:t>
      </w:r>
      <w:r>
        <w:rPr>
          <w:rFonts w:ascii="Calibri" w:hAnsi="Calibri"/>
          <w:color w:val="231F20"/>
          <w:spacing w:val="-12"/>
          <w:w w:val="110"/>
          <w:sz w:val="15"/>
        </w:rPr>
        <w:t> </w:t>
      </w:r>
      <w:r>
        <w:rPr>
          <w:rFonts w:ascii="Calibri" w:hAnsi="Calibri"/>
          <w:color w:val="231F20"/>
          <w:spacing w:val="-3"/>
          <w:w w:val="110"/>
          <w:sz w:val="15"/>
        </w:rPr>
        <w:t>cua- </w:t>
      </w:r>
      <w:r>
        <w:rPr>
          <w:rFonts w:ascii="Calibri" w:hAnsi="Calibri"/>
          <w:color w:val="231F20"/>
          <w:w w:val="110"/>
          <w:sz w:val="15"/>
        </w:rPr>
        <w:t>les son capaces de sobrevivir en el suelo du- rante muchos años, resistiendo condiciones ambientales adversas. Las oosporas son im- portantes en el ciclo del oomicete, ya que el </w:t>
      </w:r>
      <w:r>
        <w:rPr>
          <w:rFonts w:ascii="Calibri" w:hAnsi="Calibri"/>
          <w:color w:val="231F20"/>
          <w:spacing w:val="-3"/>
          <w:w w:val="110"/>
          <w:sz w:val="15"/>
        </w:rPr>
        <w:t>micelio </w:t>
      </w:r>
      <w:r>
        <w:rPr>
          <w:rFonts w:ascii="Calibri" w:hAnsi="Calibri"/>
          <w:color w:val="231F20"/>
          <w:w w:val="110"/>
          <w:sz w:val="15"/>
        </w:rPr>
        <w:t>y los </w:t>
      </w:r>
      <w:r>
        <w:rPr>
          <w:rFonts w:ascii="Calibri" w:hAnsi="Calibri"/>
          <w:color w:val="231F20"/>
          <w:spacing w:val="-3"/>
          <w:w w:val="110"/>
          <w:sz w:val="15"/>
        </w:rPr>
        <w:t>esporangios </w:t>
      </w:r>
      <w:r>
        <w:rPr>
          <w:rFonts w:ascii="Calibri" w:hAnsi="Calibri"/>
          <w:color w:val="231F20"/>
          <w:w w:val="110"/>
          <w:sz w:val="15"/>
        </w:rPr>
        <w:t>son </w:t>
      </w:r>
      <w:r>
        <w:rPr>
          <w:rFonts w:ascii="Calibri" w:hAnsi="Calibri"/>
          <w:color w:val="231F20"/>
          <w:spacing w:val="-3"/>
          <w:w w:val="110"/>
          <w:sz w:val="15"/>
        </w:rPr>
        <w:t>incapaces </w:t>
      </w:r>
      <w:r>
        <w:rPr>
          <w:rFonts w:ascii="Calibri" w:hAnsi="Calibri"/>
          <w:color w:val="231F20"/>
          <w:w w:val="110"/>
          <w:sz w:val="15"/>
        </w:rPr>
        <w:t>de </w:t>
      </w:r>
      <w:r>
        <w:rPr>
          <w:rFonts w:ascii="Calibri" w:hAnsi="Calibri"/>
          <w:color w:val="231F20"/>
          <w:spacing w:val="-3"/>
          <w:w w:val="110"/>
          <w:sz w:val="15"/>
        </w:rPr>
        <w:t>so- </w:t>
      </w:r>
      <w:r>
        <w:rPr>
          <w:rFonts w:ascii="Calibri" w:hAnsi="Calibri"/>
          <w:color w:val="231F20"/>
          <w:w w:val="110"/>
          <w:sz w:val="15"/>
        </w:rPr>
        <w:t>brevivir a largo plazo, y aparte necesitan de una planta huésped. En muchos agroecosis- temas, las oosporas germinan al inicio de  una temporada, lo cual representa el inóculo inicial para las epidemias (Grunwald y </w:t>
      </w:r>
      <w:r>
        <w:rPr>
          <w:rFonts w:ascii="Calibri" w:hAnsi="Calibri"/>
          <w:color w:val="231F20"/>
          <w:spacing w:val="-3"/>
          <w:w w:val="110"/>
          <w:sz w:val="15"/>
        </w:rPr>
        <w:t>Flier, 2005). </w:t>
      </w:r>
      <w:r>
        <w:rPr>
          <w:rFonts w:ascii="Calibri" w:hAnsi="Calibri"/>
          <w:color w:val="231F20"/>
          <w:w w:val="110"/>
          <w:sz w:val="15"/>
        </w:rPr>
        <w:t>El </w:t>
      </w:r>
      <w:r>
        <w:rPr>
          <w:rFonts w:ascii="Calibri" w:hAnsi="Calibri"/>
          <w:color w:val="231F20"/>
          <w:spacing w:val="-3"/>
          <w:w w:val="110"/>
          <w:sz w:val="15"/>
        </w:rPr>
        <w:t>ciclo sexual mejora </w:t>
      </w:r>
      <w:r>
        <w:rPr>
          <w:rFonts w:ascii="Calibri" w:hAnsi="Calibri"/>
          <w:color w:val="231F20"/>
          <w:w w:val="110"/>
          <w:sz w:val="15"/>
        </w:rPr>
        <w:t>la </w:t>
      </w:r>
      <w:r>
        <w:rPr>
          <w:rFonts w:ascii="Calibri" w:hAnsi="Calibri"/>
          <w:color w:val="231F20"/>
          <w:spacing w:val="-3"/>
          <w:w w:val="110"/>
          <w:sz w:val="15"/>
        </w:rPr>
        <w:t>aptitud </w:t>
      </w:r>
      <w:r>
        <w:rPr>
          <w:rFonts w:ascii="Calibri" w:hAnsi="Calibri"/>
          <w:color w:val="231F20"/>
          <w:w w:val="110"/>
          <w:sz w:val="15"/>
        </w:rPr>
        <w:t>del </w:t>
      </w:r>
      <w:r>
        <w:rPr>
          <w:rFonts w:ascii="Calibri" w:hAnsi="Calibri"/>
          <w:color w:val="231F20"/>
          <w:spacing w:val="-3"/>
          <w:w w:val="110"/>
          <w:sz w:val="15"/>
        </w:rPr>
        <w:t>pa- tógeno mediante </w:t>
      </w:r>
      <w:r>
        <w:rPr>
          <w:rFonts w:ascii="Calibri" w:hAnsi="Calibri"/>
          <w:color w:val="231F20"/>
          <w:w w:val="110"/>
          <w:sz w:val="15"/>
        </w:rPr>
        <w:t>la </w:t>
      </w:r>
      <w:r>
        <w:rPr>
          <w:rFonts w:ascii="Calibri" w:hAnsi="Calibri"/>
          <w:color w:val="231F20"/>
          <w:spacing w:val="-3"/>
          <w:w w:val="110"/>
          <w:sz w:val="15"/>
        </w:rPr>
        <w:t>generación </w:t>
      </w:r>
      <w:r>
        <w:rPr>
          <w:rFonts w:ascii="Calibri" w:hAnsi="Calibri"/>
          <w:color w:val="231F20"/>
          <w:w w:val="110"/>
          <w:sz w:val="15"/>
        </w:rPr>
        <w:t>de </w:t>
      </w:r>
      <w:r>
        <w:rPr>
          <w:rFonts w:ascii="Calibri" w:hAnsi="Calibri"/>
          <w:color w:val="231F20"/>
          <w:spacing w:val="-3"/>
          <w:w w:val="110"/>
          <w:sz w:val="15"/>
        </w:rPr>
        <w:t>genotipos </w:t>
      </w:r>
      <w:r>
        <w:rPr>
          <w:rFonts w:ascii="Calibri" w:hAnsi="Calibri"/>
          <w:color w:val="231F20"/>
          <w:w w:val="110"/>
          <w:sz w:val="15"/>
        </w:rPr>
        <w:t>recombinantes que pueden ser más patogé- nicos o resistentes a los productos químicos (Gavino </w:t>
      </w:r>
      <w:r>
        <w:rPr>
          <w:rFonts w:ascii="Trebuchet MS" w:hAnsi="Trebuchet MS"/>
          <w:i/>
          <w:color w:val="231F20"/>
          <w:w w:val="110"/>
          <w:sz w:val="15"/>
        </w:rPr>
        <w:t>et al</w:t>
      </w:r>
      <w:r>
        <w:rPr>
          <w:rFonts w:ascii="Calibri" w:hAnsi="Calibri"/>
          <w:color w:val="231F20"/>
          <w:w w:val="110"/>
          <w:sz w:val="15"/>
        </w:rPr>
        <w:t>., 2000). El objetivo de esta co- municación es presentar la existencia de ce- pas</w:t>
      </w:r>
      <w:r>
        <w:rPr>
          <w:rFonts w:ascii="Calibri" w:hAnsi="Calibri"/>
          <w:color w:val="231F20"/>
          <w:spacing w:val="-19"/>
          <w:w w:val="110"/>
          <w:sz w:val="15"/>
        </w:rPr>
        <w:t> </w:t>
      </w:r>
      <w:r>
        <w:rPr>
          <w:rFonts w:ascii="Calibri" w:hAnsi="Calibri"/>
          <w:color w:val="231F20"/>
          <w:w w:val="110"/>
          <w:sz w:val="15"/>
        </w:rPr>
        <w:t>homotálicas</w:t>
      </w:r>
      <w:r>
        <w:rPr>
          <w:rFonts w:ascii="Calibri" w:hAnsi="Calibri"/>
          <w:color w:val="231F20"/>
          <w:spacing w:val="-19"/>
          <w:w w:val="110"/>
          <w:sz w:val="15"/>
        </w:rPr>
        <w:t> </w:t>
      </w:r>
      <w:r>
        <w:rPr>
          <w:rFonts w:ascii="Calibri" w:hAnsi="Calibri"/>
          <w:color w:val="231F20"/>
          <w:w w:val="110"/>
          <w:sz w:val="15"/>
        </w:rPr>
        <w:t>de</w:t>
      </w:r>
      <w:r>
        <w:rPr>
          <w:rFonts w:ascii="Calibri" w:hAnsi="Calibri"/>
          <w:color w:val="231F20"/>
          <w:spacing w:val="-19"/>
          <w:w w:val="110"/>
          <w:sz w:val="15"/>
        </w:rPr>
        <w:t> </w:t>
      </w:r>
      <w:r>
        <w:rPr>
          <w:rFonts w:ascii="Trebuchet MS" w:hAnsi="Trebuchet MS"/>
          <w:i/>
          <w:color w:val="231F20"/>
          <w:spacing w:val="-11"/>
          <w:w w:val="110"/>
          <w:sz w:val="15"/>
        </w:rPr>
        <w:t>P.</w:t>
      </w:r>
      <w:r>
        <w:rPr>
          <w:rFonts w:ascii="Trebuchet MS" w:hAnsi="Trebuchet MS"/>
          <w:i/>
          <w:color w:val="231F20"/>
          <w:spacing w:val="-32"/>
          <w:w w:val="110"/>
          <w:sz w:val="15"/>
        </w:rPr>
        <w:t> </w:t>
      </w:r>
      <w:r>
        <w:rPr>
          <w:rFonts w:ascii="Trebuchet MS" w:hAnsi="Trebuchet MS"/>
          <w:i/>
          <w:color w:val="231F20"/>
          <w:w w:val="110"/>
          <w:sz w:val="15"/>
        </w:rPr>
        <w:t>infestans</w:t>
      </w:r>
      <w:r>
        <w:rPr>
          <w:rFonts w:ascii="Trebuchet MS" w:hAnsi="Trebuchet MS"/>
          <w:i/>
          <w:color w:val="231F20"/>
          <w:spacing w:val="-32"/>
          <w:w w:val="110"/>
          <w:sz w:val="15"/>
        </w:rPr>
        <w:t> </w:t>
      </w:r>
      <w:r>
        <w:rPr>
          <w:rFonts w:ascii="Calibri" w:hAnsi="Calibri"/>
          <w:color w:val="231F20"/>
          <w:w w:val="110"/>
          <w:sz w:val="15"/>
        </w:rPr>
        <w:t>en</w:t>
      </w:r>
      <w:r>
        <w:rPr>
          <w:rFonts w:ascii="Calibri" w:hAnsi="Calibri"/>
          <w:color w:val="231F20"/>
          <w:spacing w:val="-19"/>
          <w:w w:val="110"/>
          <w:sz w:val="15"/>
        </w:rPr>
        <w:t> </w:t>
      </w:r>
      <w:r>
        <w:rPr>
          <w:rFonts w:ascii="Calibri" w:hAnsi="Calibri"/>
          <w:color w:val="231F20"/>
          <w:w w:val="110"/>
          <w:sz w:val="15"/>
        </w:rPr>
        <w:t>los</w:t>
      </w:r>
      <w:r>
        <w:rPr>
          <w:rFonts w:ascii="Calibri" w:hAnsi="Calibri"/>
          <w:color w:val="231F20"/>
          <w:spacing w:val="-19"/>
          <w:w w:val="110"/>
          <w:sz w:val="15"/>
        </w:rPr>
        <w:t> </w:t>
      </w:r>
      <w:r>
        <w:rPr>
          <w:rFonts w:ascii="Calibri" w:hAnsi="Calibri"/>
          <w:color w:val="231F20"/>
          <w:w w:val="110"/>
          <w:sz w:val="15"/>
        </w:rPr>
        <w:t>cultivos de papa que son tratados con </w:t>
      </w:r>
      <w:r>
        <w:rPr>
          <w:rFonts w:ascii="Calibri" w:hAnsi="Calibri"/>
          <w:color w:val="231F20"/>
          <w:spacing w:val="26"/>
          <w:w w:val="110"/>
          <w:sz w:val="15"/>
        </w:rPr>
        <w:t> </w:t>
      </w:r>
      <w:r>
        <w:rPr>
          <w:rFonts w:ascii="Calibri" w:hAnsi="Calibri"/>
          <w:color w:val="231F20"/>
          <w:w w:val="110"/>
          <w:sz w:val="15"/>
        </w:rPr>
        <w:t>metalaxil.</w:t>
      </w:r>
    </w:p>
    <w:p>
      <w:pPr>
        <w:pStyle w:val="BodyText"/>
        <w:rPr>
          <w:rFonts w:ascii="Calibri"/>
          <w:sz w:val="14"/>
        </w:rPr>
      </w:pPr>
      <w:r>
        <w:rPr/>
        <w:br w:type="column"/>
      </w:r>
      <w:r>
        <w:rPr>
          <w:rFonts w:ascii="Calibri"/>
          <w:sz w:val="14"/>
        </w:rPr>
      </w:r>
    </w:p>
    <w:p>
      <w:pPr>
        <w:pStyle w:val="BodyText"/>
        <w:rPr>
          <w:rFonts w:ascii="Calibri"/>
          <w:sz w:val="14"/>
        </w:rPr>
      </w:pPr>
    </w:p>
    <w:p>
      <w:pPr>
        <w:pStyle w:val="BodyText"/>
        <w:spacing w:before="10"/>
        <w:rPr>
          <w:rFonts w:ascii="Calibri"/>
          <w:sz w:val="11"/>
        </w:rPr>
      </w:pPr>
    </w:p>
    <w:p>
      <w:pPr>
        <w:spacing w:before="0"/>
        <w:ind w:left="210" w:right="0" w:firstLine="0"/>
        <w:jc w:val="both"/>
        <w:rPr>
          <w:b/>
          <w:sz w:val="15"/>
        </w:rPr>
      </w:pPr>
      <w:r>
        <w:rPr>
          <w:b/>
          <w:color w:val="231F20"/>
          <w:sz w:val="15"/>
        </w:rPr>
        <w:t>Materiales y métodos</w:t>
      </w:r>
    </w:p>
    <w:p>
      <w:pPr>
        <w:spacing w:before="105"/>
        <w:ind w:left="210" w:right="0" w:firstLine="0"/>
        <w:jc w:val="both"/>
        <w:rPr>
          <w:rFonts w:ascii="Calibri"/>
          <w:sz w:val="15"/>
        </w:rPr>
      </w:pPr>
      <w:r>
        <w:rPr>
          <w:rFonts w:ascii="Calibri"/>
          <w:color w:val="231F20"/>
          <w:w w:val="115"/>
          <w:sz w:val="15"/>
        </w:rPr>
        <w:t>Aislamientos</w:t>
      </w:r>
    </w:p>
    <w:p>
      <w:pPr>
        <w:pStyle w:val="BodyText"/>
        <w:spacing w:before="10"/>
        <w:rPr>
          <w:rFonts w:ascii="Calibri"/>
          <w:sz w:val="14"/>
        </w:rPr>
      </w:pPr>
    </w:p>
    <w:p>
      <w:pPr>
        <w:spacing w:line="178" w:lineRule="exact" w:before="0"/>
        <w:ind w:left="210" w:right="1521" w:firstLine="0"/>
        <w:jc w:val="both"/>
        <w:rPr>
          <w:rFonts w:ascii="Calibri" w:hAnsi="Calibri"/>
          <w:sz w:val="15"/>
        </w:rPr>
      </w:pPr>
      <w:r>
        <w:rPr>
          <w:rFonts w:ascii="Calibri" w:hAnsi="Calibri"/>
          <w:color w:val="231F20"/>
          <w:w w:val="110"/>
          <w:sz w:val="15"/>
        </w:rPr>
        <w:t>Los aislamientos utilizados en este estudio fueron obtenidos a partir de plantas de pa- tata infectadas con </w:t>
      </w:r>
      <w:r>
        <w:rPr>
          <w:rFonts w:ascii="Trebuchet MS" w:hAnsi="Trebuchet MS"/>
          <w:i/>
          <w:color w:val="231F20"/>
          <w:w w:val="110"/>
          <w:sz w:val="15"/>
        </w:rPr>
        <w:t>Phytophthora</w:t>
      </w:r>
      <w:r>
        <w:rPr>
          <w:rFonts w:ascii="Trebuchet MS" w:hAnsi="Trebuchet MS"/>
          <w:i/>
          <w:color w:val="231F20"/>
          <w:spacing w:val="-20"/>
          <w:w w:val="110"/>
          <w:sz w:val="15"/>
        </w:rPr>
        <w:t> </w:t>
      </w:r>
      <w:r>
        <w:rPr>
          <w:rFonts w:ascii="Trebuchet MS" w:hAnsi="Trebuchet MS"/>
          <w:i/>
          <w:color w:val="231F20"/>
          <w:w w:val="110"/>
          <w:sz w:val="15"/>
        </w:rPr>
        <w:t>infestans </w:t>
      </w:r>
      <w:r>
        <w:rPr>
          <w:rFonts w:ascii="Calibri" w:hAnsi="Calibri"/>
          <w:color w:val="231F20"/>
          <w:w w:val="110"/>
          <w:sz w:val="15"/>
        </w:rPr>
        <w:t>de cultivos comerciales del municipio de Zi- nacantepec (Fig. 1), este municipio destina 611 ha de secano y 147 ha en regadío para el </w:t>
      </w:r>
      <w:r>
        <w:rPr>
          <w:rFonts w:ascii="Calibri" w:hAnsi="Calibri"/>
          <w:color w:val="231F20"/>
          <w:spacing w:val="-3"/>
          <w:w w:val="110"/>
          <w:sz w:val="15"/>
        </w:rPr>
        <w:t>cultivo </w:t>
      </w:r>
      <w:r>
        <w:rPr>
          <w:rFonts w:ascii="Calibri" w:hAnsi="Calibri"/>
          <w:color w:val="231F20"/>
          <w:w w:val="110"/>
          <w:sz w:val="15"/>
        </w:rPr>
        <w:t>de </w:t>
      </w:r>
      <w:r>
        <w:rPr>
          <w:rFonts w:ascii="Calibri" w:hAnsi="Calibri"/>
          <w:color w:val="231F20"/>
          <w:spacing w:val="-3"/>
          <w:w w:val="110"/>
          <w:sz w:val="15"/>
        </w:rPr>
        <w:t>papa, ubicándose como </w:t>
      </w:r>
      <w:r>
        <w:rPr>
          <w:rFonts w:ascii="Calibri" w:hAnsi="Calibri"/>
          <w:color w:val="231F20"/>
          <w:w w:val="110"/>
          <w:sz w:val="15"/>
        </w:rPr>
        <w:t>el </w:t>
      </w:r>
      <w:r>
        <w:rPr>
          <w:rFonts w:ascii="Calibri" w:hAnsi="Calibri"/>
          <w:color w:val="231F20"/>
          <w:spacing w:val="-3"/>
          <w:w w:val="110"/>
          <w:sz w:val="15"/>
        </w:rPr>
        <w:t>segundo </w:t>
      </w:r>
      <w:r>
        <w:rPr>
          <w:rFonts w:ascii="Calibri" w:hAnsi="Calibri"/>
          <w:color w:val="231F20"/>
          <w:w w:val="110"/>
          <w:sz w:val="15"/>
        </w:rPr>
        <w:t>municipio productor de papa del Estado de México. La mayoría de los aislamientos fue- ron </w:t>
      </w:r>
      <w:r>
        <w:rPr>
          <w:rFonts w:ascii="Calibri" w:hAnsi="Calibri"/>
          <w:color w:val="231F20"/>
          <w:spacing w:val="-3"/>
          <w:w w:val="110"/>
          <w:sz w:val="15"/>
        </w:rPr>
        <w:t>obtenidos </w:t>
      </w:r>
      <w:r>
        <w:rPr>
          <w:rFonts w:ascii="Calibri" w:hAnsi="Calibri"/>
          <w:color w:val="231F20"/>
          <w:w w:val="110"/>
          <w:sz w:val="15"/>
        </w:rPr>
        <w:t>de </w:t>
      </w:r>
      <w:r>
        <w:rPr>
          <w:rFonts w:ascii="Calibri" w:hAnsi="Calibri"/>
          <w:color w:val="231F20"/>
          <w:spacing w:val="-3"/>
          <w:w w:val="110"/>
          <w:sz w:val="15"/>
        </w:rPr>
        <w:t>cultivos </w:t>
      </w:r>
      <w:r>
        <w:rPr>
          <w:rFonts w:ascii="Calibri" w:hAnsi="Calibri"/>
          <w:color w:val="231F20"/>
          <w:w w:val="110"/>
          <w:sz w:val="15"/>
        </w:rPr>
        <w:t>de </w:t>
      </w:r>
      <w:r>
        <w:rPr>
          <w:rFonts w:ascii="Calibri" w:hAnsi="Calibri"/>
          <w:color w:val="231F20"/>
          <w:spacing w:val="-3"/>
          <w:w w:val="110"/>
          <w:sz w:val="15"/>
        </w:rPr>
        <w:t>patata </w:t>
      </w:r>
      <w:r>
        <w:rPr>
          <w:rFonts w:ascii="Calibri" w:hAnsi="Calibri"/>
          <w:color w:val="231F20"/>
          <w:spacing w:val="-6"/>
          <w:w w:val="110"/>
          <w:sz w:val="15"/>
        </w:rPr>
        <w:t>cv. </w:t>
      </w:r>
      <w:r>
        <w:rPr>
          <w:rFonts w:ascii="Trebuchet MS" w:hAnsi="Trebuchet MS"/>
          <w:i/>
          <w:color w:val="231F20"/>
          <w:spacing w:val="-3"/>
          <w:w w:val="110"/>
          <w:sz w:val="15"/>
        </w:rPr>
        <w:t>Alpha</w:t>
      </w:r>
      <w:r>
        <w:rPr>
          <w:rFonts w:ascii="Calibri" w:hAnsi="Calibri"/>
          <w:color w:val="231F20"/>
          <w:spacing w:val="-3"/>
          <w:w w:val="110"/>
          <w:sz w:val="15"/>
        </w:rPr>
        <w:t>, </w:t>
      </w:r>
      <w:r>
        <w:rPr>
          <w:rFonts w:ascii="Calibri" w:hAnsi="Calibri"/>
          <w:color w:val="231F20"/>
          <w:w w:val="110"/>
          <w:sz w:val="15"/>
        </w:rPr>
        <w:t>susceptible al patógeno. Veinte aislados fue- ron transferidos a partir de punta de hifa a medio de cultivo V8 y mantenidos a una</w:t>
      </w:r>
      <w:r>
        <w:rPr>
          <w:rFonts w:ascii="Calibri" w:hAnsi="Calibri"/>
          <w:color w:val="231F20"/>
          <w:spacing w:val="-21"/>
          <w:w w:val="110"/>
          <w:sz w:val="15"/>
        </w:rPr>
        <w:t> </w:t>
      </w:r>
      <w:r>
        <w:rPr>
          <w:rFonts w:ascii="Calibri" w:hAnsi="Calibri"/>
          <w:color w:val="231F20"/>
          <w:w w:val="110"/>
          <w:sz w:val="15"/>
        </w:rPr>
        <w:t>tem- peratura de 19</w:t>
      </w:r>
      <w:r>
        <w:rPr>
          <w:rFonts w:ascii="Calibri" w:hAnsi="Calibri"/>
          <w:color w:val="231F20"/>
          <w:w w:val="110"/>
          <w:position w:val="5"/>
          <w:sz w:val="10"/>
        </w:rPr>
        <w:t>o</w:t>
      </w:r>
      <w:r>
        <w:rPr>
          <w:rFonts w:ascii="Calibri" w:hAnsi="Calibri"/>
          <w:color w:val="231F20"/>
          <w:w w:val="110"/>
          <w:sz w:val="15"/>
        </w:rPr>
        <w:t>C en </w:t>
      </w:r>
      <w:r>
        <w:rPr>
          <w:rFonts w:ascii="Calibri" w:hAnsi="Calibri"/>
          <w:color w:val="231F20"/>
          <w:spacing w:val="10"/>
          <w:w w:val="110"/>
          <w:sz w:val="15"/>
        </w:rPr>
        <w:t> </w:t>
      </w:r>
      <w:r>
        <w:rPr>
          <w:rFonts w:ascii="Calibri" w:hAnsi="Calibri"/>
          <w:color w:val="231F20"/>
          <w:w w:val="110"/>
          <w:sz w:val="15"/>
        </w:rPr>
        <w:t>oscuridad.</w:t>
      </w:r>
    </w:p>
    <w:p>
      <w:pPr>
        <w:spacing w:line="178" w:lineRule="exact" w:before="101"/>
        <w:ind w:left="210" w:right="1521" w:firstLine="0"/>
        <w:jc w:val="both"/>
        <w:rPr>
          <w:rFonts w:ascii="Calibri" w:hAnsi="Calibri"/>
          <w:sz w:val="15"/>
        </w:rPr>
      </w:pPr>
      <w:r>
        <w:rPr>
          <w:rFonts w:ascii="Calibri" w:hAnsi="Calibri"/>
          <w:color w:val="231F20"/>
          <w:w w:val="110"/>
          <w:sz w:val="15"/>
        </w:rPr>
        <w:t>El código y número de los aislados se resu- men en Tabla 1.</w:t>
      </w:r>
    </w:p>
    <w:p>
      <w:pPr>
        <w:pStyle w:val="BodyText"/>
        <w:rPr>
          <w:rFonts w:ascii="Calibri"/>
          <w:sz w:val="14"/>
        </w:rPr>
      </w:pPr>
    </w:p>
    <w:p>
      <w:pPr>
        <w:spacing w:before="98"/>
        <w:ind w:left="210" w:right="0" w:firstLine="0"/>
        <w:jc w:val="both"/>
        <w:rPr>
          <w:rFonts w:ascii="Calibri" w:hAnsi="Calibri"/>
          <w:sz w:val="15"/>
        </w:rPr>
      </w:pPr>
      <w:r>
        <w:rPr>
          <w:rFonts w:ascii="Calibri" w:hAnsi="Calibri"/>
          <w:color w:val="231F20"/>
          <w:w w:val="115"/>
          <w:sz w:val="15"/>
        </w:rPr>
        <w:t>Determinación del tipo de compatibilidad</w:t>
      </w:r>
    </w:p>
    <w:p>
      <w:pPr>
        <w:pStyle w:val="BodyText"/>
        <w:spacing w:before="10"/>
        <w:rPr>
          <w:rFonts w:ascii="Calibri"/>
          <w:sz w:val="14"/>
        </w:rPr>
      </w:pPr>
    </w:p>
    <w:p>
      <w:pPr>
        <w:spacing w:line="178" w:lineRule="exact" w:before="0"/>
        <w:ind w:left="210" w:right="1523" w:firstLine="0"/>
        <w:jc w:val="both"/>
        <w:rPr>
          <w:rFonts w:ascii="Calibri" w:hAnsi="Calibri"/>
          <w:sz w:val="15"/>
        </w:rPr>
      </w:pPr>
      <w:r>
        <w:rPr>
          <w:rFonts w:ascii="Calibri" w:hAnsi="Calibri"/>
          <w:color w:val="231F20"/>
          <w:w w:val="115"/>
          <w:sz w:val="15"/>
        </w:rPr>
        <w:t>Los aislados fueron enfrentados para</w:t>
      </w:r>
      <w:r>
        <w:rPr>
          <w:rFonts w:ascii="Calibri" w:hAnsi="Calibri"/>
          <w:color w:val="231F20"/>
          <w:spacing w:val="-28"/>
          <w:w w:val="115"/>
          <w:sz w:val="15"/>
        </w:rPr>
        <w:t> </w:t>
      </w:r>
      <w:r>
        <w:rPr>
          <w:rFonts w:ascii="Calibri" w:hAnsi="Calibri"/>
          <w:color w:val="231F20"/>
          <w:spacing w:val="-2"/>
          <w:w w:val="115"/>
          <w:sz w:val="15"/>
        </w:rPr>
        <w:t>deter- </w:t>
      </w:r>
      <w:r>
        <w:rPr>
          <w:rFonts w:ascii="Calibri" w:hAnsi="Calibri"/>
          <w:color w:val="231F20"/>
          <w:w w:val="115"/>
          <w:sz w:val="15"/>
        </w:rPr>
        <w:t>minar</w:t>
      </w:r>
      <w:r>
        <w:rPr>
          <w:rFonts w:ascii="Calibri" w:hAnsi="Calibri"/>
          <w:color w:val="231F20"/>
          <w:spacing w:val="-19"/>
          <w:w w:val="115"/>
          <w:sz w:val="15"/>
        </w:rPr>
        <w:t> </w:t>
      </w:r>
      <w:r>
        <w:rPr>
          <w:rFonts w:ascii="Calibri" w:hAnsi="Calibri"/>
          <w:color w:val="231F20"/>
          <w:w w:val="115"/>
          <w:sz w:val="15"/>
        </w:rPr>
        <w:t>su</w:t>
      </w:r>
      <w:r>
        <w:rPr>
          <w:rFonts w:ascii="Calibri" w:hAnsi="Calibri"/>
          <w:color w:val="231F20"/>
          <w:spacing w:val="-19"/>
          <w:w w:val="115"/>
          <w:sz w:val="15"/>
        </w:rPr>
        <w:t> </w:t>
      </w:r>
      <w:r>
        <w:rPr>
          <w:rFonts w:ascii="Calibri" w:hAnsi="Calibri"/>
          <w:color w:val="231F20"/>
          <w:w w:val="115"/>
          <w:sz w:val="15"/>
        </w:rPr>
        <w:t>tipo</w:t>
      </w:r>
      <w:r>
        <w:rPr>
          <w:rFonts w:ascii="Calibri" w:hAnsi="Calibri"/>
          <w:color w:val="231F20"/>
          <w:spacing w:val="-19"/>
          <w:w w:val="115"/>
          <w:sz w:val="15"/>
        </w:rPr>
        <w:t> </w:t>
      </w:r>
      <w:r>
        <w:rPr>
          <w:rFonts w:ascii="Calibri" w:hAnsi="Calibri"/>
          <w:color w:val="231F20"/>
          <w:w w:val="115"/>
          <w:sz w:val="15"/>
        </w:rPr>
        <w:t>de</w:t>
      </w:r>
      <w:r>
        <w:rPr>
          <w:rFonts w:ascii="Calibri" w:hAnsi="Calibri"/>
          <w:color w:val="231F20"/>
          <w:spacing w:val="-19"/>
          <w:w w:val="115"/>
          <w:sz w:val="15"/>
        </w:rPr>
        <w:t> </w:t>
      </w:r>
      <w:r>
        <w:rPr>
          <w:rFonts w:ascii="Calibri" w:hAnsi="Calibri"/>
          <w:color w:val="231F20"/>
          <w:w w:val="115"/>
          <w:sz w:val="15"/>
        </w:rPr>
        <w:t>compatibilidad</w:t>
      </w:r>
      <w:r>
        <w:rPr>
          <w:rFonts w:ascii="Calibri" w:hAnsi="Calibri"/>
          <w:color w:val="231F20"/>
          <w:spacing w:val="-19"/>
          <w:w w:val="115"/>
          <w:sz w:val="15"/>
        </w:rPr>
        <w:t> </w:t>
      </w:r>
      <w:r>
        <w:rPr>
          <w:rFonts w:ascii="Calibri" w:hAnsi="Calibri"/>
          <w:color w:val="231F20"/>
          <w:w w:val="115"/>
          <w:sz w:val="15"/>
        </w:rPr>
        <w:t>con</w:t>
      </w:r>
      <w:r>
        <w:rPr>
          <w:rFonts w:ascii="Calibri" w:hAnsi="Calibri"/>
          <w:color w:val="231F20"/>
          <w:spacing w:val="-19"/>
          <w:w w:val="115"/>
          <w:sz w:val="15"/>
        </w:rPr>
        <w:t> </w:t>
      </w:r>
      <w:r>
        <w:rPr>
          <w:rFonts w:ascii="Calibri" w:hAnsi="Calibri"/>
          <w:color w:val="231F20"/>
          <w:w w:val="115"/>
          <w:sz w:val="15"/>
        </w:rPr>
        <w:t>los</w:t>
      </w:r>
      <w:r>
        <w:rPr>
          <w:rFonts w:ascii="Calibri" w:hAnsi="Calibri"/>
          <w:color w:val="231F20"/>
          <w:spacing w:val="-19"/>
          <w:w w:val="115"/>
          <w:sz w:val="15"/>
        </w:rPr>
        <w:t> </w:t>
      </w:r>
      <w:r>
        <w:rPr>
          <w:rFonts w:ascii="Calibri" w:hAnsi="Calibri"/>
          <w:color w:val="231F20"/>
          <w:spacing w:val="-2"/>
          <w:w w:val="115"/>
          <w:sz w:val="15"/>
        </w:rPr>
        <w:t>aisla- </w:t>
      </w:r>
      <w:r>
        <w:rPr>
          <w:rFonts w:ascii="Calibri" w:hAnsi="Calibri"/>
          <w:color w:val="231F20"/>
          <w:w w:val="115"/>
          <w:sz w:val="15"/>
        </w:rPr>
        <w:t>dos de referencia J104 (A1) y J204 (A2) </w:t>
      </w:r>
      <w:r>
        <w:rPr>
          <w:rFonts w:ascii="Calibri" w:hAnsi="Calibri"/>
          <w:color w:val="231F20"/>
          <w:spacing w:val="-2"/>
          <w:w w:val="115"/>
          <w:sz w:val="15"/>
        </w:rPr>
        <w:t>que </w:t>
      </w:r>
      <w:r>
        <w:rPr>
          <w:rFonts w:ascii="Calibri" w:hAnsi="Calibri"/>
          <w:color w:val="231F20"/>
          <w:spacing w:val="-3"/>
          <w:w w:val="115"/>
          <w:sz w:val="15"/>
        </w:rPr>
        <w:t>fueron</w:t>
      </w:r>
      <w:r>
        <w:rPr>
          <w:rFonts w:ascii="Calibri" w:hAnsi="Calibri"/>
          <w:color w:val="231F20"/>
          <w:spacing w:val="-19"/>
          <w:w w:val="115"/>
          <w:sz w:val="15"/>
        </w:rPr>
        <w:t> </w:t>
      </w:r>
      <w:r>
        <w:rPr>
          <w:rFonts w:ascii="Calibri" w:hAnsi="Calibri"/>
          <w:color w:val="231F20"/>
          <w:spacing w:val="-3"/>
          <w:w w:val="115"/>
          <w:sz w:val="15"/>
        </w:rPr>
        <w:t>proporcionados</w:t>
      </w:r>
      <w:r>
        <w:rPr>
          <w:rFonts w:ascii="Calibri" w:hAnsi="Calibri"/>
          <w:color w:val="231F20"/>
          <w:spacing w:val="-19"/>
          <w:w w:val="115"/>
          <w:sz w:val="15"/>
        </w:rPr>
        <w:t> </w:t>
      </w:r>
      <w:r>
        <w:rPr>
          <w:rFonts w:ascii="Calibri" w:hAnsi="Calibri"/>
          <w:color w:val="231F20"/>
          <w:w w:val="115"/>
          <w:sz w:val="15"/>
        </w:rPr>
        <w:t>por</w:t>
      </w:r>
      <w:r>
        <w:rPr>
          <w:rFonts w:ascii="Calibri" w:hAnsi="Calibri"/>
          <w:color w:val="231F20"/>
          <w:spacing w:val="-19"/>
          <w:w w:val="115"/>
          <w:sz w:val="15"/>
        </w:rPr>
        <w:t> </w:t>
      </w:r>
      <w:r>
        <w:rPr>
          <w:rFonts w:ascii="Calibri" w:hAnsi="Calibri"/>
          <w:color w:val="231F20"/>
          <w:w w:val="115"/>
          <w:sz w:val="15"/>
        </w:rPr>
        <w:t>la</w:t>
      </w:r>
      <w:r>
        <w:rPr>
          <w:rFonts w:ascii="Calibri" w:hAnsi="Calibri"/>
          <w:color w:val="231F20"/>
          <w:spacing w:val="-19"/>
          <w:w w:val="115"/>
          <w:sz w:val="15"/>
        </w:rPr>
        <w:t> </w:t>
      </w:r>
      <w:r>
        <w:rPr>
          <w:rFonts w:ascii="Calibri" w:hAnsi="Calibri"/>
          <w:color w:val="231F20"/>
          <w:spacing w:val="-3"/>
          <w:w w:val="115"/>
          <w:sz w:val="15"/>
        </w:rPr>
        <w:t>Universidad</w:t>
      </w:r>
      <w:r>
        <w:rPr>
          <w:rFonts w:ascii="Calibri" w:hAnsi="Calibri"/>
          <w:color w:val="231F20"/>
          <w:spacing w:val="-19"/>
          <w:w w:val="115"/>
          <w:sz w:val="15"/>
        </w:rPr>
        <w:t> </w:t>
      </w:r>
      <w:r>
        <w:rPr>
          <w:rFonts w:ascii="Calibri" w:hAnsi="Calibri"/>
          <w:color w:val="231F20"/>
          <w:spacing w:val="-3"/>
          <w:w w:val="115"/>
          <w:sz w:val="15"/>
        </w:rPr>
        <w:t>Mi- choacana</w:t>
      </w:r>
      <w:r>
        <w:rPr>
          <w:rFonts w:ascii="Calibri" w:hAnsi="Calibri"/>
          <w:color w:val="231F20"/>
          <w:spacing w:val="-17"/>
          <w:w w:val="115"/>
          <w:sz w:val="15"/>
        </w:rPr>
        <w:t> </w:t>
      </w:r>
      <w:r>
        <w:rPr>
          <w:rFonts w:ascii="Calibri" w:hAnsi="Calibri"/>
          <w:color w:val="231F20"/>
          <w:w w:val="115"/>
          <w:sz w:val="15"/>
        </w:rPr>
        <w:t>de</w:t>
      </w:r>
      <w:r>
        <w:rPr>
          <w:rFonts w:ascii="Calibri" w:hAnsi="Calibri"/>
          <w:color w:val="231F20"/>
          <w:spacing w:val="-17"/>
          <w:w w:val="115"/>
          <w:sz w:val="15"/>
        </w:rPr>
        <w:t> </w:t>
      </w:r>
      <w:r>
        <w:rPr>
          <w:rFonts w:ascii="Calibri" w:hAnsi="Calibri"/>
          <w:color w:val="231F20"/>
          <w:w w:val="115"/>
          <w:sz w:val="15"/>
        </w:rPr>
        <w:t>San</w:t>
      </w:r>
      <w:r>
        <w:rPr>
          <w:rFonts w:ascii="Calibri" w:hAnsi="Calibri"/>
          <w:color w:val="231F20"/>
          <w:spacing w:val="-17"/>
          <w:w w:val="115"/>
          <w:sz w:val="15"/>
        </w:rPr>
        <w:t> </w:t>
      </w:r>
      <w:r>
        <w:rPr>
          <w:rFonts w:ascii="Calibri" w:hAnsi="Calibri"/>
          <w:color w:val="231F20"/>
          <w:spacing w:val="-3"/>
          <w:w w:val="115"/>
          <w:sz w:val="15"/>
        </w:rPr>
        <w:t>Nicolás</w:t>
      </w:r>
      <w:r>
        <w:rPr>
          <w:rFonts w:ascii="Calibri" w:hAnsi="Calibri"/>
          <w:color w:val="231F20"/>
          <w:spacing w:val="-17"/>
          <w:w w:val="115"/>
          <w:sz w:val="15"/>
        </w:rPr>
        <w:t> </w:t>
      </w:r>
      <w:r>
        <w:rPr>
          <w:rFonts w:ascii="Calibri" w:hAnsi="Calibri"/>
          <w:color w:val="231F20"/>
          <w:w w:val="115"/>
          <w:sz w:val="15"/>
        </w:rPr>
        <w:t>de</w:t>
      </w:r>
      <w:r>
        <w:rPr>
          <w:rFonts w:ascii="Calibri" w:hAnsi="Calibri"/>
          <w:color w:val="231F20"/>
          <w:spacing w:val="-17"/>
          <w:w w:val="115"/>
          <w:sz w:val="15"/>
        </w:rPr>
        <w:t> </w:t>
      </w:r>
      <w:r>
        <w:rPr>
          <w:rFonts w:ascii="Calibri" w:hAnsi="Calibri"/>
          <w:color w:val="231F20"/>
          <w:spacing w:val="-3"/>
          <w:w w:val="115"/>
          <w:sz w:val="15"/>
        </w:rPr>
        <w:t>Hidalgo</w:t>
      </w:r>
      <w:r>
        <w:rPr>
          <w:rFonts w:ascii="Calibri" w:hAnsi="Calibri"/>
          <w:color w:val="231F20"/>
          <w:spacing w:val="-17"/>
          <w:w w:val="115"/>
          <w:sz w:val="15"/>
        </w:rPr>
        <w:t> </w:t>
      </w:r>
      <w:r>
        <w:rPr>
          <w:rFonts w:ascii="Calibri" w:hAnsi="Calibri"/>
          <w:color w:val="231F20"/>
          <w:spacing w:val="-3"/>
          <w:w w:val="115"/>
          <w:sz w:val="15"/>
        </w:rPr>
        <w:t>(México). </w:t>
      </w:r>
      <w:r>
        <w:rPr>
          <w:rFonts w:ascii="Calibri" w:hAnsi="Calibri"/>
          <w:color w:val="231F20"/>
          <w:w w:val="115"/>
          <w:sz w:val="15"/>
        </w:rPr>
        <w:t>Los enfrentamientos se realizaron bajo </w:t>
      </w:r>
      <w:r>
        <w:rPr>
          <w:rFonts w:ascii="Calibri" w:hAnsi="Calibri"/>
          <w:color w:val="231F20"/>
          <w:spacing w:val="-2"/>
          <w:w w:val="115"/>
          <w:sz w:val="15"/>
        </w:rPr>
        <w:t>una </w:t>
      </w:r>
      <w:r>
        <w:rPr>
          <w:rFonts w:ascii="Calibri" w:hAnsi="Calibri"/>
          <w:color w:val="231F20"/>
          <w:spacing w:val="-5"/>
          <w:w w:val="115"/>
          <w:sz w:val="15"/>
        </w:rPr>
        <w:t>temperatura</w:t>
      </w:r>
      <w:r>
        <w:rPr>
          <w:rFonts w:ascii="Calibri" w:hAnsi="Calibri"/>
          <w:color w:val="231F20"/>
          <w:spacing w:val="-14"/>
          <w:w w:val="115"/>
          <w:sz w:val="15"/>
        </w:rPr>
        <w:t> </w:t>
      </w:r>
      <w:r>
        <w:rPr>
          <w:rFonts w:ascii="Calibri" w:hAnsi="Calibri"/>
          <w:color w:val="231F20"/>
          <w:spacing w:val="-3"/>
          <w:w w:val="115"/>
          <w:sz w:val="15"/>
        </w:rPr>
        <w:t>de</w:t>
      </w:r>
      <w:r>
        <w:rPr>
          <w:rFonts w:ascii="Calibri" w:hAnsi="Calibri"/>
          <w:color w:val="231F20"/>
          <w:spacing w:val="-14"/>
          <w:w w:val="115"/>
          <w:sz w:val="15"/>
        </w:rPr>
        <w:t> </w:t>
      </w:r>
      <w:r>
        <w:rPr>
          <w:rFonts w:ascii="Calibri" w:hAnsi="Calibri"/>
          <w:color w:val="231F20"/>
          <w:spacing w:val="-4"/>
          <w:w w:val="115"/>
          <w:sz w:val="15"/>
        </w:rPr>
        <w:t>15</w:t>
      </w:r>
      <w:r>
        <w:rPr>
          <w:rFonts w:ascii="Calibri" w:hAnsi="Calibri"/>
          <w:color w:val="231F20"/>
          <w:spacing w:val="-4"/>
          <w:w w:val="115"/>
          <w:position w:val="5"/>
          <w:sz w:val="10"/>
        </w:rPr>
        <w:t>o</w:t>
      </w:r>
      <w:r>
        <w:rPr>
          <w:rFonts w:ascii="Calibri" w:hAnsi="Calibri"/>
          <w:color w:val="231F20"/>
          <w:spacing w:val="-4"/>
          <w:w w:val="115"/>
          <w:sz w:val="15"/>
        </w:rPr>
        <w:t>C</w:t>
      </w:r>
      <w:r>
        <w:rPr>
          <w:rFonts w:ascii="Calibri" w:hAnsi="Calibri"/>
          <w:color w:val="231F20"/>
          <w:spacing w:val="-14"/>
          <w:w w:val="115"/>
          <w:sz w:val="15"/>
        </w:rPr>
        <w:t> </w:t>
      </w:r>
      <w:r>
        <w:rPr>
          <w:rFonts w:ascii="Calibri" w:hAnsi="Calibri"/>
          <w:color w:val="231F20"/>
          <w:w w:val="115"/>
          <w:sz w:val="15"/>
        </w:rPr>
        <w:t>y</w:t>
      </w:r>
      <w:r>
        <w:rPr>
          <w:rFonts w:ascii="Calibri" w:hAnsi="Calibri"/>
          <w:color w:val="231F20"/>
          <w:spacing w:val="-14"/>
          <w:w w:val="115"/>
          <w:sz w:val="15"/>
        </w:rPr>
        <w:t> </w:t>
      </w:r>
      <w:r>
        <w:rPr>
          <w:rFonts w:ascii="Calibri" w:hAnsi="Calibri"/>
          <w:color w:val="231F20"/>
          <w:spacing w:val="-3"/>
          <w:w w:val="115"/>
          <w:sz w:val="15"/>
        </w:rPr>
        <w:t>en</w:t>
      </w:r>
      <w:r>
        <w:rPr>
          <w:rFonts w:ascii="Calibri" w:hAnsi="Calibri"/>
          <w:color w:val="231F20"/>
          <w:spacing w:val="-14"/>
          <w:w w:val="115"/>
          <w:sz w:val="15"/>
        </w:rPr>
        <w:t> </w:t>
      </w:r>
      <w:r>
        <w:rPr>
          <w:rFonts w:ascii="Calibri" w:hAnsi="Calibri"/>
          <w:color w:val="231F20"/>
          <w:spacing w:val="-5"/>
          <w:w w:val="115"/>
          <w:sz w:val="15"/>
        </w:rPr>
        <w:t>oscuridad</w:t>
      </w:r>
      <w:r>
        <w:rPr>
          <w:rFonts w:ascii="Calibri" w:hAnsi="Calibri"/>
          <w:color w:val="231F20"/>
          <w:spacing w:val="-14"/>
          <w:w w:val="115"/>
          <w:sz w:val="15"/>
        </w:rPr>
        <w:t> </w:t>
      </w:r>
      <w:r>
        <w:rPr>
          <w:rFonts w:ascii="Calibri" w:hAnsi="Calibri"/>
          <w:color w:val="231F20"/>
          <w:spacing w:val="-5"/>
          <w:w w:val="115"/>
          <w:sz w:val="15"/>
        </w:rPr>
        <w:t>utilizando </w:t>
      </w:r>
      <w:r>
        <w:rPr>
          <w:rFonts w:ascii="Calibri" w:hAnsi="Calibri"/>
          <w:color w:val="231F20"/>
          <w:w w:val="115"/>
          <w:sz w:val="15"/>
        </w:rPr>
        <w:t>medio</w:t>
      </w:r>
      <w:r>
        <w:rPr>
          <w:rFonts w:ascii="Calibri" w:hAnsi="Calibri"/>
          <w:color w:val="231F20"/>
          <w:spacing w:val="-18"/>
          <w:w w:val="115"/>
          <w:sz w:val="15"/>
        </w:rPr>
        <w:t> </w:t>
      </w:r>
      <w:r>
        <w:rPr>
          <w:rFonts w:ascii="Calibri" w:hAnsi="Calibri"/>
          <w:color w:val="231F20"/>
          <w:spacing w:val="-3"/>
          <w:w w:val="115"/>
          <w:sz w:val="15"/>
        </w:rPr>
        <w:t>agar-jugo</w:t>
      </w:r>
      <w:r>
        <w:rPr>
          <w:rFonts w:ascii="Calibri" w:hAnsi="Calibri"/>
          <w:color w:val="231F20"/>
          <w:spacing w:val="-18"/>
          <w:w w:val="115"/>
          <w:sz w:val="15"/>
        </w:rPr>
        <w:t> </w:t>
      </w:r>
      <w:r>
        <w:rPr>
          <w:rFonts w:ascii="Calibri" w:hAnsi="Calibri"/>
          <w:color w:val="231F20"/>
          <w:w w:val="115"/>
          <w:sz w:val="15"/>
        </w:rPr>
        <w:t>V8,</w:t>
      </w:r>
      <w:r>
        <w:rPr>
          <w:rFonts w:ascii="Calibri" w:hAnsi="Calibri"/>
          <w:color w:val="231F20"/>
          <w:spacing w:val="-18"/>
          <w:w w:val="115"/>
          <w:sz w:val="15"/>
        </w:rPr>
        <w:t> </w:t>
      </w:r>
      <w:r>
        <w:rPr>
          <w:rFonts w:ascii="Calibri" w:hAnsi="Calibri"/>
          <w:color w:val="231F20"/>
          <w:w w:val="115"/>
          <w:sz w:val="15"/>
        </w:rPr>
        <w:t>de</w:t>
      </w:r>
      <w:r>
        <w:rPr>
          <w:rFonts w:ascii="Calibri" w:hAnsi="Calibri"/>
          <w:color w:val="231F20"/>
          <w:spacing w:val="-18"/>
          <w:w w:val="115"/>
          <w:sz w:val="15"/>
        </w:rPr>
        <w:t> </w:t>
      </w:r>
      <w:r>
        <w:rPr>
          <w:rFonts w:ascii="Calibri" w:hAnsi="Calibri"/>
          <w:color w:val="231F20"/>
          <w:w w:val="115"/>
          <w:sz w:val="15"/>
        </w:rPr>
        <w:t>manera</w:t>
      </w:r>
      <w:r>
        <w:rPr>
          <w:rFonts w:ascii="Calibri" w:hAnsi="Calibri"/>
          <w:color w:val="231F20"/>
          <w:spacing w:val="-18"/>
          <w:w w:val="115"/>
          <w:sz w:val="15"/>
        </w:rPr>
        <w:t> </w:t>
      </w:r>
      <w:r>
        <w:rPr>
          <w:rFonts w:ascii="Calibri" w:hAnsi="Calibri"/>
          <w:color w:val="231F20"/>
          <w:w w:val="115"/>
          <w:sz w:val="15"/>
        </w:rPr>
        <w:t>que</w:t>
      </w:r>
      <w:r>
        <w:rPr>
          <w:rFonts w:ascii="Calibri" w:hAnsi="Calibri"/>
          <w:color w:val="231F20"/>
          <w:spacing w:val="-18"/>
          <w:w w:val="115"/>
          <w:sz w:val="15"/>
        </w:rPr>
        <w:t> </w:t>
      </w:r>
      <w:r>
        <w:rPr>
          <w:rFonts w:ascii="Calibri" w:hAnsi="Calibri"/>
          <w:color w:val="231F20"/>
          <w:w w:val="115"/>
          <w:sz w:val="15"/>
        </w:rPr>
        <w:t>cada</w:t>
      </w:r>
      <w:r>
        <w:rPr>
          <w:rFonts w:ascii="Calibri" w:hAnsi="Calibri"/>
          <w:color w:val="231F20"/>
          <w:spacing w:val="-18"/>
          <w:w w:val="115"/>
          <w:sz w:val="15"/>
        </w:rPr>
        <w:t> </w:t>
      </w:r>
      <w:r>
        <w:rPr>
          <w:rFonts w:ascii="Calibri" w:hAnsi="Calibri"/>
          <w:color w:val="231F20"/>
          <w:w w:val="115"/>
          <w:sz w:val="15"/>
        </w:rPr>
        <w:t>ais-</w:t>
      </w:r>
    </w:p>
    <w:p>
      <w:pPr>
        <w:spacing w:after="0" w:line="178" w:lineRule="exact"/>
        <w:jc w:val="both"/>
        <w:rPr>
          <w:rFonts w:ascii="Calibri" w:hAnsi="Calibri"/>
          <w:sz w:val="15"/>
        </w:rPr>
        <w:sectPr>
          <w:type w:val="continuous"/>
          <w:pgSz w:w="12240" w:h="15840"/>
          <w:pgMar w:top="1500" w:bottom="1820" w:left="1460" w:right="1440"/>
          <w:cols w:num="2" w:equalWidth="0">
            <w:col w:w="4536" w:space="40"/>
            <w:col w:w="4764"/>
          </w:cols>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5"/>
        <w:rPr>
          <w:rFonts w:ascii="Calibri"/>
          <w:sz w:val="19"/>
        </w:rPr>
      </w:pPr>
    </w:p>
    <w:p>
      <w:pPr>
        <w:tabs>
          <w:tab w:pos="5018" w:val="left" w:leader="none"/>
        </w:tabs>
        <w:spacing w:before="82"/>
        <w:ind w:left="1503" w:right="0" w:firstLine="0"/>
        <w:jc w:val="left"/>
        <w:rPr>
          <w:rFonts w:ascii="Calibri" w:hAnsi="Calibri"/>
          <w:i/>
          <w:sz w:val="12"/>
        </w:rPr>
      </w:pPr>
      <w:r>
        <w:rPr>
          <w:color w:val="231F20"/>
          <w:w w:val="115"/>
          <w:sz w:val="13"/>
        </w:rPr>
        <w:t>410</w:t>
        <w:tab/>
      </w:r>
      <w:r>
        <w:rPr>
          <w:rFonts w:ascii="Calibri" w:hAnsi="Calibri"/>
          <w:i/>
          <w:color w:val="231F20"/>
          <w:w w:val="115"/>
          <w:sz w:val="13"/>
        </w:rPr>
        <w:t>López-Orona et al. ITEA </w:t>
      </w:r>
      <w:r>
        <w:rPr>
          <w:rFonts w:ascii="Calibri" w:hAnsi="Calibri"/>
          <w:i/>
          <w:color w:val="231F20"/>
          <w:w w:val="115"/>
          <w:sz w:val="12"/>
        </w:rPr>
        <w:t>(2013), 109 (4),</w:t>
      </w:r>
      <w:r>
        <w:rPr>
          <w:rFonts w:ascii="Calibri" w:hAnsi="Calibri"/>
          <w:i/>
          <w:color w:val="231F20"/>
          <w:spacing w:val="-7"/>
          <w:w w:val="115"/>
          <w:sz w:val="12"/>
        </w:rPr>
        <w:t> </w:t>
      </w:r>
      <w:r>
        <w:rPr>
          <w:rFonts w:ascii="Calibri" w:hAnsi="Calibri"/>
          <w:i/>
          <w:color w:val="231F20"/>
          <w:w w:val="115"/>
          <w:sz w:val="12"/>
        </w:rPr>
        <w:t>408-414</w:t>
      </w:r>
    </w:p>
    <w:p>
      <w:pPr>
        <w:pStyle w:val="BodyText"/>
        <w:rPr>
          <w:rFonts w:ascii="Calibri"/>
          <w:i/>
          <w:sz w:val="20"/>
        </w:rPr>
      </w:pPr>
    </w:p>
    <w:p>
      <w:pPr>
        <w:pStyle w:val="BodyText"/>
        <w:rPr>
          <w:rFonts w:ascii="Calibri"/>
          <w:i/>
          <w:sz w:val="20"/>
        </w:rPr>
      </w:pPr>
    </w:p>
    <w:p>
      <w:pPr>
        <w:pStyle w:val="BodyText"/>
        <w:spacing w:before="10"/>
        <w:rPr>
          <w:rFonts w:ascii="Calibri"/>
          <w:i/>
          <w:sz w:val="14"/>
        </w:rPr>
      </w:pPr>
      <w:r>
        <w:rPr/>
        <w:pict>
          <v:group style="position:absolute;margin-left:148.161591pt;margin-top:11.001311pt;width:315.7pt;height:372pt;mso-position-horizontal-relative:page;mso-position-vertical-relative:paragraph;z-index:2656;mso-wrap-distance-left:0;mso-wrap-distance-right:0" coordorigin="2963,220" coordsize="6314,7440">
            <v:shape style="position:absolute;left:3059;top:294;width:6121;height:7292" type="#_x0000_t75" stroked="false">
              <v:imagedata r:id="rId54" o:title=""/>
            </v:shape>
            <v:rect style="position:absolute;left:2967;top:224;width:6305;height:7431" filled="false" stroked="true" strokeweight=".371182pt" strokecolor="#231f20"/>
            <w10:wrap type="topAndBottom"/>
          </v:group>
        </w:pict>
      </w:r>
    </w:p>
    <w:p>
      <w:pPr>
        <w:pStyle w:val="BodyText"/>
        <w:spacing w:before="11"/>
        <w:rPr>
          <w:rFonts w:ascii="Calibri"/>
          <w:i/>
          <w:sz w:val="9"/>
        </w:rPr>
      </w:pPr>
    </w:p>
    <w:p>
      <w:pPr>
        <w:spacing w:line="259" w:lineRule="auto" w:before="0"/>
        <w:ind w:left="2159" w:right="2178" w:firstLine="0"/>
        <w:jc w:val="center"/>
        <w:rPr>
          <w:sz w:val="13"/>
        </w:rPr>
      </w:pPr>
      <w:r>
        <w:rPr>
          <w:color w:val="231F20"/>
          <w:w w:val="105"/>
          <w:sz w:val="13"/>
        </w:rPr>
        <w:t>Figura 1. Localización de los predios de papa de donde se obtuvieron los aislados de </w:t>
      </w:r>
      <w:r>
        <w:rPr>
          <w:rFonts w:ascii="Calibri" w:hAnsi="Calibri"/>
          <w:i/>
          <w:color w:val="231F20"/>
          <w:w w:val="105"/>
          <w:sz w:val="13"/>
        </w:rPr>
        <w:t>Phytophthora  infestans  </w:t>
      </w:r>
      <w:r>
        <w:rPr>
          <w:color w:val="231F20"/>
          <w:w w:val="105"/>
          <w:sz w:val="13"/>
        </w:rPr>
        <w:t>(Zinacantepec, Estado de México.   México).</w:t>
      </w:r>
    </w:p>
    <w:p>
      <w:pPr>
        <w:spacing w:line="151" w:lineRule="exact" w:before="0"/>
        <w:ind w:left="63" w:right="81" w:firstLine="0"/>
        <w:jc w:val="center"/>
        <w:rPr>
          <w:sz w:val="13"/>
        </w:rPr>
      </w:pPr>
      <w:r>
        <w:rPr>
          <w:rFonts w:ascii="Calibri"/>
          <w:i/>
          <w:color w:val="231F20"/>
          <w:w w:val="115"/>
          <w:sz w:val="13"/>
        </w:rPr>
        <w:t>Figure 1. Location of potato farms where isolates of </w:t>
      </w:r>
      <w:r>
        <w:rPr>
          <w:color w:val="231F20"/>
          <w:w w:val="115"/>
          <w:sz w:val="13"/>
        </w:rPr>
        <w:t>Phytophthora infestans</w:t>
      </w:r>
    </w:p>
    <w:p>
      <w:pPr>
        <w:spacing w:before="4"/>
        <w:ind w:left="63" w:right="81" w:firstLine="0"/>
        <w:jc w:val="center"/>
        <w:rPr>
          <w:rFonts w:ascii="Calibri"/>
          <w:i/>
          <w:sz w:val="13"/>
        </w:rPr>
      </w:pPr>
      <w:r>
        <w:rPr>
          <w:rFonts w:ascii="Calibri"/>
          <w:i/>
          <w:color w:val="231F20"/>
          <w:w w:val="120"/>
          <w:sz w:val="13"/>
        </w:rPr>
        <w:t>were obtained. (Zinacantepec, State of Mexico. Mexico).</w:t>
      </w:r>
    </w:p>
    <w:p>
      <w:pPr>
        <w:spacing w:after="0"/>
        <w:jc w:val="center"/>
        <w:rPr>
          <w:rFonts w:ascii="Calibri"/>
          <w:sz w:val="13"/>
        </w:rPr>
        <w:sectPr>
          <w:pgSz w:w="12240" w:h="15840"/>
          <w:pgMar w:header="719" w:footer="740" w:top="1260" w:bottom="920" w:left="1460" w:right="1440"/>
        </w:sect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spacing w:before="5"/>
        <w:rPr>
          <w:rFonts w:ascii="Calibri"/>
          <w:i/>
          <w:sz w:val="19"/>
        </w:rPr>
      </w:pPr>
    </w:p>
    <w:p>
      <w:pPr>
        <w:tabs>
          <w:tab w:pos="7816" w:val="right" w:leader="none"/>
        </w:tabs>
        <w:spacing w:before="75"/>
        <w:ind w:left="1503" w:right="0" w:firstLine="0"/>
        <w:jc w:val="left"/>
        <w:rPr>
          <w:rFonts w:ascii="Tahoma" w:hAnsi="Tahoma"/>
          <w:sz w:val="13"/>
        </w:rPr>
      </w:pPr>
      <w:r>
        <w:rPr>
          <w:rFonts w:ascii="Trebuchet MS" w:hAnsi="Trebuchet MS"/>
          <w:i/>
          <w:color w:val="231F20"/>
          <w:sz w:val="13"/>
        </w:rPr>
        <w:t>López-Orona et al. ITEA </w:t>
      </w:r>
      <w:r>
        <w:rPr>
          <w:rFonts w:ascii="Trebuchet MS" w:hAnsi="Trebuchet MS"/>
          <w:i/>
          <w:color w:val="231F20"/>
          <w:sz w:val="12"/>
        </w:rPr>
        <w:t>(2013), 109</w:t>
      </w:r>
      <w:r>
        <w:rPr>
          <w:rFonts w:ascii="Trebuchet MS" w:hAnsi="Trebuchet MS"/>
          <w:i/>
          <w:color w:val="231F20"/>
          <w:spacing w:val="-19"/>
          <w:sz w:val="12"/>
        </w:rPr>
        <w:t> </w:t>
      </w:r>
      <w:r>
        <w:rPr>
          <w:rFonts w:ascii="Trebuchet MS" w:hAnsi="Trebuchet MS"/>
          <w:i/>
          <w:color w:val="231F20"/>
          <w:sz w:val="12"/>
        </w:rPr>
        <w:t>(4),</w:t>
      </w:r>
      <w:r>
        <w:rPr>
          <w:rFonts w:ascii="Trebuchet MS" w:hAnsi="Trebuchet MS"/>
          <w:i/>
          <w:color w:val="231F20"/>
          <w:spacing w:val="-4"/>
          <w:sz w:val="12"/>
        </w:rPr>
        <w:t> </w:t>
      </w:r>
      <w:r>
        <w:rPr>
          <w:rFonts w:ascii="Trebuchet MS" w:hAnsi="Trebuchet MS"/>
          <w:i/>
          <w:color w:val="231F20"/>
          <w:sz w:val="12"/>
        </w:rPr>
        <w:t>408-414</w:t>
      </w:r>
      <w:r>
        <w:rPr>
          <w:rFonts w:ascii="Tahoma" w:hAnsi="Tahoma"/>
          <w:color w:val="231F20"/>
          <w:sz w:val="13"/>
        </w:rPr>
        <w:tab/>
        <w:t>411</w:t>
      </w:r>
    </w:p>
    <w:p>
      <w:pPr>
        <w:spacing w:after="0"/>
        <w:jc w:val="left"/>
        <w:rPr>
          <w:rFonts w:ascii="Tahoma" w:hAnsi="Tahoma"/>
          <w:sz w:val="13"/>
        </w:rPr>
        <w:sectPr>
          <w:footerReference w:type="default" r:id="rId55"/>
          <w:pgSz w:w="12240" w:h="15840"/>
          <w:pgMar w:footer="740" w:header="719" w:top="1260" w:bottom="920" w:left="1460" w:right="1440"/>
        </w:sectPr>
      </w:pPr>
    </w:p>
    <w:p>
      <w:pPr>
        <w:pStyle w:val="BodyText"/>
        <w:rPr>
          <w:rFonts w:ascii="Tahoma"/>
          <w:sz w:val="12"/>
        </w:rPr>
      </w:pPr>
    </w:p>
    <w:p>
      <w:pPr>
        <w:pStyle w:val="BodyText"/>
        <w:rPr>
          <w:rFonts w:ascii="Tahoma"/>
          <w:sz w:val="12"/>
        </w:rPr>
      </w:pPr>
    </w:p>
    <w:p>
      <w:pPr>
        <w:pStyle w:val="BodyText"/>
        <w:rPr>
          <w:rFonts w:ascii="Tahoma"/>
          <w:sz w:val="12"/>
        </w:rPr>
      </w:pPr>
    </w:p>
    <w:p>
      <w:pPr>
        <w:pStyle w:val="BodyText"/>
        <w:rPr>
          <w:rFonts w:ascii="Tahoma"/>
          <w:sz w:val="12"/>
        </w:rPr>
      </w:pPr>
    </w:p>
    <w:p>
      <w:pPr>
        <w:pStyle w:val="BodyText"/>
        <w:spacing w:before="11"/>
        <w:rPr>
          <w:rFonts w:ascii="Tahoma"/>
          <w:sz w:val="9"/>
        </w:rPr>
      </w:pPr>
    </w:p>
    <w:p>
      <w:pPr>
        <w:spacing w:line="247" w:lineRule="auto" w:before="0"/>
        <w:ind w:left="1631" w:right="0" w:firstLine="0"/>
        <w:jc w:val="center"/>
        <w:rPr>
          <w:rFonts w:ascii="Tahoma" w:hAnsi="Tahoma"/>
          <w:sz w:val="13"/>
        </w:rPr>
      </w:pPr>
      <w:r>
        <w:rPr>
          <w:rFonts w:ascii="Tahoma" w:hAnsi="Tahoma"/>
          <w:color w:val="231F20"/>
          <w:w w:val="110"/>
          <w:sz w:val="13"/>
        </w:rPr>
        <w:t>Tabla</w:t>
      </w:r>
      <w:r>
        <w:rPr>
          <w:rFonts w:ascii="Tahoma" w:hAnsi="Tahoma"/>
          <w:color w:val="231F20"/>
          <w:spacing w:val="-14"/>
          <w:w w:val="110"/>
          <w:sz w:val="13"/>
        </w:rPr>
        <w:t> </w:t>
      </w:r>
      <w:r>
        <w:rPr>
          <w:rFonts w:ascii="Tahoma" w:hAnsi="Tahoma"/>
          <w:color w:val="231F20"/>
          <w:w w:val="110"/>
          <w:sz w:val="13"/>
        </w:rPr>
        <w:t>1.</w:t>
      </w:r>
      <w:r>
        <w:rPr>
          <w:rFonts w:ascii="Tahoma" w:hAnsi="Tahoma"/>
          <w:color w:val="231F20"/>
          <w:spacing w:val="-14"/>
          <w:w w:val="110"/>
          <w:sz w:val="13"/>
        </w:rPr>
        <w:t> </w:t>
      </w:r>
      <w:r>
        <w:rPr>
          <w:rFonts w:ascii="Tahoma" w:hAnsi="Tahoma"/>
          <w:color w:val="231F20"/>
          <w:w w:val="110"/>
          <w:sz w:val="13"/>
        </w:rPr>
        <w:t>Código</w:t>
      </w:r>
      <w:r>
        <w:rPr>
          <w:rFonts w:ascii="Tahoma" w:hAnsi="Tahoma"/>
          <w:color w:val="231F20"/>
          <w:spacing w:val="-14"/>
          <w:w w:val="110"/>
          <w:sz w:val="13"/>
        </w:rPr>
        <w:t> </w:t>
      </w:r>
      <w:r>
        <w:rPr>
          <w:rFonts w:ascii="Tahoma" w:hAnsi="Tahoma"/>
          <w:color w:val="231F20"/>
          <w:w w:val="110"/>
          <w:sz w:val="13"/>
        </w:rPr>
        <w:t>de</w:t>
      </w:r>
      <w:r>
        <w:rPr>
          <w:rFonts w:ascii="Tahoma" w:hAnsi="Tahoma"/>
          <w:color w:val="231F20"/>
          <w:spacing w:val="-14"/>
          <w:w w:val="110"/>
          <w:sz w:val="13"/>
        </w:rPr>
        <w:t> </w:t>
      </w:r>
      <w:r>
        <w:rPr>
          <w:rFonts w:ascii="Tahoma" w:hAnsi="Tahoma"/>
          <w:color w:val="231F20"/>
          <w:w w:val="110"/>
          <w:sz w:val="13"/>
        </w:rPr>
        <w:t>aislados</w:t>
      </w:r>
      <w:r>
        <w:rPr>
          <w:rFonts w:ascii="Tahoma" w:hAnsi="Tahoma"/>
          <w:color w:val="231F20"/>
          <w:spacing w:val="-14"/>
          <w:w w:val="110"/>
          <w:sz w:val="13"/>
        </w:rPr>
        <w:t> </w:t>
      </w:r>
      <w:r>
        <w:rPr>
          <w:rFonts w:ascii="Tahoma" w:hAnsi="Tahoma"/>
          <w:color w:val="231F20"/>
          <w:w w:val="110"/>
          <w:sz w:val="13"/>
        </w:rPr>
        <w:t>de</w:t>
      </w:r>
      <w:r>
        <w:rPr>
          <w:rFonts w:ascii="Tahoma" w:hAnsi="Tahoma"/>
          <w:color w:val="231F20"/>
          <w:spacing w:val="-14"/>
          <w:w w:val="110"/>
          <w:sz w:val="13"/>
        </w:rPr>
        <w:t> </w:t>
      </w:r>
      <w:r>
        <w:rPr>
          <w:rFonts w:ascii="Trebuchet MS" w:hAnsi="Trebuchet MS"/>
          <w:i/>
          <w:color w:val="231F20"/>
          <w:w w:val="110"/>
          <w:sz w:val="13"/>
        </w:rPr>
        <w:t>Phytophthora</w:t>
      </w:r>
      <w:r>
        <w:rPr>
          <w:rFonts w:ascii="Trebuchet MS" w:hAnsi="Trebuchet MS"/>
          <w:i/>
          <w:color w:val="231F20"/>
          <w:w w:val="108"/>
          <w:sz w:val="13"/>
        </w:rPr>
        <w:t> </w:t>
      </w:r>
      <w:r>
        <w:rPr>
          <w:rFonts w:ascii="Trebuchet MS" w:hAnsi="Trebuchet MS"/>
          <w:i/>
          <w:color w:val="231F20"/>
          <w:w w:val="110"/>
          <w:sz w:val="13"/>
        </w:rPr>
        <w:t>infestans</w:t>
      </w:r>
      <w:r>
        <w:rPr>
          <w:rFonts w:ascii="Trebuchet MS" w:hAnsi="Trebuchet MS"/>
          <w:i/>
          <w:color w:val="231F20"/>
          <w:spacing w:val="-17"/>
          <w:w w:val="110"/>
          <w:sz w:val="13"/>
        </w:rPr>
        <w:t> </w:t>
      </w:r>
      <w:r>
        <w:rPr>
          <w:rFonts w:ascii="Tahoma" w:hAnsi="Tahoma"/>
          <w:color w:val="231F20"/>
          <w:w w:val="110"/>
          <w:sz w:val="13"/>
        </w:rPr>
        <w:t>obtenidos</w:t>
      </w:r>
      <w:r>
        <w:rPr>
          <w:rFonts w:ascii="Tahoma" w:hAnsi="Tahoma"/>
          <w:color w:val="231F20"/>
          <w:spacing w:val="-19"/>
          <w:w w:val="110"/>
          <w:sz w:val="13"/>
        </w:rPr>
        <w:t> </w:t>
      </w:r>
      <w:r>
        <w:rPr>
          <w:rFonts w:ascii="Tahoma" w:hAnsi="Tahoma"/>
          <w:color w:val="231F20"/>
          <w:w w:val="110"/>
          <w:sz w:val="13"/>
        </w:rPr>
        <w:t>de</w:t>
      </w:r>
      <w:r>
        <w:rPr>
          <w:rFonts w:ascii="Tahoma" w:hAnsi="Tahoma"/>
          <w:color w:val="231F20"/>
          <w:spacing w:val="-19"/>
          <w:w w:val="110"/>
          <w:sz w:val="13"/>
        </w:rPr>
        <w:t> </w:t>
      </w:r>
      <w:r>
        <w:rPr>
          <w:rFonts w:ascii="Trebuchet MS" w:hAnsi="Trebuchet MS"/>
          <w:i/>
          <w:color w:val="231F20"/>
          <w:w w:val="110"/>
          <w:sz w:val="13"/>
        </w:rPr>
        <w:t>Solanum</w:t>
      </w:r>
      <w:r>
        <w:rPr>
          <w:rFonts w:ascii="Trebuchet MS" w:hAnsi="Trebuchet MS"/>
          <w:i/>
          <w:color w:val="231F20"/>
          <w:spacing w:val="-17"/>
          <w:w w:val="110"/>
          <w:sz w:val="13"/>
        </w:rPr>
        <w:t> </w:t>
      </w:r>
      <w:r>
        <w:rPr>
          <w:rFonts w:ascii="Trebuchet MS" w:hAnsi="Trebuchet MS"/>
          <w:i/>
          <w:color w:val="231F20"/>
          <w:w w:val="110"/>
          <w:sz w:val="13"/>
        </w:rPr>
        <w:t>tuberosum </w:t>
      </w:r>
      <w:r>
        <w:rPr>
          <w:rFonts w:ascii="Tahoma" w:hAnsi="Tahoma"/>
          <w:color w:val="231F20"/>
          <w:w w:val="110"/>
          <w:sz w:val="13"/>
        </w:rPr>
        <w:t>en</w:t>
      </w:r>
      <w:r>
        <w:rPr>
          <w:rFonts w:ascii="Tahoma" w:hAnsi="Tahoma"/>
          <w:color w:val="231F20"/>
          <w:spacing w:val="-11"/>
          <w:w w:val="110"/>
          <w:sz w:val="13"/>
        </w:rPr>
        <w:t> </w:t>
      </w:r>
      <w:r>
        <w:rPr>
          <w:rFonts w:ascii="Tahoma" w:hAnsi="Tahoma"/>
          <w:color w:val="231F20"/>
          <w:w w:val="110"/>
          <w:sz w:val="13"/>
        </w:rPr>
        <w:t>distintas</w:t>
      </w:r>
      <w:r>
        <w:rPr>
          <w:rFonts w:ascii="Tahoma" w:hAnsi="Tahoma"/>
          <w:color w:val="231F20"/>
          <w:spacing w:val="-11"/>
          <w:w w:val="110"/>
          <w:sz w:val="13"/>
        </w:rPr>
        <w:t> </w:t>
      </w:r>
      <w:r>
        <w:rPr>
          <w:rFonts w:ascii="Tahoma" w:hAnsi="Tahoma"/>
          <w:color w:val="231F20"/>
          <w:w w:val="110"/>
          <w:sz w:val="13"/>
        </w:rPr>
        <w:t>localidades</w:t>
      </w:r>
      <w:r>
        <w:rPr>
          <w:rFonts w:ascii="Tahoma" w:hAnsi="Tahoma"/>
          <w:color w:val="231F20"/>
          <w:spacing w:val="-11"/>
          <w:w w:val="110"/>
          <w:sz w:val="13"/>
        </w:rPr>
        <w:t> </w:t>
      </w:r>
      <w:r>
        <w:rPr>
          <w:rFonts w:ascii="Tahoma" w:hAnsi="Tahoma"/>
          <w:color w:val="231F20"/>
          <w:w w:val="110"/>
          <w:sz w:val="13"/>
        </w:rPr>
        <w:t>y</w:t>
      </w:r>
      <w:r>
        <w:rPr>
          <w:rFonts w:ascii="Tahoma" w:hAnsi="Tahoma"/>
          <w:color w:val="231F20"/>
          <w:spacing w:val="-11"/>
          <w:w w:val="110"/>
          <w:sz w:val="13"/>
        </w:rPr>
        <w:t> </w:t>
      </w:r>
      <w:r>
        <w:rPr>
          <w:rFonts w:ascii="Tahoma" w:hAnsi="Tahoma"/>
          <w:color w:val="231F20"/>
          <w:w w:val="110"/>
          <w:sz w:val="13"/>
        </w:rPr>
        <w:t>años</w:t>
      </w:r>
    </w:p>
    <w:p>
      <w:pPr>
        <w:spacing w:before="1"/>
        <w:ind w:left="1631" w:right="0" w:firstLine="0"/>
        <w:jc w:val="center"/>
        <w:rPr>
          <w:rFonts w:ascii="Tahoma"/>
          <w:sz w:val="13"/>
        </w:rPr>
      </w:pPr>
      <w:r>
        <w:rPr>
          <w:rFonts w:ascii="Trebuchet MS"/>
          <w:i/>
          <w:color w:val="231F20"/>
          <w:w w:val="105"/>
          <w:sz w:val="13"/>
        </w:rPr>
        <w:t>Table 1. Codes of </w:t>
      </w:r>
      <w:r>
        <w:rPr>
          <w:rFonts w:ascii="Tahoma"/>
          <w:color w:val="231F20"/>
          <w:w w:val="105"/>
          <w:sz w:val="13"/>
        </w:rPr>
        <w:t>Phytophthora infestans</w:t>
      </w:r>
    </w:p>
    <w:p>
      <w:pPr>
        <w:spacing w:before="4"/>
        <w:ind w:left="0" w:right="338" w:firstLine="0"/>
        <w:jc w:val="right"/>
        <w:rPr>
          <w:rFonts w:ascii="Tahoma"/>
          <w:sz w:val="13"/>
        </w:rPr>
      </w:pPr>
      <w:r>
        <w:rPr>
          <w:rFonts w:ascii="Trebuchet MS"/>
          <w:i/>
          <w:color w:val="231F20"/>
          <w:w w:val="110"/>
          <w:sz w:val="13"/>
        </w:rPr>
        <w:t>isolates from </w:t>
      </w:r>
      <w:r>
        <w:rPr>
          <w:rFonts w:ascii="Tahoma"/>
          <w:color w:val="231F20"/>
          <w:w w:val="110"/>
          <w:sz w:val="13"/>
        </w:rPr>
        <w:t>Solanum tuberosum</w:t>
      </w:r>
    </w:p>
    <w:p>
      <w:pPr>
        <w:spacing w:before="12"/>
        <w:ind w:left="2051" w:right="0" w:firstLine="0"/>
        <w:jc w:val="left"/>
        <w:rPr>
          <w:rFonts w:ascii="Trebuchet MS"/>
          <w:i/>
          <w:sz w:val="13"/>
        </w:rPr>
      </w:pPr>
      <w:r>
        <w:rPr>
          <w:rFonts w:ascii="Trebuchet MS"/>
          <w:i/>
          <w:color w:val="231F20"/>
          <w:w w:val="105"/>
          <w:sz w:val="13"/>
        </w:rPr>
        <w:t>in different locations and years</w:t>
      </w:r>
    </w:p>
    <w:p>
      <w:pPr>
        <w:pStyle w:val="BodyText"/>
        <w:rPr>
          <w:rFonts w:ascii="Trebuchet MS"/>
          <w:i/>
          <w:sz w:val="12"/>
        </w:rPr>
      </w:pPr>
    </w:p>
    <w:p>
      <w:pPr>
        <w:pStyle w:val="BodyText"/>
        <w:spacing w:before="1"/>
        <w:rPr>
          <w:rFonts w:ascii="Trebuchet MS"/>
          <w:i/>
          <w:sz w:val="10"/>
        </w:rPr>
      </w:pPr>
    </w:p>
    <w:p>
      <w:pPr>
        <w:tabs>
          <w:tab w:pos="3071" w:val="left" w:leader="none"/>
          <w:tab w:pos="3820" w:val="left" w:leader="none"/>
        </w:tabs>
        <w:spacing w:before="0"/>
        <w:ind w:left="1518" w:right="0" w:firstLine="0"/>
        <w:jc w:val="left"/>
        <w:rPr>
          <w:rFonts w:ascii="Tahoma" w:hAnsi="Tahoma"/>
          <w:sz w:val="13"/>
        </w:rPr>
      </w:pPr>
      <w:r>
        <w:rPr/>
        <w:pict>
          <v:line style="position:absolute;mso-position-horizontal-relative:page;mso-position-vertical-relative:paragraph;z-index:2752" from="148.918304pt,-2.896504pt" to="298.936176pt,-2.896504pt" stroked="true" strokeweight=".371215pt" strokecolor="#231f20">
            <w10:wrap type="none"/>
          </v:line>
        </w:pict>
      </w:r>
      <w:r>
        <w:rPr>
          <w:rFonts w:ascii="Tahoma" w:hAnsi="Tahoma"/>
          <w:color w:val="231F20"/>
          <w:w w:val="115"/>
          <w:sz w:val="13"/>
        </w:rPr>
        <w:t>Localidad</w:t>
        <w:tab/>
        <w:t>Año</w:t>
        <w:tab/>
        <w:t>Código</w:t>
      </w:r>
    </w:p>
    <w:p>
      <w:pPr>
        <w:pStyle w:val="BodyText"/>
        <w:spacing w:before="3"/>
        <w:rPr>
          <w:rFonts w:ascii="Tahoma"/>
          <w:sz w:val="9"/>
        </w:rPr>
      </w:pPr>
    </w:p>
    <w:p>
      <w:pPr>
        <w:tabs>
          <w:tab w:pos="1534" w:val="left" w:leader="none"/>
          <w:tab w:pos="2419" w:val="left" w:leader="none"/>
        </w:tabs>
        <w:spacing w:before="0"/>
        <w:ind w:left="0" w:right="250" w:firstLine="0"/>
        <w:jc w:val="right"/>
        <w:rPr>
          <w:rFonts w:ascii="Tahoma" w:hAnsi="Tahoma"/>
          <w:sz w:val="13"/>
        </w:rPr>
      </w:pPr>
      <w:r>
        <w:rPr/>
        <w:pict>
          <v:line style="position:absolute;mso-position-horizontal-relative:page;mso-position-vertical-relative:paragraph;z-index:2776" from="148.918304pt,-2.529981pt" to="298.936176pt,-2.529981pt" stroked="true" strokeweight=".371215pt" strokecolor="#231f20">
            <w10:wrap type="none"/>
          </v:line>
        </w:pict>
      </w:r>
      <w:r>
        <w:rPr>
          <w:rFonts w:ascii="Tahoma" w:hAnsi="Tahoma"/>
          <w:color w:val="231F20"/>
          <w:w w:val="105"/>
          <w:sz w:val="13"/>
        </w:rPr>
        <w:t>La</w:t>
      </w:r>
      <w:r>
        <w:rPr>
          <w:rFonts w:ascii="Tahoma" w:hAnsi="Tahoma"/>
          <w:color w:val="231F20"/>
          <w:spacing w:val="1"/>
          <w:w w:val="105"/>
          <w:sz w:val="13"/>
        </w:rPr>
        <w:t> </w:t>
      </w:r>
      <w:r>
        <w:rPr>
          <w:rFonts w:ascii="Tahoma" w:hAnsi="Tahoma"/>
          <w:color w:val="231F20"/>
          <w:w w:val="105"/>
          <w:sz w:val="13"/>
        </w:rPr>
        <w:t>Peñuela</w:t>
        <w:tab/>
        <w:t>2011</w:t>
        <w:tab/>
      </w:r>
      <w:r>
        <w:rPr>
          <w:rFonts w:ascii="Tahoma" w:hAnsi="Tahoma"/>
          <w:color w:val="231F20"/>
          <w:spacing w:val="-1"/>
          <w:w w:val="105"/>
          <w:sz w:val="13"/>
        </w:rPr>
        <w:t>LP1</w:t>
      </w:r>
    </w:p>
    <w:p>
      <w:pPr>
        <w:tabs>
          <w:tab w:pos="884" w:val="left" w:leader="none"/>
        </w:tabs>
        <w:spacing w:before="36"/>
        <w:ind w:left="0" w:right="250" w:firstLine="0"/>
        <w:jc w:val="right"/>
        <w:rPr>
          <w:rFonts w:ascii="Tahoma"/>
          <w:sz w:val="13"/>
        </w:rPr>
      </w:pPr>
      <w:r>
        <w:rPr>
          <w:rFonts w:ascii="Tahoma"/>
          <w:color w:val="231F20"/>
          <w:w w:val="105"/>
          <w:sz w:val="13"/>
        </w:rPr>
        <w:t>2011</w:t>
        <w:tab/>
      </w:r>
      <w:r>
        <w:rPr>
          <w:rFonts w:ascii="Tahoma"/>
          <w:color w:val="231F20"/>
          <w:spacing w:val="-1"/>
          <w:w w:val="105"/>
          <w:sz w:val="13"/>
        </w:rPr>
        <w:t>LP2</w:t>
      </w:r>
    </w:p>
    <w:p>
      <w:pPr>
        <w:tabs>
          <w:tab w:pos="884" w:val="left" w:leader="none"/>
        </w:tabs>
        <w:spacing w:before="36"/>
        <w:ind w:left="0" w:right="250" w:firstLine="0"/>
        <w:jc w:val="right"/>
        <w:rPr>
          <w:rFonts w:ascii="Tahoma"/>
          <w:sz w:val="13"/>
        </w:rPr>
      </w:pPr>
      <w:r>
        <w:rPr>
          <w:rFonts w:ascii="Tahoma"/>
          <w:color w:val="231F20"/>
          <w:w w:val="105"/>
          <w:sz w:val="13"/>
        </w:rPr>
        <w:t>2011</w:t>
        <w:tab/>
      </w:r>
      <w:r>
        <w:rPr>
          <w:rFonts w:ascii="Tahoma"/>
          <w:color w:val="231F20"/>
          <w:sz w:val="13"/>
        </w:rPr>
        <w:t>LP3</w:t>
      </w:r>
    </w:p>
    <w:p>
      <w:pPr>
        <w:tabs>
          <w:tab w:pos="884" w:val="left" w:leader="none"/>
        </w:tabs>
        <w:spacing w:before="36"/>
        <w:ind w:left="0" w:right="250" w:firstLine="0"/>
        <w:jc w:val="right"/>
        <w:rPr>
          <w:rFonts w:ascii="Tahoma"/>
          <w:sz w:val="13"/>
        </w:rPr>
      </w:pPr>
      <w:r>
        <w:rPr>
          <w:rFonts w:ascii="Tahoma"/>
          <w:color w:val="231F20"/>
          <w:w w:val="105"/>
          <w:sz w:val="13"/>
        </w:rPr>
        <w:t>2011</w:t>
        <w:tab/>
      </w:r>
      <w:r>
        <w:rPr>
          <w:rFonts w:ascii="Tahoma"/>
          <w:color w:val="231F20"/>
          <w:sz w:val="13"/>
        </w:rPr>
        <w:t>LP4</w:t>
      </w:r>
    </w:p>
    <w:p>
      <w:pPr>
        <w:tabs>
          <w:tab w:pos="884" w:val="left" w:leader="none"/>
        </w:tabs>
        <w:spacing w:before="36"/>
        <w:ind w:left="0" w:right="250" w:firstLine="0"/>
        <w:jc w:val="right"/>
        <w:rPr>
          <w:rFonts w:ascii="Tahoma"/>
          <w:sz w:val="13"/>
        </w:rPr>
      </w:pPr>
      <w:r>
        <w:rPr>
          <w:rFonts w:ascii="Tahoma"/>
          <w:color w:val="231F20"/>
          <w:w w:val="105"/>
          <w:sz w:val="13"/>
        </w:rPr>
        <w:t>2011</w:t>
        <w:tab/>
      </w:r>
      <w:r>
        <w:rPr>
          <w:rFonts w:ascii="Tahoma"/>
          <w:color w:val="231F20"/>
          <w:spacing w:val="-1"/>
          <w:w w:val="105"/>
          <w:sz w:val="13"/>
        </w:rPr>
        <w:t>LP5</w:t>
      </w:r>
    </w:p>
    <w:p>
      <w:pPr>
        <w:pStyle w:val="BodyText"/>
        <w:rPr>
          <w:rFonts w:ascii="Tahoma"/>
          <w:sz w:val="14"/>
        </w:rPr>
      </w:pPr>
      <w:r>
        <w:rPr/>
        <w:br w:type="column"/>
      </w:r>
      <w:r>
        <w:rPr>
          <w:rFonts w:ascii="Tahoma"/>
          <w:sz w:val="14"/>
        </w:rPr>
      </w:r>
    </w:p>
    <w:p>
      <w:pPr>
        <w:pStyle w:val="BodyText"/>
        <w:rPr>
          <w:rFonts w:ascii="Tahoma"/>
          <w:sz w:val="14"/>
        </w:rPr>
      </w:pPr>
    </w:p>
    <w:p>
      <w:pPr>
        <w:pStyle w:val="BodyText"/>
        <w:rPr>
          <w:rFonts w:ascii="Tahoma"/>
          <w:sz w:val="14"/>
        </w:rPr>
      </w:pPr>
    </w:p>
    <w:p>
      <w:pPr>
        <w:pStyle w:val="BodyText"/>
        <w:spacing w:before="10"/>
        <w:rPr>
          <w:rFonts w:ascii="Tahoma"/>
          <w:sz w:val="15"/>
        </w:rPr>
      </w:pPr>
    </w:p>
    <w:p>
      <w:pPr>
        <w:spacing w:line="178" w:lineRule="exact" w:before="0"/>
        <w:ind w:left="355" w:right="1536" w:firstLine="0"/>
        <w:jc w:val="both"/>
        <w:rPr>
          <w:rFonts w:ascii="Tahoma" w:hAnsi="Tahoma"/>
          <w:sz w:val="15"/>
        </w:rPr>
      </w:pPr>
      <w:r>
        <w:rPr>
          <w:rFonts w:ascii="Tahoma" w:hAnsi="Tahoma"/>
          <w:color w:val="231F20"/>
          <w:w w:val="105"/>
          <w:sz w:val="15"/>
        </w:rPr>
        <w:t>gicide Resistance Action Committee,</w:t>
      </w:r>
      <w:r>
        <w:rPr>
          <w:rFonts w:ascii="Tahoma" w:hAnsi="Tahoma"/>
          <w:color w:val="231F20"/>
          <w:spacing w:val="-15"/>
          <w:w w:val="105"/>
          <w:sz w:val="15"/>
        </w:rPr>
        <w:t> </w:t>
      </w:r>
      <w:r>
        <w:rPr>
          <w:rFonts w:ascii="Tahoma" w:hAnsi="Tahoma"/>
          <w:color w:val="231F20"/>
          <w:w w:val="105"/>
          <w:sz w:val="15"/>
        </w:rPr>
        <w:t>1992), donde el cálculo se hace a partir del creci- miento</w:t>
      </w:r>
      <w:r>
        <w:rPr>
          <w:rFonts w:ascii="Tahoma" w:hAnsi="Tahoma"/>
          <w:color w:val="231F20"/>
          <w:spacing w:val="-17"/>
          <w:w w:val="105"/>
          <w:sz w:val="15"/>
        </w:rPr>
        <w:t> </w:t>
      </w:r>
      <w:r>
        <w:rPr>
          <w:rFonts w:ascii="Tahoma" w:hAnsi="Tahoma"/>
          <w:color w:val="231F20"/>
          <w:w w:val="105"/>
          <w:sz w:val="15"/>
        </w:rPr>
        <w:t>relativo</w:t>
      </w:r>
      <w:r>
        <w:rPr>
          <w:rFonts w:ascii="Tahoma" w:hAnsi="Tahoma"/>
          <w:color w:val="231F20"/>
          <w:spacing w:val="-17"/>
          <w:w w:val="105"/>
          <w:sz w:val="15"/>
        </w:rPr>
        <w:t> </w:t>
      </w:r>
      <w:r>
        <w:rPr>
          <w:rFonts w:ascii="Tahoma" w:hAnsi="Tahoma"/>
          <w:color w:val="231F20"/>
          <w:w w:val="105"/>
          <w:sz w:val="15"/>
        </w:rPr>
        <w:t>(CR)</w:t>
      </w:r>
      <w:r>
        <w:rPr>
          <w:rFonts w:ascii="Tahoma" w:hAnsi="Tahoma"/>
          <w:color w:val="231F20"/>
          <w:spacing w:val="-17"/>
          <w:w w:val="105"/>
          <w:sz w:val="15"/>
        </w:rPr>
        <w:t> </w:t>
      </w:r>
      <w:r>
        <w:rPr>
          <w:rFonts w:ascii="Tahoma" w:hAnsi="Tahoma"/>
          <w:color w:val="231F20"/>
          <w:w w:val="105"/>
          <w:sz w:val="15"/>
        </w:rPr>
        <w:t>expresado</w:t>
      </w:r>
      <w:r>
        <w:rPr>
          <w:rFonts w:ascii="Tahoma" w:hAnsi="Tahoma"/>
          <w:color w:val="231F20"/>
          <w:spacing w:val="-17"/>
          <w:w w:val="105"/>
          <w:sz w:val="15"/>
        </w:rPr>
        <w:t> </w:t>
      </w:r>
      <w:r>
        <w:rPr>
          <w:rFonts w:ascii="Tahoma" w:hAnsi="Tahoma"/>
          <w:color w:val="231F20"/>
          <w:w w:val="105"/>
          <w:sz w:val="15"/>
        </w:rPr>
        <w:t>por:</w:t>
      </w:r>
    </w:p>
    <w:p>
      <w:pPr>
        <w:spacing w:before="90"/>
        <w:ind w:left="978" w:right="0" w:firstLine="0"/>
        <w:jc w:val="left"/>
        <w:rPr>
          <w:rFonts w:ascii="Calibri"/>
          <w:b/>
          <w:sz w:val="15"/>
        </w:rPr>
      </w:pPr>
      <w:r>
        <w:rPr>
          <w:rFonts w:ascii="Calibri"/>
          <w:b/>
          <w:color w:val="231F20"/>
          <w:w w:val="110"/>
          <w:sz w:val="15"/>
        </w:rPr>
        <w:t>CR = (DMCF/DMCT) x 100</w:t>
      </w:r>
    </w:p>
    <w:p>
      <w:pPr>
        <w:spacing w:line="178" w:lineRule="exact" w:before="86"/>
        <w:ind w:left="355" w:right="1537" w:firstLine="0"/>
        <w:jc w:val="both"/>
        <w:rPr>
          <w:rFonts w:ascii="Tahoma" w:hAnsi="Tahoma"/>
          <w:sz w:val="15"/>
        </w:rPr>
      </w:pPr>
      <w:r>
        <w:rPr>
          <w:rFonts w:ascii="Tahoma" w:hAnsi="Tahoma"/>
          <w:color w:val="231F20"/>
          <w:w w:val="105"/>
          <w:sz w:val="15"/>
        </w:rPr>
        <w:t>Donde, </w:t>
      </w:r>
      <w:r>
        <w:rPr>
          <w:rFonts w:ascii="Calibri" w:hAnsi="Calibri"/>
          <w:b/>
          <w:color w:val="231F20"/>
          <w:w w:val="105"/>
          <w:sz w:val="15"/>
        </w:rPr>
        <w:t>DMCF: </w:t>
      </w:r>
      <w:r>
        <w:rPr>
          <w:rFonts w:ascii="Tahoma" w:hAnsi="Tahoma"/>
          <w:color w:val="231F20"/>
          <w:w w:val="105"/>
          <w:sz w:val="15"/>
        </w:rPr>
        <w:t>diámetro medio de la cepa crecida</w:t>
      </w:r>
      <w:r>
        <w:rPr>
          <w:rFonts w:ascii="Tahoma" w:hAnsi="Tahoma"/>
          <w:color w:val="231F20"/>
          <w:spacing w:val="-13"/>
          <w:w w:val="105"/>
          <w:sz w:val="15"/>
        </w:rPr>
        <w:t> </w:t>
      </w:r>
      <w:r>
        <w:rPr>
          <w:rFonts w:ascii="Tahoma" w:hAnsi="Tahoma"/>
          <w:color w:val="231F20"/>
          <w:w w:val="105"/>
          <w:sz w:val="15"/>
        </w:rPr>
        <w:t>en</w:t>
      </w:r>
      <w:r>
        <w:rPr>
          <w:rFonts w:ascii="Tahoma" w:hAnsi="Tahoma"/>
          <w:color w:val="231F20"/>
          <w:spacing w:val="-13"/>
          <w:w w:val="105"/>
          <w:sz w:val="15"/>
        </w:rPr>
        <w:t> </w:t>
      </w:r>
      <w:r>
        <w:rPr>
          <w:rFonts w:ascii="Tahoma" w:hAnsi="Tahoma"/>
          <w:color w:val="231F20"/>
          <w:w w:val="105"/>
          <w:sz w:val="15"/>
        </w:rPr>
        <w:t>agar-jugo</w:t>
      </w:r>
      <w:r>
        <w:rPr>
          <w:rFonts w:ascii="Tahoma" w:hAnsi="Tahoma"/>
          <w:color w:val="231F20"/>
          <w:spacing w:val="-13"/>
          <w:w w:val="105"/>
          <w:sz w:val="15"/>
        </w:rPr>
        <w:t> </w:t>
      </w:r>
      <w:r>
        <w:rPr>
          <w:rFonts w:ascii="Tahoma" w:hAnsi="Tahoma"/>
          <w:color w:val="231F20"/>
          <w:w w:val="105"/>
          <w:sz w:val="15"/>
        </w:rPr>
        <w:t>V8</w:t>
      </w:r>
      <w:r>
        <w:rPr>
          <w:rFonts w:ascii="Tahoma" w:hAnsi="Tahoma"/>
          <w:color w:val="231F20"/>
          <w:spacing w:val="-13"/>
          <w:w w:val="105"/>
          <w:sz w:val="15"/>
        </w:rPr>
        <w:t> </w:t>
      </w:r>
      <w:r>
        <w:rPr>
          <w:rFonts w:ascii="Tahoma" w:hAnsi="Tahoma"/>
          <w:color w:val="231F20"/>
          <w:w w:val="105"/>
          <w:sz w:val="15"/>
        </w:rPr>
        <w:t>con</w:t>
      </w:r>
      <w:r>
        <w:rPr>
          <w:rFonts w:ascii="Tahoma" w:hAnsi="Tahoma"/>
          <w:color w:val="231F20"/>
          <w:spacing w:val="-13"/>
          <w:w w:val="105"/>
          <w:sz w:val="15"/>
        </w:rPr>
        <w:t> </w:t>
      </w:r>
      <w:r>
        <w:rPr>
          <w:rFonts w:ascii="Tahoma" w:hAnsi="Tahoma"/>
          <w:color w:val="231F20"/>
          <w:w w:val="105"/>
          <w:sz w:val="15"/>
        </w:rPr>
        <w:t>una</w:t>
      </w:r>
      <w:r>
        <w:rPr>
          <w:rFonts w:ascii="Tahoma" w:hAnsi="Tahoma"/>
          <w:color w:val="231F20"/>
          <w:spacing w:val="-13"/>
          <w:w w:val="105"/>
          <w:sz w:val="15"/>
        </w:rPr>
        <w:t> </w:t>
      </w:r>
      <w:r>
        <w:rPr>
          <w:rFonts w:ascii="Tahoma" w:hAnsi="Tahoma"/>
          <w:color w:val="231F20"/>
          <w:w w:val="105"/>
          <w:sz w:val="15"/>
        </w:rPr>
        <w:t>concentra- ción determinada de</w:t>
      </w:r>
      <w:r>
        <w:rPr>
          <w:rFonts w:ascii="Tahoma" w:hAnsi="Tahoma"/>
          <w:color w:val="231F20"/>
          <w:spacing w:val="-1"/>
          <w:w w:val="105"/>
          <w:sz w:val="15"/>
        </w:rPr>
        <w:t> </w:t>
      </w:r>
      <w:r>
        <w:rPr>
          <w:rFonts w:ascii="Tahoma" w:hAnsi="Tahoma"/>
          <w:color w:val="231F20"/>
          <w:w w:val="105"/>
          <w:sz w:val="15"/>
        </w:rPr>
        <w:t>fungicida.</w:t>
      </w:r>
    </w:p>
    <w:p>
      <w:pPr>
        <w:spacing w:line="178" w:lineRule="exact" w:before="90"/>
        <w:ind w:left="355" w:right="1537" w:firstLine="0"/>
        <w:jc w:val="both"/>
        <w:rPr>
          <w:rFonts w:ascii="Tahoma" w:hAnsi="Tahoma"/>
          <w:sz w:val="15"/>
        </w:rPr>
      </w:pPr>
      <w:r>
        <w:rPr>
          <w:rFonts w:ascii="Calibri" w:hAnsi="Calibri"/>
          <w:b/>
          <w:color w:val="231F20"/>
          <w:w w:val="105"/>
          <w:sz w:val="15"/>
        </w:rPr>
        <w:t>DMCT</w:t>
      </w:r>
      <w:r>
        <w:rPr>
          <w:rFonts w:ascii="Tahoma" w:hAnsi="Tahoma"/>
          <w:color w:val="231F20"/>
          <w:w w:val="105"/>
          <w:sz w:val="15"/>
        </w:rPr>
        <w:t>:</w:t>
      </w:r>
      <w:r>
        <w:rPr>
          <w:rFonts w:ascii="Tahoma" w:hAnsi="Tahoma"/>
          <w:color w:val="231F20"/>
          <w:spacing w:val="-18"/>
          <w:w w:val="105"/>
          <w:sz w:val="15"/>
        </w:rPr>
        <w:t> </w:t>
      </w:r>
      <w:r>
        <w:rPr>
          <w:rFonts w:ascii="Tahoma" w:hAnsi="Tahoma"/>
          <w:color w:val="231F20"/>
          <w:w w:val="105"/>
          <w:sz w:val="15"/>
        </w:rPr>
        <w:t>diámetro</w:t>
      </w:r>
      <w:r>
        <w:rPr>
          <w:rFonts w:ascii="Tahoma" w:hAnsi="Tahoma"/>
          <w:color w:val="231F20"/>
          <w:spacing w:val="-18"/>
          <w:w w:val="105"/>
          <w:sz w:val="15"/>
        </w:rPr>
        <w:t> </w:t>
      </w:r>
      <w:r>
        <w:rPr>
          <w:rFonts w:ascii="Tahoma" w:hAnsi="Tahoma"/>
          <w:color w:val="231F20"/>
          <w:w w:val="105"/>
          <w:sz w:val="15"/>
        </w:rPr>
        <w:t>medio</w:t>
      </w:r>
      <w:r>
        <w:rPr>
          <w:rFonts w:ascii="Tahoma" w:hAnsi="Tahoma"/>
          <w:color w:val="231F20"/>
          <w:spacing w:val="-18"/>
          <w:w w:val="105"/>
          <w:sz w:val="15"/>
        </w:rPr>
        <w:t> </w:t>
      </w:r>
      <w:r>
        <w:rPr>
          <w:rFonts w:ascii="Tahoma" w:hAnsi="Tahoma"/>
          <w:color w:val="231F20"/>
          <w:w w:val="105"/>
          <w:sz w:val="15"/>
        </w:rPr>
        <w:t>de</w:t>
      </w:r>
      <w:r>
        <w:rPr>
          <w:rFonts w:ascii="Tahoma" w:hAnsi="Tahoma"/>
          <w:color w:val="231F20"/>
          <w:spacing w:val="-18"/>
          <w:w w:val="105"/>
          <w:sz w:val="15"/>
        </w:rPr>
        <w:t> </w:t>
      </w:r>
      <w:r>
        <w:rPr>
          <w:rFonts w:ascii="Tahoma" w:hAnsi="Tahoma"/>
          <w:color w:val="231F20"/>
          <w:w w:val="105"/>
          <w:sz w:val="15"/>
        </w:rPr>
        <w:t>la</w:t>
      </w:r>
      <w:r>
        <w:rPr>
          <w:rFonts w:ascii="Tahoma" w:hAnsi="Tahoma"/>
          <w:color w:val="231F20"/>
          <w:spacing w:val="-18"/>
          <w:w w:val="105"/>
          <w:sz w:val="15"/>
        </w:rPr>
        <w:t> </w:t>
      </w:r>
      <w:r>
        <w:rPr>
          <w:rFonts w:ascii="Tahoma" w:hAnsi="Tahoma"/>
          <w:color w:val="231F20"/>
          <w:w w:val="105"/>
          <w:sz w:val="15"/>
        </w:rPr>
        <w:t>cepa</w:t>
      </w:r>
      <w:r>
        <w:rPr>
          <w:rFonts w:ascii="Tahoma" w:hAnsi="Tahoma"/>
          <w:color w:val="231F20"/>
          <w:spacing w:val="-18"/>
          <w:w w:val="105"/>
          <w:sz w:val="15"/>
        </w:rPr>
        <w:t> </w:t>
      </w:r>
      <w:r>
        <w:rPr>
          <w:rFonts w:ascii="Tahoma" w:hAnsi="Tahoma"/>
          <w:color w:val="231F20"/>
          <w:w w:val="105"/>
          <w:sz w:val="15"/>
        </w:rPr>
        <w:t>crecida</w:t>
      </w:r>
      <w:r>
        <w:rPr>
          <w:rFonts w:ascii="Tahoma" w:hAnsi="Tahoma"/>
          <w:color w:val="231F20"/>
          <w:spacing w:val="-18"/>
          <w:w w:val="105"/>
          <w:sz w:val="15"/>
        </w:rPr>
        <w:t> </w:t>
      </w:r>
      <w:r>
        <w:rPr>
          <w:rFonts w:ascii="Tahoma" w:hAnsi="Tahoma"/>
          <w:color w:val="231F20"/>
          <w:w w:val="105"/>
          <w:sz w:val="15"/>
        </w:rPr>
        <w:t>en agar-jugo</w:t>
      </w:r>
      <w:r>
        <w:rPr>
          <w:rFonts w:ascii="Tahoma" w:hAnsi="Tahoma"/>
          <w:color w:val="231F20"/>
          <w:spacing w:val="-14"/>
          <w:w w:val="105"/>
          <w:sz w:val="15"/>
        </w:rPr>
        <w:t> </w:t>
      </w:r>
      <w:r>
        <w:rPr>
          <w:rFonts w:ascii="Tahoma" w:hAnsi="Tahoma"/>
          <w:color w:val="231F20"/>
          <w:w w:val="105"/>
          <w:sz w:val="15"/>
        </w:rPr>
        <w:t>V8</w:t>
      </w:r>
      <w:r>
        <w:rPr>
          <w:rFonts w:ascii="Tahoma" w:hAnsi="Tahoma"/>
          <w:color w:val="231F20"/>
          <w:spacing w:val="-14"/>
          <w:w w:val="105"/>
          <w:sz w:val="15"/>
        </w:rPr>
        <w:t> </w:t>
      </w:r>
      <w:r>
        <w:rPr>
          <w:rFonts w:ascii="Tahoma" w:hAnsi="Tahoma"/>
          <w:color w:val="231F20"/>
          <w:w w:val="105"/>
          <w:sz w:val="15"/>
        </w:rPr>
        <w:t>sin</w:t>
      </w:r>
      <w:r>
        <w:rPr>
          <w:rFonts w:ascii="Tahoma" w:hAnsi="Tahoma"/>
          <w:color w:val="231F20"/>
          <w:spacing w:val="-14"/>
          <w:w w:val="105"/>
          <w:sz w:val="15"/>
        </w:rPr>
        <w:t> </w:t>
      </w:r>
      <w:r>
        <w:rPr>
          <w:rFonts w:ascii="Tahoma" w:hAnsi="Tahoma"/>
          <w:color w:val="231F20"/>
          <w:w w:val="105"/>
          <w:sz w:val="15"/>
        </w:rPr>
        <w:t>fungicida</w:t>
      </w:r>
      <w:r>
        <w:rPr>
          <w:rFonts w:ascii="Tahoma" w:hAnsi="Tahoma"/>
          <w:color w:val="231F20"/>
          <w:spacing w:val="-14"/>
          <w:w w:val="105"/>
          <w:sz w:val="15"/>
        </w:rPr>
        <w:t> </w:t>
      </w:r>
      <w:r>
        <w:rPr>
          <w:rFonts w:ascii="Tahoma" w:hAnsi="Tahoma"/>
          <w:color w:val="231F20"/>
          <w:w w:val="105"/>
          <w:sz w:val="15"/>
        </w:rPr>
        <w:t>(testigo).</w:t>
      </w:r>
    </w:p>
    <w:p>
      <w:pPr>
        <w:spacing w:line="178" w:lineRule="exact" w:before="90"/>
        <w:ind w:left="355" w:right="1538" w:firstLine="0"/>
        <w:jc w:val="both"/>
        <w:rPr>
          <w:rFonts w:ascii="Tahoma"/>
          <w:sz w:val="15"/>
        </w:rPr>
      </w:pPr>
      <w:r>
        <w:rPr>
          <w:rFonts w:ascii="Tahoma"/>
          <w:color w:val="231F20"/>
          <w:spacing w:val="-4"/>
          <w:w w:val="105"/>
          <w:sz w:val="15"/>
        </w:rPr>
        <w:t>Partiendo </w:t>
      </w:r>
      <w:r>
        <w:rPr>
          <w:rFonts w:ascii="Tahoma"/>
          <w:color w:val="231F20"/>
          <w:spacing w:val="-3"/>
          <w:w w:val="105"/>
          <w:sz w:val="15"/>
        </w:rPr>
        <w:t>del </w:t>
      </w:r>
      <w:r>
        <w:rPr>
          <w:rFonts w:ascii="Tahoma"/>
          <w:color w:val="231F20"/>
          <w:spacing w:val="-4"/>
          <w:w w:val="105"/>
          <w:sz w:val="15"/>
        </w:rPr>
        <w:t>criterio empleado </w:t>
      </w:r>
      <w:r>
        <w:rPr>
          <w:rFonts w:ascii="Tahoma"/>
          <w:color w:val="231F20"/>
          <w:spacing w:val="-3"/>
          <w:w w:val="105"/>
          <w:sz w:val="15"/>
        </w:rPr>
        <w:t>por </w:t>
      </w:r>
      <w:r>
        <w:rPr>
          <w:rFonts w:ascii="Tahoma"/>
          <w:color w:val="231F20"/>
          <w:spacing w:val="-4"/>
          <w:w w:val="105"/>
          <w:sz w:val="15"/>
        </w:rPr>
        <w:t>Goodwin </w:t>
      </w:r>
      <w:r>
        <w:rPr>
          <w:rFonts w:ascii="Trebuchet MS"/>
          <w:i/>
          <w:color w:val="231F20"/>
          <w:w w:val="105"/>
          <w:sz w:val="15"/>
        </w:rPr>
        <w:t>et</w:t>
      </w:r>
      <w:r>
        <w:rPr>
          <w:rFonts w:ascii="Trebuchet MS"/>
          <w:i/>
          <w:color w:val="231F20"/>
          <w:spacing w:val="-15"/>
          <w:w w:val="105"/>
          <w:sz w:val="15"/>
        </w:rPr>
        <w:t> </w:t>
      </w:r>
      <w:r>
        <w:rPr>
          <w:rFonts w:ascii="Trebuchet MS"/>
          <w:i/>
          <w:color w:val="231F20"/>
          <w:w w:val="105"/>
          <w:sz w:val="15"/>
        </w:rPr>
        <w:t>al</w:t>
      </w:r>
      <w:r>
        <w:rPr>
          <w:rFonts w:ascii="Tahoma"/>
          <w:color w:val="231F20"/>
          <w:w w:val="105"/>
          <w:sz w:val="15"/>
        </w:rPr>
        <w:t>.</w:t>
      </w:r>
      <w:r>
        <w:rPr>
          <w:rFonts w:ascii="Tahoma"/>
          <w:color w:val="231F20"/>
          <w:spacing w:val="-16"/>
          <w:w w:val="105"/>
          <w:sz w:val="15"/>
        </w:rPr>
        <w:t> </w:t>
      </w:r>
      <w:r>
        <w:rPr>
          <w:rFonts w:ascii="Tahoma"/>
          <w:color w:val="231F20"/>
          <w:w w:val="105"/>
          <w:sz w:val="15"/>
        </w:rPr>
        <w:t>(1996)</w:t>
      </w:r>
      <w:r>
        <w:rPr>
          <w:rFonts w:ascii="Tahoma"/>
          <w:color w:val="231F20"/>
          <w:spacing w:val="-16"/>
          <w:w w:val="105"/>
          <w:sz w:val="15"/>
        </w:rPr>
        <w:t> </w:t>
      </w:r>
      <w:r>
        <w:rPr>
          <w:rFonts w:ascii="Tahoma"/>
          <w:color w:val="231F20"/>
          <w:w w:val="105"/>
          <w:sz w:val="15"/>
        </w:rPr>
        <w:t>donde</w:t>
      </w:r>
      <w:r>
        <w:rPr>
          <w:rFonts w:ascii="Tahoma"/>
          <w:color w:val="231F20"/>
          <w:spacing w:val="-16"/>
          <w:w w:val="105"/>
          <w:sz w:val="15"/>
        </w:rPr>
        <w:t> </w:t>
      </w:r>
      <w:r>
        <w:rPr>
          <w:rFonts w:ascii="Tahoma"/>
          <w:color w:val="231F20"/>
          <w:w w:val="105"/>
          <w:sz w:val="15"/>
        </w:rPr>
        <w:t>el</w:t>
      </w:r>
      <w:r>
        <w:rPr>
          <w:rFonts w:ascii="Tahoma"/>
          <w:color w:val="231F20"/>
          <w:spacing w:val="-16"/>
          <w:w w:val="105"/>
          <w:sz w:val="15"/>
        </w:rPr>
        <w:t> </w:t>
      </w:r>
      <w:r>
        <w:rPr>
          <w:rFonts w:ascii="Tahoma"/>
          <w:color w:val="231F20"/>
          <w:w w:val="105"/>
          <w:sz w:val="15"/>
        </w:rPr>
        <w:t>testigo</w:t>
      </w:r>
      <w:r>
        <w:rPr>
          <w:rFonts w:ascii="Tahoma"/>
          <w:color w:val="231F20"/>
          <w:spacing w:val="-16"/>
          <w:w w:val="105"/>
          <w:sz w:val="15"/>
        </w:rPr>
        <w:t> </w:t>
      </w:r>
      <w:r>
        <w:rPr>
          <w:rFonts w:ascii="Tahoma"/>
          <w:color w:val="231F20"/>
          <w:w w:val="105"/>
          <w:sz w:val="15"/>
        </w:rPr>
        <w:t>(sin</w:t>
      </w:r>
      <w:r>
        <w:rPr>
          <w:rFonts w:ascii="Tahoma"/>
          <w:color w:val="231F20"/>
          <w:spacing w:val="-16"/>
          <w:w w:val="105"/>
          <w:sz w:val="15"/>
        </w:rPr>
        <w:t> </w:t>
      </w:r>
      <w:r>
        <w:rPr>
          <w:rFonts w:ascii="Tahoma"/>
          <w:color w:val="231F20"/>
          <w:w w:val="105"/>
          <w:sz w:val="15"/>
        </w:rPr>
        <w:t>fungicida) fue</w:t>
      </w:r>
      <w:r>
        <w:rPr>
          <w:rFonts w:ascii="Tahoma"/>
          <w:color w:val="231F20"/>
          <w:spacing w:val="-16"/>
          <w:w w:val="105"/>
          <w:sz w:val="15"/>
        </w:rPr>
        <w:t> </w:t>
      </w:r>
      <w:r>
        <w:rPr>
          <w:rFonts w:ascii="Tahoma"/>
          <w:color w:val="231F20"/>
          <w:spacing w:val="-3"/>
          <w:w w:val="105"/>
          <w:sz w:val="15"/>
        </w:rPr>
        <w:t>considerado</w:t>
      </w:r>
      <w:r>
        <w:rPr>
          <w:rFonts w:ascii="Tahoma"/>
          <w:color w:val="231F20"/>
          <w:spacing w:val="-16"/>
          <w:w w:val="105"/>
          <w:sz w:val="15"/>
        </w:rPr>
        <w:t> </w:t>
      </w:r>
      <w:r>
        <w:rPr>
          <w:rFonts w:ascii="Tahoma"/>
          <w:color w:val="231F20"/>
          <w:spacing w:val="-3"/>
          <w:w w:val="105"/>
          <w:sz w:val="15"/>
        </w:rPr>
        <w:t>como</w:t>
      </w:r>
      <w:r>
        <w:rPr>
          <w:rFonts w:ascii="Tahoma"/>
          <w:color w:val="231F20"/>
          <w:spacing w:val="-16"/>
          <w:w w:val="105"/>
          <w:sz w:val="15"/>
        </w:rPr>
        <w:t> </w:t>
      </w:r>
      <w:r>
        <w:rPr>
          <w:rFonts w:ascii="Tahoma"/>
          <w:color w:val="231F20"/>
          <w:spacing w:val="-3"/>
          <w:w w:val="105"/>
          <w:sz w:val="15"/>
        </w:rPr>
        <w:t>100%</w:t>
      </w:r>
      <w:r>
        <w:rPr>
          <w:rFonts w:ascii="Tahoma"/>
          <w:color w:val="231F20"/>
          <w:spacing w:val="-16"/>
          <w:w w:val="105"/>
          <w:sz w:val="15"/>
        </w:rPr>
        <w:t> </w:t>
      </w:r>
      <w:r>
        <w:rPr>
          <w:rFonts w:ascii="Tahoma"/>
          <w:color w:val="231F20"/>
          <w:w w:val="105"/>
          <w:sz w:val="15"/>
        </w:rPr>
        <w:t>del</w:t>
      </w:r>
      <w:r>
        <w:rPr>
          <w:rFonts w:ascii="Tahoma"/>
          <w:color w:val="231F20"/>
          <w:spacing w:val="-16"/>
          <w:w w:val="105"/>
          <w:sz w:val="15"/>
        </w:rPr>
        <w:t> </w:t>
      </w:r>
      <w:r>
        <w:rPr>
          <w:rFonts w:ascii="Tahoma"/>
          <w:color w:val="231F20"/>
          <w:spacing w:val="-3"/>
          <w:w w:val="105"/>
          <w:sz w:val="15"/>
        </w:rPr>
        <w:t>crecimiento,</w:t>
      </w:r>
    </w:p>
    <w:p>
      <w:pPr>
        <w:spacing w:after="0" w:line="178" w:lineRule="exact"/>
        <w:jc w:val="both"/>
        <w:rPr>
          <w:rFonts w:ascii="Tahoma"/>
          <w:sz w:val="15"/>
        </w:rPr>
        <w:sectPr>
          <w:type w:val="continuous"/>
          <w:pgSz w:w="12240" w:h="15840"/>
          <w:pgMar w:top="1500" w:bottom="1820" w:left="1460" w:right="1440"/>
          <w:cols w:num="2" w:equalWidth="0">
            <w:col w:w="4406" w:space="40"/>
            <w:col w:w="4894"/>
          </w:cols>
        </w:sectPr>
      </w:pPr>
    </w:p>
    <w:tbl>
      <w:tblPr>
        <w:tblW w:w="0" w:type="auto"/>
        <w:jc w:val="left"/>
        <w:tblInd w:w="30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26"/>
        <w:gridCol w:w="870"/>
        <w:gridCol w:w="3321"/>
      </w:tblGrid>
      <w:tr>
        <w:trPr>
          <w:trHeight w:val="188" w:hRule="exact"/>
        </w:trPr>
        <w:tc>
          <w:tcPr>
            <w:tcW w:w="626" w:type="dxa"/>
          </w:tcPr>
          <w:p>
            <w:pPr>
              <w:pStyle w:val="TableParagraph"/>
              <w:spacing w:line="123" w:lineRule="exact"/>
              <w:ind w:left="35"/>
              <w:rPr>
                <w:rFonts w:ascii="Tahoma"/>
                <w:sz w:val="13"/>
              </w:rPr>
            </w:pPr>
            <w:r>
              <w:rPr>
                <w:rFonts w:ascii="Tahoma"/>
                <w:color w:val="231F20"/>
                <w:w w:val="105"/>
                <w:sz w:val="13"/>
              </w:rPr>
              <w:t>2012</w:t>
            </w:r>
          </w:p>
        </w:tc>
        <w:tc>
          <w:tcPr>
            <w:tcW w:w="870" w:type="dxa"/>
          </w:tcPr>
          <w:p>
            <w:pPr>
              <w:pStyle w:val="TableParagraph"/>
              <w:spacing w:line="123" w:lineRule="exact"/>
              <w:ind w:left="293"/>
              <w:rPr>
                <w:rFonts w:ascii="Tahoma"/>
                <w:sz w:val="13"/>
              </w:rPr>
            </w:pPr>
            <w:r>
              <w:rPr>
                <w:rFonts w:ascii="Tahoma"/>
                <w:color w:val="231F20"/>
                <w:sz w:val="13"/>
              </w:rPr>
              <w:t>LPT1</w:t>
            </w:r>
          </w:p>
        </w:tc>
        <w:tc>
          <w:tcPr>
            <w:tcW w:w="3321" w:type="dxa"/>
          </w:tcPr>
          <w:p>
            <w:pPr>
              <w:pStyle w:val="TableParagraph"/>
              <w:spacing w:line="174" w:lineRule="exact"/>
              <w:ind w:left="286"/>
              <w:rPr>
                <w:rFonts w:ascii="Tahoma" w:hAnsi="Tahoma"/>
                <w:sz w:val="15"/>
              </w:rPr>
            </w:pPr>
            <w:r>
              <w:rPr>
                <w:rFonts w:ascii="Tahoma" w:hAnsi="Tahoma"/>
                <w:color w:val="231F20"/>
                <w:w w:val="105"/>
                <w:sz w:val="15"/>
              </w:rPr>
              <w:t>los</w:t>
            </w:r>
            <w:r>
              <w:rPr>
                <w:rFonts w:ascii="Tahoma" w:hAnsi="Tahoma"/>
                <w:color w:val="231F20"/>
                <w:spacing w:val="-17"/>
                <w:w w:val="105"/>
                <w:sz w:val="15"/>
              </w:rPr>
              <w:t> </w:t>
            </w:r>
            <w:r>
              <w:rPr>
                <w:rFonts w:ascii="Tahoma" w:hAnsi="Tahoma"/>
                <w:color w:val="231F20"/>
                <w:w w:val="105"/>
                <w:sz w:val="15"/>
              </w:rPr>
              <w:t>aislamientos</w:t>
            </w:r>
            <w:r>
              <w:rPr>
                <w:rFonts w:ascii="Tahoma" w:hAnsi="Tahoma"/>
                <w:color w:val="231F20"/>
                <w:spacing w:val="-17"/>
                <w:w w:val="105"/>
                <w:sz w:val="15"/>
              </w:rPr>
              <w:t> </w:t>
            </w:r>
            <w:r>
              <w:rPr>
                <w:rFonts w:ascii="Tahoma" w:hAnsi="Tahoma"/>
                <w:color w:val="231F20"/>
                <w:w w:val="105"/>
                <w:sz w:val="15"/>
              </w:rPr>
              <w:t>que</w:t>
            </w:r>
            <w:r>
              <w:rPr>
                <w:rFonts w:ascii="Tahoma" w:hAnsi="Tahoma"/>
                <w:color w:val="231F20"/>
                <w:spacing w:val="-17"/>
                <w:w w:val="105"/>
                <w:sz w:val="15"/>
              </w:rPr>
              <w:t> </w:t>
            </w:r>
            <w:r>
              <w:rPr>
                <w:rFonts w:ascii="Tahoma" w:hAnsi="Tahoma"/>
                <w:color w:val="231F20"/>
                <w:w w:val="105"/>
                <w:sz w:val="15"/>
              </w:rPr>
              <w:t>mostraron</w:t>
            </w:r>
            <w:r>
              <w:rPr>
                <w:rFonts w:ascii="Tahoma" w:hAnsi="Tahoma"/>
                <w:color w:val="231F20"/>
                <w:spacing w:val="-17"/>
                <w:w w:val="105"/>
                <w:sz w:val="15"/>
              </w:rPr>
              <w:t> </w:t>
            </w:r>
            <w:r>
              <w:rPr>
                <w:rFonts w:ascii="Tahoma" w:hAnsi="Tahoma"/>
                <w:color w:val="231F20"/>
                <w:w w:val="105"/>
                <w:sz w:val="15"/>
              </w:rPr>
              <w:t>más</w:t>
            </w:r>
            <w:r>
              <w:rPr>
                <w:rFonts w:ascii="Tahoma" w:hAnsi="Tahoma"/>
                <w:color w:val="231F20"/>
                <w:spacing w:val="-17"/>
                <w:w w:val="105"/>
                <w:sz w:val="15"/>
              </w:rPr>
              <w:t> </w:t>
            </w:r>
            <w:r>
              <w:rPr>
                <w:rFonts w:ascii="Tahoma" w:hAnsi="Tahoma"/>
                <w:color w:val="231F20"/>
                <w:w w:val="105"/>
                <w:sz w:val="15"/>
              </w:rPr>
              <w:t>de</w:t>
            </w:r>
            <w:r>
              <w:rPr>
                <w:rFonts w:ascii="Tahoma" w:hAnsi="Tahoma"/>
                <w:color w:val="231F20"/>
                <w:spacing w:val="-17"/>
                <w:w w:val="105"/>
                <w:sz w:val="15"/>
              </w:rPr>
              <w:t> </w:t>
            </w:r>
            <w:r>
              <w:rPr>
                <w:rFonts w:ascii="Tahoma" w:hAnsi="Tahoma"/>
                <w:color w:val="231F20"/>
                <w:spacing w:val="-2"/>
                <w:w w:val="105"/>
                <w:sz w:val="15"/>
              </w:rPr>
              <w:t>40%</w:t>
            </w:r>
          </w:p>
        </w:tc>
      </w:tr>
      <w:tr>
        <w:trPr>
          <w:trHeight w:val="185" w:hRule="exact"/>
        </w:trPr>
        <w:tc>
          <w:tcPr>
            <w:tcW w:w="626" w:type="dxa"/>
          </w:tcPr>
          <w:p>
            <w:pPr>
              <w:pStyle w:val="TableParagraph"/>
              <w:spacing w:line="128" w:lineRule="exact"/>
              <w:ind w:left="35"/>
              <w:rPr>
                <w:rFonts w:ascii="Tahoma"/>
                <w:sz w:val="13"/>
              </w:rPr>
            </w:pPr>
            <w:r>
              <w:rPr>
                <w:rFonts w:ascii="Tahoma"/>
                <w:color w:val="231F20"/>
                <w:w w:val="105"/>
                <w:sz w:val="13"/>
              </w:rPr>
              <w:t>2012</w:t>
            </w:r>
          </w:p>
        </w:tc>
        <w:tc>
          <w:tcPr>
            <w:tcW w:w="870" w:type="dxa"/>
          </w:tcPr>
          <w:p>
            <w:pPr>
              <w:pStyle w:val="TableParagraph"/>
              <w:spacing w:line="128" w:lineRule="exact"/>
              <w:ind w:left="293"/>
              <w:rPr>
                <w:rFonts w:ascii="Tahoma"/>
                <w:sz w:val="13"/>
              </w:rPr>
            </w:pPr>
            <w:r>
              <w:rPr>
                <w:rFonts w:ascii="Tahoma"/>
                <w:color w:val="231F20"/>
                <w:sz w:val="13"/>
              </w:rPr>
              <w:t>LPT2</w:t>
            </w:r>
          </w:p>
        </w:tc>
        <w:tc>
          <w:tcPr>
            <w:tcW w:w="3321" w:type="dxa"/>
          </w:tcPr>
          <w:p>
            <w:pPr>
              <w:pStyle w:val="TableParagraph"/>
              <w:spacing w:line="164" w:lineRule="exact"/>
              <w:ind w:left="286"/>
              <w:rPr>
                <w:rFonts w:ascii="Tahoma"/>
                <w:sz w:val="15"/>
              </w:rPr>
            </w:pPr>
            <w:r>
              <w:rPr>
                <w:rFonts w:ascii="Tahoma"/>
                <w:color w:val="231F20"/>
                <w:w w:val="105"/>
                <w:sz w:val="15"/>
              </w:rPr>
              <w:t>de</w:t>
            </w:r>
            <w:r>
              <w:rPr>
                <w:rFonts w:ascii="Tahoma"/>
                <w:color w:val="231F20"/>
                <w:spacing w:val="-13"/>
                <w:w w:val="105"/>
                <w:sz w:val="15"/>
              </w:rPr>
              <w:t> </w:t>
            </w:r>
            <w:r>
              <w:rPr>
                <w:rFonts w:ascii="Tahoma"/>
                <w:color w:val="231F20"/>
                <w:w w:val="105"/>
                <w:sz w:val="15"/>
              </w:rPr>
              <w:t>crecimiento</w:t>
            </w:r>
            <w:r>
              <w:rPr>
                <w:rFonts w:ascii="Tahoma"/>
                <w:color w:val="231F20"/>
                <w:spacing w:val="-13"/>
                <w:w w:val="105"/>
                <w:sz w:val="15"/>
              </w:rPr>
              <w:t> </w:t>
            </w:r>
            <w:r>
              <w:rPr>
                <w:rFonts w:ascii="Tahoma"/>
                <w:color w:val="231F20"/>
                <w:w w:val="105"/>
                <w:sz w:val="15"/>
              </w:rPr>
              <w:t>relativo</w:t>
            </w:r>
            <w:r>
              <w:rPr>
                <w:rFonts w:ascii="Tahoma"/>
                <w:color w:val="231F20"/>
                <w:spacing w:val="-13"/>
                <w:w w:val="105"/>
                <w:sz w:val="15"/>
              </w:rPr>
              <w:t> </w:t>
            </w:r>
            <w:r>
              <w:rPr>
                <w:rFonts w:ascii="Tahoma"/>
                <w:color w:val="231F20"/>
                <w:w w:val="105"/>
                <w:sz w:val="15"/>
              </w:rPr>
              <w:t>al</w:t>
            </w:r>
            <w:r>
              <w:rPr>
                <w:rFonts w:ascii="Tahoma"/>
                <w:color w:val="231F20"/>
                <w:spacing w:val="-13"/>
                <w:w w:val="105"/>
                <w:sz w:val="15"/>
              </w:rPr>
              <w:t> </w:t>
            </w:r>
            <w:r>
              <w:rPr>
                <w:rFonts w:ascii="Tahoma"/>
                <w:color w:val="231F20"/>
                <w:w w:val="105"/>
                <w:sz w:val="15"/>
              </w:rPr>
              <w:t>testigo</w:t>
            </w:r>
            <w:r>
              <w:rPr>
                <w:rFonts w:ascii="Tahoma"/>
                <w:color w:val="231F20"/>
                <w:spacing w:val="-13"/>
                <w:w w:val="105"/>
                <w:sz w:val="15"/>
              </w:rPr>
              <w:t> </w:t>
            </w:r>
            <w:r>
              <w:rPr>
                <w:rFonts w:ascii="Tahoma"/>
                <w:color w:val="231F20"/>
                <w:w w:val="105"/>
                <w:sz w:val="15"/>
              </w:rPr>
              <w:t>en</w:t>
            </w:r>
            <w:r>
              <w:rPr>
                <w:rFonts w:ascii="Tahoma"/>
                <w:color w:val="231F20"/>
                <w:spacing w:val="-13"/>
                <w:w w:val="105"/>
                <w:sz w:val="15"/>
              </w:rPr>
              <w:t> </w:t>
            </w:r>
            <w:r>
              <w:rPr>
                <w:rFonts w:ascii="Tahoma"/>
                <w:color w:val="231F20"/>
                <w:w w:val="105"/>
                <w:sz w:val="15"/>
              </w:rPr>
              <w:t>presen-</w:t>
            </w:r>
          </w:p>
        </w:tc>
      </w:tr>
      <w:tr>
        <w:trPr>
          <w:trHeight w:val="182" w:hRule="exact"/>
        </w:trPr>
        <w:tc>
          <w:tcPr>
            <w:tcW w:w="626" w:type="dxa"/>
          </w:tcPr>
          <w:p>
            <w:pPr>
              <w:pStyle w:val="TableParagraph"/>
              <w:spacing w:line="135" w:lineRule="exact"/>
              <w:ind w:left="35"/>
              <w:rPr>
                <w:rFonts w:ascii="Tahoma"/>
                <w:sz w:val="13"/>
              </w:rPr>
            </w:pPr>
            <w:r>
              <w:rPr>
                <w:rFonts w:ascii="Tahoma"/>
                <w:color w:val="231F20"/>
                <w:w w:val="105"/>
                <w:sz w:val="13"/>
              </w:rPr>
              <w:t>2012</w:t>
            </w:r>
          </w:p>
        </w:tc>
        <w:tc>
          <w:tcPr>
            <w:tcW w:w="870" w:type="dxa"/>
          </w:tcPr>
          <w:p>
            <w:pPr>
              <w:pStyle w:val="TableParagraph"/>
              <w:spacing w:line="135" w:lineRule="exact"/>
              <w:ind w:left="293"/>
              <w:rPr>
                <w:rFonts w:ascii="Tahoma"/>
                <w:sz w:val="13"/>
              </w:rPr>
            </w:pPr>
            <w:r>
              <w:rPr>
                <w:rFonts w:ascii="Tahoma"/>
                <w:color w:val="231F20"/>
                <w:sz w:val="13"/>
              </w:rPr>
              <w:t>LPT3</w:t>
            </w:r>
          </w:p>
        </w:tc>
        <w:tc>
          <w:tcPr>
            <w:tcW w:w="3321" w:type="dxa"/>
          </w:tcPr>
          <w:p>
            <w:pPr>
              <w:pStyle w:val="TableParagraph"/>
              <w:spacing w:line="166" w:lineRule="exact"/>
              <w:ind w:left="286"/>
              <w:rPr>
                <w:rFonts w:ascii="Tahoma" w:hAnsi="Tahoma"/>
                <w:sz w:val="15"/>
              </w:rPr>
            </w:pPr>
            <w:r>
              <w:rPr>
                <w:rFonts w:ascii="Tahoma" w:hAnsi="Tahoma"/>
                <w:color w:val="231F20"/>
                <w:w w:val="105"/>
                <w:sz w:val="15"/>
              </w:rPr>
              <w:t>cia de 5.0 </w:t>
            </w:r>
            <w:r>
              <w:rPr>
                <w:rFonts w:ascii="Calibri" w:hAnsi="Calibri"/>
                <w:color w:val="231F20"/>
                <w:w w:val="105"/>
                <w:sz w:val="15"/>
              </w:rPr>
              <w:t>μ</w:t>
            </w:r>
            <w:r>
              <w:rPr>
                <w:rFonts w:ascii="Tahoma" w:hAnsi="Tahoma"/>
                <w:color w:val="231F20"/>
                <w:w w:val="105"/>
                <w:sz w:val="15"/>
              </w:rPr>
              <w:t>g de metalaxil (ingrediente  ac-</w:t>
            </w:r>
          </w:p>
        </w:tc>
      </w:tr>
      <w:tr>
        <w:trPr>
          <w:trHeight w:val="193" w:hRule="exact"/>
        </w:trPr>
        <w:tc>
          <w:tcPr>
            <w:tcW w:w="626" w:type="dxa"/>
          </w:tcPr>
          <w:p>
            <w:pPr>
              <w:pStyle w:val="TableParagraph"/>
              <w:spacing w:line="146" w:lineRule="exact"/>
              <w:ind w:left="35"/>
              <w:rPr>
                <w:rFonts w:ascii="Tahoma"/>
                <w:sz w:val="13"/>
              </w:rPr>
            </w:pPr>
            <w:r>
              <w:rPr>
                <w:rFonts w:ascii="Tahoma"/>
                <w:color w:val="231F20"/>
                <w:w w:val="105"/>
                <w:sz w:val="13"/>
              </w:rPr>
              <w:t>2012</w:t>
            </w:r>
          </w:p>
        </w:tc>
        <w:tc>
          <w:tcPr>
            <w:tcW w:w="870" w:type="dxa"/>
          </w:tcPr>
          <w:p>
            <w:pPr>
              <w:pStyle w:val="TableParagraph"/>
              <w:spacing w:line="146" w:lineRule="exact"/>
              <w:ind w:left="293"/>
              <w:rPr>
                <w:rFonts w:ascii="Tahoma"/>
                <w:sz w:val="13"/>
              </w:rPr>
            </w:pPr>
            <w:r>
              <w:rPr>
                <w:rFonts w:ascii="Tahoma"/>
                <w:color w:val="231F20"/>
                <w:sz w:val="13"/>
              </w:rPr>
              <w:t>LPT4</w:t>
            </w:r>
          </w:p>
        </w:tc>
        <w:tc>
          <w:tcPr>
            <w:tcW w:w="3321" w:type="dxa"/>
          </w:tcPr>
          <w:p>
            <w:pPr>
              <w:pStyle w:val="TableParagraph"/>
              <w:spacing w:line="153" w:lineRule="exact"/>
              <w:ind w:left="286"/>
              <w:rPr>
                <w:rFonts w:ascii="Tahoma"/>
                <w:sz w:val="15"/>
              </w:rPr>
            </w:pPr>
            <w:r>
              <w:rPr>
                <w:rFonts w:ascii="Tahoma"/>
                <w:color w:val="231F20"/>
                <w:w w:val="105"/>
                <w:sz w:val="15"/>
              </w:rPr>
              <w:t>tivo)/ml fueron considerados resistentes.</w:t>
            </w:r>
          </w:p>
        </w:tc>
      </w:tr>
    </w:tbl>
    <w:p>
      <w:pPr>
        <w:spacing w:after="0" w:line="153" w:lineRule="exact"/>
        <w:rPr>
          <w:rFonts w:ascii="Tahoma"/>
          <w:sz w:val="15"/>
        </w:rPr>
        <w:sectPr>
          <w:type w:val="continuous"/>
          <w:pgSz w:w="12240" w:h="15840"/>
          <w:pgMar w:top="1500" w:bottom="1820" w:left="1460" w:right="1440"/>
        </w:sectPr>
      </w:pPr>
    </w:p>
    <w:p>
      <w:pPr>
        <w:tabs>
          <w:tab w:pos="884" w:val="left" w:leader="none"/>
        </w:tabs>
        <w:spacing w:line="146" w:lineRule="exact" w:before="0"/>
        <w:ind w:left="0" w:right="303" w:firstLine="0"/>
        <w:jc w:val="right"/>
        <w:rPr>
          <w:rFonts w:ascii="Tahoma"/>
          <w:sz w:val="13"/>
        </w:rPr>
      </w:pPr>
      <w:r>
        <w:rPr>
          <w:rFonts w:ascii="Tahoma"/>
          <w:color w:val="231F20"/>
          <w:w w:val="105"/>
          <w:sz w:val="13"/>
        </w:rPr>
        <w:t>2012</w:t>
        <w:tab/>
      </w:r>
      <w:r>
        <w:rPr>
          <w:rFonts w:ascii="Tahoma"/>
          <w:color w:val="231F20"/>
          <w:sz w:val="13"/>
        </w:rPr>
        <w:t>LPT5</w:t>
      </w:r>
    </w:p>
    <w:p>
      <w:pPr>
        <w:tabs>
          <w:tab w:pos="884" w:val="left" w:leader="none"/>
        </w:tabs>
        <w:spacing w:before="36"/>
        <w:ind w:left="0" w:right="303" w:firstLine="0"/>
        <w:jc w:val="right"/>
        <w:rPr>
          <w:rFonts w:ascii="Tahoma"/>
          <w:sz w:val="13"/>
        </w:rPr>
      </w:pPr>
      <w:r>
        <w:rPr>
          <w:rFonts w:ascii="Tahoma"/>
          <w:color w:val="231F20"/>
          <w:w w:val="105"/>
          <w:sz w:val="13"/>
        </w:rPr>
        <w:t>2012</w:t>
        <w:tab/>
      </w:r>
      <w:r>
        <w:rPr>
          <w:rFonts w:ascii="Tahoma"/>
          <w:color w:val="231F20"/>
          <w:sz w:val="13"/>
        </w:rPr>
        <w:t>LPT6</w:t>
      </w:r>
    </w:p>
    <w:p>
      <w:pPr>
        <w:pStyle w:val="BodyText"/>
        <w:spacing w:before="8"/>
        <w:rPr>
          <w:rFonts w:ascii="Tahoma"/>
          <w:sz w:val="4"/>
        </w:rPr>
      </w:pPr>
    </w:p>
    <w:p>
      <w:pPr>
        <w:pStyle w:val="BodyText"/>
        <w:spacing w:line="20" w:lineRule="exact"/>
        <w:ind w:left="1514" w:right="-50"/>
        <w:rPr>
          <w:rFonts w:ascii="Tahoma"/>
          <w:sz w:val="2"/>
        </w:rPr>
      </w:pPr>
      <w:r>
        <w:rPr>
          <w:rFonts w:ascii="Tahoma"/>
          <w:sz w:val="2"/>
        </w:rPr>
        <w:pict>
          <v:group style="width:150.450pt;height:.4pt;mso-position-horizontal-relative:char;mso-position-vertical-relative:line" coordorigin="0,0" coordsize="3009,8">
            <v:line style="position:absolute" from="4,4" to="3004,4" stroked="true" strokeweight=".371215pt" strokecolor="#231f20"/>
          </v:group>
        </w:pict>
      </w:r>
      <w:r>
        <w:rPr>
          <w:rFonts w:ascii="Tahoma"/>
          <w:sz w:val="2"/>
        </w:rPr>
      </w:r>
    </w:p>
    <w:p>
      <w:pPr>
        <w:tabs>
          <w:tab w:pos="1534" w:val="left" w:leader="none"/>
          <w:tab w:pos="2419" w:val="left" w:leader="none"/>
        </w:tabs>
        <w:spacing w:before="14"/>
        <w:ind w:left="0" w:right="355" w:firstLine="0"/>
        <w:jc w:val="right"/>
        <w:rPr>
          <w:rFonts w:ascii="Tahoma" w:hAnsi="Tahoma"/>
          <w:sz w:val="13"/>
        </w:rPr>
      </w:pPr>
      <w:r>
        <w:rPr>
          <w:rFonts w:ascii="Tahoma" w:hAnsi="Tahoma"/>
          <w:color w:val="231F20"/>
          <w:w w:val="105"/>
          <w:sz w:val="13"/>
        </w:rPr>
        <w:t>Raíces</w:t>
        <w:tab/>
        <w:t>2012</w:t>
        <w:tab/>
      </w:r>
      <w:r>
        <w:rPr>
          <w:rFonts w:ascii="Tahoma" w:hAnsi="Tahoma"/>
          <w:color w:val="231F20"/>
          <w:spacing w:val="-2"/>
          <w:sz w:val="13"/>
        </w:rPr>
        <w:t>RR1</w:t>
      </w:r>
    </w:p>
    <w:p>
      <w:pPr>
        <w:tabs>
          <w:tab w:pos="884" w:val="left" w:leader="none"/>
        </w:tabs>
        <w:spacing w:before="36"/>
        <w:ind w:left="0" w:right="355" w:firstLine="0"/>
        <w:jc w:val="right"/>
        <w:rPr>
          <w:rFonts w:ascii="Tahoma"/>
          <w:sz w:val="13"/>
        </w:rPr>
      </w:pPr>
      <w:r>
        <w:rPr>
          <w:rFonts w:ascii="Tahoma"/>
          <w:color w:val="231F20"/>
          <w:w w:val="105"/>
          <w:sz w:val="13"/>
        </w:rPr>
        <w:t>2012</w:t>
        <w:tab/>
      </w:r>
      <w:r>
        <w:rPr>
          <w:rFonts w:ascii="Tahoma"/>
          <w:color w:val="231F20"/>
          <w:sz w:val="13"/>
        </w:rPr>
        <w:t>RR2</w:t>
      </w:r>
    </w:p>
    <w:p>
      <w:pPr>
        <w:tabs>
          <w:tab w:pos="884" w:val="left" w:leader="none"/>
        </w:tabs>
        <w:spacing w:before="36"/>
        <w:ind w:left="0" w:right="365" w:firstLine="0"/>
        <w:jc w:val="right"/>
        <w:rPr>
          <w:rFonts w:ascii="Tahoma"/>
          <w:sz w:val="13"/>
        </w:rPr>
      </w:pPr>
      <w:r>
        <w:rPr>
          <w:rFonts w:ascii="Tahoma"/>
          <w:color w:val="231F20"/>
          <w:w w:val="105"/>
          <w:sz w:val="13"/>
        </w:rPr>
        <w:t>2012</w:t>
        <w:tab/>
      </w:r>
      <w:r>
        <w:rPr>
          <w:rFonts w:ascii="Tahoma"/>
          <w:color w:val="231F20"/>
          <w:spacing w:val="-2"/>
          <w:sz w:val="13"/>
        </w:rPr>
        <w:t>RT1</w:t>
      </w:r>
    </w:p>
    <w:p>
      <w:pPr>
        <w:tabs>
          <w:tab w:pos="884" w:val="left" w:leader="none"/>
        </w:tabs>
        <w:spacing w:before="36"/>
        <w:ind w:left="0" w:right="365" w:firstLine="0"/>
        <w:jc w:val="right"/>
        <w:rPr>
          <w:rFonts w:ascii="Tahoma"/>
          <w:sz w:val="13"/>
        </w:rPr>
      </w:pPr>
      <w:r>
        <w:rPr>
          <w:rFonts w:ascii="Tahoma"/>
          <w:color w:val="231F20"/>
          <w:w w:val="105"/>
          <w:sz w:val="13"/>
        </w:rPr>
        <w:t>2012</w:t>
        <w:tab/>
      </w:r>
      <w:r>
        <w:rPr>
          <w:rFonts w:ascii="Tahoma"/>
          <w:color w:val="231F20"/>
          <w:spacing w:val="-2"/>
          <w:sz w:val="13"/>
        </w:rPr>
        <w:t>RT2</w:t>
      </w:r>
    </w:p>
    <w:p>
      <w:pPr>
        <w:pStyle w:val="BodyText"/>
        <w:spacing w:before="8"/>
        <w:rPr>
          <w:rFonts w:ascii="Tahoma"/>
          <w:sz w:val="4"/>
        </w:rPr>
      </w:pPr>
    </w:p>
    <w:p>
      <w:pPr>
        <w:pStyle w:val="BodyText"/>
        <w:spacing w:line="20" w:lineRule="exact"/>
        <w:ind w:left="1514" w:right="-50"/>
        <w:rPr>
          <w:rFonts w:ascii="Tahoma"/>
          <w:sz w:val="2"/>
        </w:rPr>
      </w:pPr>
      <w:r>
        <w:rPr>
          <w:rFonts w:ascii="Tahoma"/>
          <w:sz w:val="2"/>
        </w:rPr>
        <w:pict>
          <v:group style="width:150.450pt;height:.4pt;mso-position-horizontal-relative:char;mso-position-vertical-relative:line" coordorigin="0,0" coordsize="3009,8">
            <v:line style="position:absolute" from="4,4" to="3004,4" stroked="true" strokeweight=".371215pt" strokecolor="#231f20"/>
          </v:group>
        </w:pict>
      </w:r>
      <w:r>
        <w:rPr>
          <w:rFonts w:ascii="Tahoma"/>
          <w:sz w:val="2"/>
        </w:rPr>
      </w:r>
    </w:p>
    <w:p>
      <w:pPr>
        <w:tabs>
          <w:tab w:pos="1534" w:val="left" w:leader="none"/>
          <w:tab w:pos="2419" w:val="left" w:leader="none"/>
        </w:tabs>
        <w:spacing w:before="14"/>
        <w:ind w:left="0" w:right="347" w:firstLine="0"/>
        <w:jc w:val="right"/>
        <w:rPr>
          <w:rFonts w:ascii="Tahoma"/>
          <w:sz w:val="13"/>
        </w:rPr>
      </w:pPr>
      <w:r>
        <w:rPr>
          <w:rFonts w:ascii="Tahoma"/>
          <w:color w:val="231F20"/>
          <w:w w:val="105"/>
          <w:sz w:val="13"/>
        </w:rPr>
        <w:t>Buenavista</w:t>
        <w:tab/>
        <w:t>2012</w:t>
        <w:tab/>
        <w:t>BV1</w:t>
      </w:r>
    </w:p>
    <w:p>
      <w:pPr>
        <w:tabs>
          <w:tab w:pos="884" w:val="left" w:leader="none"/>
        </w:tabs>
        <w:spacing w:before="36"/>
        <w:ind w:left="0" w:right="349" w:firstLine="0"/>
        <w:jc w:val="right"/>
        <w:rPr>
          <w:rFonts w:ascii="Tahoma"/>
          <w:sz w:val="13"/>
        </w:rPr>
      </w:pPr>
      <w:r>
        <w:rPr>
          <w:rFonts w:ascii="Tahoma"/>
          <w:color w:val="231F20"/>
          <w:w w:val="105"/>
          <w:sz w:val="13"/>
        </w:rPr>
        <w:t>2012</w:t>
        <w:tab/>
      </w:r>
      <w:r>
        <w:rPr>
          <w:rFonts w:ascii="Tahoma"/>
          <w:color w:val="231F20"/>
          <w:spacing w:val="-1"/>
          <w:w w:val="105"/>
          <w:sz w:val="13"/>
        </w:rPr>
        <w:t>BV2</w:t>
      </w:r>
    </w:p>
    <w:p>
      <w:pPr>
        <w:tabs>
          <w:tab w:pos="884" w:val="left" w:leader="none"/>
        </w:tabs>
        <w:spacing w:before="36"/>
        <w:ind w:left="0" w:right="273" w:firstLine="0"/>
        <w:jc w:val="right"/>
        <w:rPr>
          <w:rFonts w:ascii="Tahoma"/>
          <w:sz w:val="13"/>
        </w:rPr>
      </w:pPr>
      <w:r>
        <w:rPr>
          <w:rFonts w:ascii="Tahoma"/>
          <w:color w:val="231F20"/>
          <w:w w:val="105"/>
          <w:sz w:val="13"/>
        </w:rPr>
        <w:t>2012</w:t>
        <w:tab/>
        <w:t>BVT1</w:t>
      </w:r>
    </w:p>
    <w:p>
      <w:pPr>
        <w:tabs>
          <w:tab w:pos="884" w:val="left" w:leader="none"/>
        </w:tabs>
        <w:spacing w:before="36"/>
        <w:ind w:left="0" w:right="273" w:firstLine="0"/>
        <w:jc w:val="right"/>
        <w:rPr>
          <w:rFonts w:ascii="Tahoma"/>
          <w:sz w:val="13"/>
        </w:rPr>
      </w:pPr>
      <w:r>
        <w:rPr>
          <w:rFonts w:ascii="Tahoma"/>
          <w:color w:val="231F20"/>
          <w:w w:val="105"/>
          <w:sz w:val="13"/>
        </w:rPr>
        <w:t>2012</w:t>
        <w:tab/>
        <w:t>BVT2</w:t>
      </w:r>
    </w:p>
    <w:p>
      <w:pPr>
        <w:tabs>
          <w:tab w:pos="884" w:val="left" w:leader="none"/>
        </w:tabs>
        <w:spacing w:before="36"/>
        <w:ind w:left="0" w:right="273" w:firstLine="0"/>
        <w:jc w:val="right"/>
        <w:rPr>
          <w:rFonts w:ascii="Tahoma"/>
          <w:sz w:val="13"/>
        </w:rPr>
      </w:pPr>
      <w:r>
        <w:rPr>
          <w:rFonts w:ascii="Tahoma"/>
          <w:color w:val="231F20"/>
          <w:w w:val="105"/>
          <w:sz w:val="13"/>
        </w:rPr>
        <w:t>2012</w:t>
        <w:tab/>
        <w:t>BVT3</w:t>
      </w:r>
    </w:p>
    <w:p>
      <w:pPr>
        <w:pStyle w:val="BodyText"/>
        <w:spacing w:before="8"/>
        <w:rPr>
          <w:rFonts w:ascii="Tahoma"/>
          <w:sz w:val="4"/>
        </w:rPr>
      </w:pPr>
    </w:p>
    <w:p>
      <w:pPr>
        <w:pStyle w:val="BodyText"/>
        <w:spacing w:line="20" w:lineRule="exact"/>
        <w:ind w:left="1514" w:right="-50"/>
        <w:rPr>
          <w:rFonts w:ascii="Tahoma"/>
          <w:sz w:val="2"/>
        </w:rPr>
      </w:pPr>
      <w:r>
        <w:rPr>
          <w:rFonts w:ascii="Tahoma"/>
          <w:sz w:val="2"/>
        </w:rPr>
        <w:pict>
          <v:group style="width:150.450pt;height:.4pt;mso-position-horizontal-relative:char;mso-position-vertical-relative:line" coordorigin="0,0" coordsize="3009,8">
            <v:line style="position:absolute" from="4,4" to="3004,4" stroked="true" strokeweight=".371215pt" strokecolor="#231f20"/>
          </v:group>
        </w:pict>
      </w:r>
      <w:r>
        <w:rPr>
          <w:rFonts w:ascii="Tahoma"/>
          <w:sz w:val="2"/>
        </w:rPr>
      </w:r>
    </w:p>
    <w:p>
      <w:pPr>
        <w:pStyle w:val="BodyText"/>
        <w:rPr>
          <w:rFonts w:ascii="Tahoma"/>
          <w:sz w:val="12"/>
        </w:rPr>
      </w:pPr>
    </w:p>
    <w:p>
      <w:pPr>
        <w:pStyle w:val="BodyText"/>
        <w:spacing w:before="1"/>
        <w:rPr>
          <w:rFonts w:ascii="Tahoma"/>
          <w:sz w:val="16"/>
        </w:rPr>
      </w:pPr>
    </w:p>
    <w:p>
      <w:pPr>
        <w:spacing w:line="178" w:lineRule="exact" w:before="0"/>
        <w:ind w:left="1503" w:right="0" w:firstLine="0"/>
        <w:jc w:val="both"/>
        <w:rPr>
          <w:rFonts w:ascii="Tahoma" w:hAnsi="Tahoma"/>
          <w:sz w:val="15"/>
        </w:rPr>
      </w:pPr>
      <w:r>
        <w:rPr>
          <w:rFonts w:ascii="Tahoma" w:hAnsi="Tahoma"/>
          <w:color w:val="231F20"/>
          <w:spacing w:val="-3"/>
          <w:w w:val="105"/>
          <w:sz w:val="15"/>
        </w:rPr>
        <w:t>lado</w:t>
      </w:r>
      <w:r>
        <w:rPr>
          <w:rFonts w:ascii="Tahoma" w:hAnsi="Tahoma"/>
          <w:color w:val="231F20"/>
          <w:spacing w:val="-18"/>
          <w:w w:val="105"/>
          <w:sz w:val="15"/>
        </w:rPr>
        <w:t> </w:t>
      </w:r>
      <w:r>
        <w:rPr>
          <w:rFonts w:ascii="Tahoma" w:hAnsi="Tahoma"/>
          <w:color w:val="231F20"/>
          <w:w w:val="105"/>
          <w:sz w:val="15"/>
        </w:rPr>
        <w:t>a</w:t>
      </w:r>
      <w:r>
        <w:rPr>
          <w:rFonts w:ascii="Tahoma" w:hAnsi="Tahoma"/>
          <w:color w:val="231F20"/>
          <w:spacing w:val="-18"/>
          <w:w w:val="105"/>
          <w:sz w:val="15"/>
        </w:rPr>
        <w:t> </w:t>
      </w:r>
      <w:r>
        <w:rPr>
          <w:rFonts w:ascii="Tahoma" w:hAnsi="Tahoma"/>
          <w:color w:val="231F20"/>
          <w:spacing w:val="-4"/>
          <w:w w:val="105"/>
          <w:sz w:val="15"/>
        </w:rPr>
        <w:t>estudiar</w:t>
      </w:r>
      <w:r>
        <w:rPr>
          <w:rFonts w:ascii="Tahoma" w:hAnsi="Tahoma"/>
          <w:color w:val="231F20"/>
          <w:spacing w:val="-18"/>
          <w:w w:val="105"/>
          <w:sz w:val="15"/>
        </w:rPr>
        <w:t> </w:t>
      </w:r>
      <w:r>
        <w:rPr>
          <w:rFonts w:ascii="Tahoma" w:hAnsi="Tahoma"/>
          <w:color w:val="231F20"/>
          <w:w w:val="105"/>
          <w:sz w:val="15"/>
        </w:rPr>
        <w:t>se</w:t>
      </w:r>
      <w:r>
        <w:rPr>
          <w:rFonts w:ascii="Tahoma" w:hAnsi="Tahoma"/>
          <w:color w:val="231F20"/>
          <w:spacing w:val="-18"/>
          <w:w w:val="105"/>
          <w:sz w:val="15"/>
        </w:rPr>
        <w:t> </w:t>
      </w:r>
      <w:r>
        <w:rPr>
          <w:rFonts w:ascii="Tahoma" w:hAnsi="Tahoma"/>
          <w:color w:val="231F20"/>
          <w:spacing w:val="-4"/>
          <w:w w:val="105"/>
          <w:sz w:val="15"/>
        </w:rPr>
        <w:t>enfrentó</w:t>
      </w:r>
      <w:r>
        <w:rPr>
          <w:rFonts w:ascii="Tahoma" w:hAnsi="Tahoma"/>
          <w:color w:val="231F20"/>
          <w:spacing w:val="-18"/>
          <w:w w:val="105"/>
          <w:sz w:val="15"/>
        </w:rPr>
        <w:t> </w:t>
      </w:r>
      <w:r>
        <w:rPr>
          <w:rFonts w:ascii="Tahoma" w:hAnsi="Tahoma"/>
          <w:color w:val="231F20"/>
          <w:w w:val="105"/>
          <w:sz w:val="15"/>
        </w:rPr>
        <w:t>a</w:t>
      </w:r>
      <w:r>
        <w:rPr>
          <w:rFonts w:ascii="Tahoma" w:hAnsi="Tahoma"/>
          <w:color w:val="231F20"/>
          <w:spacing w:val="-18"/>
          <w:w w:val="105"/>
          <w:sz w:val="15"/>
        </w:rPr>
        <w:t> </w:t>
      </w:r>
      <w:r>
        <w:rPr>
          <w:rFonts w:ascii="Tahoma" w:hAnsi="Tahoma"/>
          <w:color w:val="231F20"/>
          <w:spacing w:val="-3"/>
          <w:w w:val="105"/>
          <w:sz w:val="15"/>
        </w:rPr>
        <w:t>los</w:t>
      </w:r>
      <w:r>
        <w:rPr>
          <w:rFonts w:ascii="Tahoma" w:hAnsi="Tahoma"/>
          <w:color w:val="231F20"/>
          <w:spacing w:val="-18"/>
          <w:w w:val="105"/>
          <w:sz w:val="15"/>
        </w:rPr>
        <w:t> </w:t>
      </w:r>
      <w:r>
        <w:rPr>
          <w:rFonts w:ascii="Tahoma" w:hAnsi="Tahoma"/>
          <w:color w:val="231F20"/>
          <w:spacing w:val="-4"/>
          <w:w w:val="105"/>
          <w:sz w:val="15"/>
        </w:rPr>
        <w:t>aislados</w:t>
      </w:r>
      <w:r>
        <w:rPr>
          <w:rFonts w:ascii="Tahoma" w:hAnsi="Tahoma"/>
          <w:color w:val="231F20"/>
          <w:spacing w:val="-18"/>
          <w:w w:val="105"/>
          <w:sz w:val="15"/>
        </w:rPr>
        <w:t> </w:t>
      </w:r>
      <w:r>
        <w:rPr>
          <w:rFonts w:ascii="Tahoma" w:hAnsi="Tahoma"/>
          <w:color w:val="231F20"/>
          <w:w w:val="105"/>
          <w:sz w:val="15"/>
        </w:rPr>
        <w:t>de</w:t>
      </w:r>
      <w:r>
        <w:rPr>
          <w:rFonts w:ascii="Tahoma" w:hAnsi="Tahoma"/>
          <w:color w:val="231F20"/>
          <w:spacing w:val="-18"/>
          <w:w w:val="105"/>
          <w:sz w:val="15"/>
        </w:rPr>
        <w:t> </w:t>
      </w:r>
      <w:r>
        <w:rPr>
          <w:rFonts w:ascii="Tahoma" w:hAnsi="Tahoma"/>
          <w:color w:val="231F20"/>
          <w:spacing w:val="-4"/>
          <w:w w:val="105"/>
          <w:sz w:val="15"/>
        </w:rPr>
        <w:t>re- </w:t>
      </w:r>
      <w:r>
        <w:rPr>
          <w:rFonts w:ascii="Tahoma" w:hAnsi="Tahoma"/>
          <w:color w:val="231F20"/>
          <w:w w:val="105"/>
          <w:sz w:val="15"/>
        </w:rPr>
        <w:t>ferencia</w:t>
      </w:r>
      <w:r>
        <w:rPr>
          <w:rFonts w:ascii="Tahoma" w:hAnsi="Tahoma"/>
          <w:color w:val="231F20"/>
          <w:spacing w:val="-7"/>
          <w:w w:val="105"/>
          <w:sz w:val="15"/>
        </w:rPr>
        <w:t> </w:t>
      </w:r>
      <w:r>
        <w:rPr>
          <w:rFonts w:ascii="Tahoma" w:hAnsi="Tahoma"/>
          <w:color w:val="231F20"/>
          <w:w w:val="105"/>
          <w:sz w:val="15"/>
        </w:rPr>
        <w:t>y</w:t>
      </w:r>
      <w:r>
        <w:rPr>
          <w:rFonts w:ascii="Tahoma" w:hAnsi="Tahoma"/>
          <w:color w:val="231F20"/>
          <w:spacing w:val="-7"/>
          <w:w w:val="105"/>
          <w:sz w:val="15"/>
        </w:rPr>
        <w:t> </w:t>
      </w:r>
      <w:r>
        <w:rPr>
          <w:rFonts w:ascii="Tahoma" w:hAnsi="Tahoma"/>
          <w:color w:val="231F20"/>
          <w:w w:val="105"/>
          <w:sz w:val="15"/>
        </w:rPr>
        <w:t>se</w:t>
      </w:r>
      <w:r>
        <w:rPr>
          <w:rFonts w:ascii="Tahoma" w:hAnsi="Tahoma"/>
          <w:color w:val="231F20"/>
          <w:spacing w:val="-7"/>
          <w:w w:val="105"/>
          <w:sz w:val="15"/>
        </w:rPr>
        <w:t> </w:t>
      </w:r>
      <w:r>
        <w:rPr>
          <w:rFonts w:ascii="Tahoma" w:hAnsi="Tahoma"/>
          <w:color w:val="231F20"/>
          <w:w w:val="105"/>
          <w:sz w:val="15"/>
        </w:rPr>
        <w:t>cultivó</w:t>
      </w:r>
      <w:r>
        <w:rPr>
          <w:rFonts w:ascii="Tahoma" w:hAnsi="Tahoma"/>
          <w:color w:val="231F20"/>
          <w:spacing w:val="-7"/>
          <w:w w:val="105"/>
          <w:sz w:val="15"/>
        </w:rPr>
        <w:t> </w:t>
      </w:r>
      <w:r>
        <w:rPr>
          <w:rFonts w:ascii="Tahoma" w:hAnsi="Tahoma"/>
          <w:color w:val="231F20"/>
          <w:w w:val="105"/>
          <w:sz w:val="15"/>
        </w:rPr>
        <w:t>solo</w:t>
      </w:r>
      <w:r>
        <w:rPr>
          <w:rFonts w:ascii="Tahoma" w:hAnsi="Tahoma"/>
          <w:color w:val="231F20"/>
          <w:spacing w:val="-7"/>
          <w:w w:val="105"/>
          <w:sz w:val="15"/>
        </w:rPr>
        <w:t> </w:t>
      </w:r>
      <w:r>
        <w:rPr>
          <w:rFonts w:ascii="Tahoma" w:hAnsi="Tahoma"/>
          <w:color w:val="231F20"/>
          <w:w w:val="105"/>
          <w:sz w:val="15"/>
        </w:rPr>
        <w:t>en</w:t>
      </w:r>
      <w:r>
        <w:rPr>
          <w:rFonts w:ascii="Tahoma" w:hAnsi="Tahoma"/>
          <w:color w:val="231F20"/>
          <w:spacing w:val="-7"/>
          <w:w w:val="105"/>
          <w:sz w:val="15"/>
        </w:rPr>
        <w:t> </w:t>
      </w:r>
      <w:r>
        <w:rPr>
          <w:rFonts w:ascii="Tahoma" w:hAnsi="Tahoma"/>
          <w:color w:val="231F20"/>
          <w:w w:val="105"/>
          <w:sz w:val="15"/>
        </w:rPr>
        <w:t>el</w:t>
      </w:r>
      <w:r>
        <w:rPr>
          <w:rFonts w:ascii="Tahoma" w:hAnsi="Tahoma"/>
          <w:color w:val="231F20"/>
          <w:spacing w:val="-7"/>
          <w:w w:val="105"/>
          <w:sz w:val="15"/>
        </w:rPr>
        <w:t> </w:t>
      </w:r>
      <w:r>
        <w:rPr>
          <w:rFonts w:ascii="Tahoma" w:hAnsi="Tahoma"/>
          <w:color w:val="231F20"/>
          <w:w w:val="105"/>
          <w:sz w:val="15"/>
        </w:rPr>
        <w:t>mismo</w:t>
      </w:r>
      <w:r>
        <w:rPr>
          <w:rFonts w:ascii="Tahoma" w:hAnsi="Tahoma"/>
          <w:color w:val="231F20"/>
          <w:spacing w:val="-7"/>
          <w:w w:val="105"/>
          <w:sz w:val="15"/>
        </w:rPr>
        <w:t> </w:t>
      </w:r>
      <w:r>
        <w:rPr>
          <w:rFonts w:ascii="Tahoma" w:hAnsi="Tahoma"/>
          <w:color w:val="231F20"/>
          <w:w w:val="105"/>
          <w:sz w:val="15"/>
        </w:rPr>
        <w:t>medio para</w:t>
      </w:r>
      <w:r>
        <w:rPr>
          <w:rFonts w:ascii="Tahoma" w:hAnsi="Tahoma"/>
          <w:color w:val="231F20"/>
          <w:spacing w:val="-11"/>
          <w:w w:val="105"/>
          <w:sz w:val="15"/>
        </w:rPr>
        <w:t> </w:t>
      </w:r>
      <w:r>
        <w:rPr>
          <w:rFonts w:ascii="Tahoma" w:hAnsi="Tahoma"/>
          <w:color w:val="231F20"/>
          <w:w w:val="105"/>
          <w:sz w:val="15"/>
        </w:rPr>
        <w:t>comprobar</w:t>
      </w:r>
      <w:r>
        <w:rPr>
          <w:rFonts w:ascii="Tahoma" w:hAnsi="Tahoma"/>
          <w:color w:val="231F20"/>
          <w:spacing w:val="-11"/>
          <w:w w:val="105"/>
          <w:sz w:val="15"/>
        </w:rPr>
        <w:t> </w:t>
      </w:r>
      <w:r>
        <w:rPr>
          <w:rFonts w:ascii="Tahoma" w:hAnsi="Tahoma"/>
          <w:color w:val="231F20"/>
          <w:w w:val="105"/>
          <w:sz w:val="15"/>
        </w:rPr>
        <w:t>su</w:t>
      </w:r>
      <w:r>
        <w:rPr>
          <w:rFonts w:ascii="Tahoma" w:hAnsi="Tahoma"/>
          <w:color w:val="231F20"/>
          <w:spacing w:val="-11"/>
          <w:w w:val="105"/>
          <w:sz w:val="15"/>
        </w:rPr>
        <w:t> </w:t>
      </w:r>
      <w:r>
        <w:rPr>
          <w:rFonts w:ascii="Tahoma" w:hAnsi="Tahoma"/>
          <w:color w:val="231F20"/>
          <w:w w:val="105"/>
          <w:sz w:val="15"/>
        </w:rPr>
        <w:t>homotalismo.</w:t>
      </w:r>
      <w:r>
        <w:rPr>
          <w:rFonts w:ascii="Tahoma" w:hAnsi="Tahoma"/>
          <w:color w:val="231F20"/>
          <w:spacing w:val="-11"/>
          <w:w w:val="105"/>
          <w:sz w:val="15"/>
        </w:rPr>
        <w:t> </w:t>
      </w:r>
      <w:r>
        <w:rPr>
          <w:rFonts w:ascii="Tahoma" w:hAnsi="Tahoma"/>
          <w:color w:val="231F20"/>
          <w:w w:val="105"/>
          <w:sz w:val="15"/>
        </w:rPr>
        <w:t>Se</w:t>
      </w:r>
      <w:r>
        <w:rPr>
          <w:rFonts w:ascii="Tahoma" w:hAnsi="Tahoma"/>
          <w:color w:val="231F20"/>
          <w:spacing w:val="-11"/>
          <w:w w:val="105"/>
          <w:sz w:val="15"/>
        </w:rPr>
        <w:t> </w:t>
      </w:r>
      <w:r>
        <w:rPr>
          <w:rFonts w:ascii="Tahoma" w:hAnsi="Tahoma"/>
          <w:color w:val="231F20"/>
          <w:w w:val="105"/>
          <w:sz w:val="15"/>
        </w:rPr>
        <w:t>realiza- </w:t>
      </w:r>
      <w:r>
        <w:rPr>
          <w:rFonts w:ascii="Tahoma" w:hAnsi="Tahoma"/>
          <w:color w:val="231F20"/>
          <w:spacing w:val="-3"/>
          <w:w w:val="105"/>
          <w:sz w:val="15"/>
        </w:rPr>
        <w:t>ron</w:t>
      </w:r>
      <w:r>
        <w:rPr>
          <w:rFonts w:ascii="Tahoma" w:hAnsi="Tahoma"/>
          <w:color w:val="231F20"/>
          <w:spacing w:val="-19"/>
          <w:w w:val="105"/>
          <w:sz w:val="15"/>
        </w:rPr>
        <w:t> </w:t>
      </w:r>
      <w:r>
        <w:rPr>
          <w:rFonts w:ascii="Tahoma" w:hAnsi="Tahoma"/>
          <w:color w:val="231F20"/>
          <w:spacing w:val="-4"/>
          <w:w w:val="105"/>
          <w:sz w:val="15"/>
        </w:rPr>
        <w:t>observaciones</w:t>
      </w:r>
      <w:r>
        <w:rPr>
          <w:rFonts w:ascii="Tahoma" w:hAnsi="Tahoma"/>
          <w:color w:val="231F20"/>
          <w:spacing w:val="-19"/>
          <w:w w:val="105"/>
          <w:sz w:val="15"/>
        </w:rPr>
        <w:t> </w:t>
      </w:r>
      <w:r>
        <w:rPr>
          <w:rFonts w:ascii="Tahoma" w:hAnsi="Tahoma"/>
          <w:color w:val="231F20"/>
          <w:spacing w:val="-4"/>
          <w:w w:val="105"/>
          <w:sz w:val="15"/>
        </w:rPr>
        <w:t>diarias</w:t>
      </w:r>
      <w:r>
        <w:rPr>
          <w:rFonts w:ascii="Tahoma" w:hAnsi="Tahoma"/>
          <w:color w:val="231F20"/>
          <w:spacing w:val="-19"/>
          <w:w w:val="105"/>
          <w:sz w:val="15"/>
        </w:rPr>
        <w:t> </w:t>
      </w:r>
      <w:r>
        <w:rPr>
          <w:rFonts w:ascii="Tahoma" w:hAnsi="Tahoma"/>
          <w:color w:val="231F20"/>
          <w:spacing w:val="-3"/>
          <w:w w:val="105"/>
          <w:sz w:val="15"/>
        </w:rPr>
        <w:t>para</w:t>
      </w:r>
      <w:r>
        <w:rPr>
          <w:rFonts w:ascii="Tahoma" w:hAnsi="Tahoma"/>
          <w:color w:val="231F20"/>
          <w:spacing w:val="-19"/>
          <w:w w:val="105"/>
          <w:sz w:val="15"/>
        </w:rPr>
        <w:t> </w:t>
      </w:r>
      <w:r>
        <w:rPr>
          <w:rFonts w:ascii="Tahoma" w:hAnsi="Tahoma"/>
          <w:color w:val="231F20"/>
          <w:spacing w:val="-4"/>
          <w:w w:val="105"/>
          <w:sz w:val="15"/>
        </w:rPr>
        <w:t>observar</w:t>
      </w:r>
      <w:r>
        <w:rPr>
          <w:rFonts w:ascii="Tahoma" w:hAnsi="Tahoma"/>
          <w:color w:val="231F20"/>
          <w:spacing w:val="-19"/>
          <w:w w:val="105"/>
          <w:sz w:val="15"/>
        </w:rPr>
        <w:t> </w:t>
      </w:r>
      <w:r>
        <w:rPr>
          <w:rFonts w:ascii="Tahoma" w:hAnsi="Tahoma"/>
          <w:color w:val="231F20"/>
          <w:w w:val="105"/>
          <w:sz w:val="15"/>
        </w:rPr>
        <w:t>la</w:t>
      </w:r>
      <w:r>
        <w:rPr>
          <w:rFonts w:ascii="Tahoma" w:hAnsi="Tahoma"/>
          <w:color w:val="231F20"/>
          <w:spacing w:val="-19"/>
          <w:w w:val="105"/>
          <w:sz w:val="15"/>
        </w:rPr>
        <w:t> </w:t>
      </w:r>
      <w:r>
        <w:rPr>
          <w:rFonts w:ascii="Tahoma" w:hAnsi="Tahoma"/>
          <w:color w:val="231F20"/>
          <w:spacing w:val="-4"/>
          <w:w w:val="105"/>
          <w:sz w:val="15"/>
        </w:rPr>
        <w:t>pre- </w:t>
      </w:r>
      <w:r>
        <w:rPr>
          <w:rFonts w:ascii="Tahoma" w:hAnsi="Tahoma"/>
          <w:color w:val="231F20"/>
          <w:w w:val="105"/>
          <w:sz w:val="15"/>
        </w:rPr>
        <w:t>sencia</w:t>
      </w:r>
      <w:r>
        <w:rPr>
          <w:rFonts w:ascii="Tahoma" w:hAnsi="Tahoma"/>
          <w:color w:val="231F20"/>
          <w:spacing w:val="-6"/>
          <w:w w:val="105"/>
          <w:sz w:val="15"/>
        </w:rPr>
        <w:t> </w:t>
      </w:r>
      <w:r>
        <w:rPr>
          <w:rFonts w:ascii="Tahoma" w:hAnsi="Tahoma"/>
          <w:color w:val="231F20"/>
          <w:w w:val="105"/>
          <w:sz w:val="15"/>
        </w:rPr>
        <w:t>de</w:t>
      </w:r>
      <w:r>
        <w:rPr>
          <w:rFonts w:ascii="Tahoma" w:hAnsi="Tahoma"/>
          <w:color w:val="231F20"/>
          <w:spacing w:val="-6"/>
          <w:w w:val="105"/>
          <w:sz w:val="15"/>
        </w:rPr>
        <w:t> </w:t>
      </w:r>
      <w:r>
        <w:rPr>
          <w:rFonts w:ascii="Tahoma" w:hAnsi="Tahoma"/>
          <w:color w:val="231F20"/>
          <w:w w:val="105"/>
          <w:sz w:val="15"/>
        </w:rPr>
        <w:t>oosporas</w:t>
      </w:r>
      <w:r>
        <w:rPr>
          <w:rFonts w:ascii="Tahoma" w:hAnsi="Tahoma"/>
          <w:color w:val="231F20"/>
          <w:spacing w:val="-6"/>
          <w:w w:val="105"/>
          <w:sz w:val="15"/>
        </w:rPr>
        <w:t> </w:t>
      </w:r>
      <w:r>
        <w:rPr>
          <w:rFonts w:ascii="Tahoma" w:hAnsi="Tahoma"/>
          <w:color w:val="231F20"/>
          <w:w w:val="105"/>
          <w:sz w:val="15"/>
        </w:rPr>
        <w:t>a</w:t>
      </w:r>
      <w:r>
        <w:rPr>
          <w:rFonts w:ascii="Tahoma" w:hAnsi="Tahoma"/>
          <w:color w:val="231F20"/>
          <w:spacing w:val="-6"/>
          <w:w w:val="105"/>
          <w:sz w:val="15"/>
        </w:rPr>
        <w:t> </w:t>
      </w:r>
      <w:r>
        <w:rPr>
          <w:rFonts w:ascii="Tahoma" w:hAnsi="Tahoma"/>
          <w:color w:val="231F20"/>
          <w:w w:val="105"/>
          <w:sz w:val="15"/>
        </w:rPr>
        <w:t>partir</w:t>
      </w:r>
      <w:r>
        <w:rPr>
          <w:rFonts w:ascii="Tahoma" w:hAnsi="Tahoma"/>
          <w:color w:val="231F20"/>
          <w:spacing w:val="-6"/>
          <w:w w:val="105"/>
          <w:sz w:val="15"/>
        </w:rPr>
        <w:t> </w:t>
      </w:r>
      <w:r>
        <w:rPr>
          <w:rFonts w:ascii="Tahoma" w:hAnsi="Tahoma"/>
          <w:color w:val="231F20"/>
          <w:w w:val="105"/>
          <w:sz w:val="15"/>
        </w:rPr>
        <w:t>del</w:t>
      </w:r>
      <w:r>
        <w:rPr>
          <w:rFonts w:ascii="Tahoma" w:hAnsi="Tahoma"/>
          <w:color w:val="231F20"/>
          <w:spacing w:val="-6"/>
          <w:w w:val="105"/>
          <w:sz w:val="15"/>
        </w:rPr>
        <w:t> </w:t>
      </w:r>
      <w:r>
        <w:rPr>
          <w:rFonts w:ascii="Tahoma" w:hAnsi="Tahoma"/>
          <w:color w:val="231F20"/>
          <w:w w:val="105"/>
          <w:sz w:val="15"/>
        </w:rPr>
        <w:t>tercer</w:t>
      </w:r>
      <w:r>
        <w:rPr>
          <w:rFonts w:ascii="Tahoma" w:hAnsi="Tahoma"/>
          <w:color w:val="231F20"/>
          <w:spacing w:val="-6"/>
          <w:w w:val="105"/>
          <w:sz w:val="15"/>
        </w:rPr>
        <w:t> </w:t>
      </w:r>
      <w:r>
        <w:rPr>
          <w:rFonts w:ascii="Tahoma" w:hAnsi="Tahoma"/>
          <w:color w:val="231F20"/>
          <w:w w:val="105"/>
          <w:sz w:val="15"/>
        </w:rPr>
        <w:t>día</w:t>
      </w:r>
      <w:r>
        <w:rPr>
          <w:rFonts w:ascii="Tahoma" w:hAnsi="Tahoma"/>
          <w:color w:val="231F20"/>
          <w:spacing w:val="-6"/>
          <w:w w:val="105"/>
          <w:sz w:val="15"/>
        </w:rPr>
        <w:t> </w:t>
      </w:r>
      <w:r>
        <w:rPr>
          <w:rFonts w:ascii="Tahoma" w:hAnsi="Tahoma"/>
          <w:color w:val="231F20"/>
          <w:w w:val="105"/>
          <w:sz w:val="15"/>
        </w:rPr>
        <w:t>de contacto</w:t>
      </w:r>
      <w:r>
        <w:rPr>
          <w:rFonts w:ascii="Tahoma" w:hAnsi="Tahoma"/>
          <w:color w:val="231F20"/>
          <w:spacing w:val="-22"/>
          <w:w w:val="105"/>
          <w:sz w:val="15"/>
        </w:rPr>
        <w:t> </w:t>
      </w:r>
      <w:r>
        <w:rPr>
          <w:rFonts w:ascii="Tahoma" w:hAnsi="Tahoma"/>
          <w:color w:val="231F20"/>
          <w:w w:val="105"/>
          <w:sz w:val="15"/>
        </w:rPr>
        <w:t>entre</w:t>
      </w:r>
      <w:r>
        <w:rPr>
          <w:rFonts w:ascii="Tahoma" w:hAnsi="Tahoma"/>
          <w:color w:val="231F20"/>
          <w:spacing w:val="-22"/>
          <w:w w:val="105"/>
          <w:sz w:val="15"/>
        </w:rPr>
        <w:t> </w:t>
      </w:r>
      <w:r>
        <w:rPr>
          <w:rFonts w:ascii="Tahoma" w:hAnsi="Tahoma"/>
          <w:color w:val="231F20"/>
          <w:w w:val="105"/>
          <w:sz w:val="15"/>
        </w:rPr>
        <w:t>los</w:t>
      </w:r>
      <w:r>
        <w:rPr>
          <w:rFonts w:ascii="Tahoma" w:hAnsi="Tahoma"/>
          <w:color w:val="231F20"/>
          <w:spacing w:val="-22"/>
          <w:w w:val="105"/>
          <w:sz w:val="15"/>
        </w:rPr>
        <w:t> </w:t>
      </w:r>
      <w:r>
        <w:rPr>
          <w:rFonts w:ascii="Tahoma" w:hAnsi="Tahoma"/>
          <w:color w:val="231F20"/>
          <w:w w:val="105"/>
          <w:sz w:val="15"/>
        </w:rPr>
        <w:t>aislados</w:t>
      </w:r>
      <w:r>
        <w:rPr>
          <w:rFonts w:ascii="Tahoma" w:hAnsi="Tahoma"/>
          <w:color w:val="231F20"/>
          <w:spacing w:val="-22"/>
          <w:w w:val="105"/>
          <w:sz w:val="15"/>
        </w:rPr>
        <w:t> </w:t>
      </w:r>
      <w:r>
        <w:rPr>
          <w:rFonts w:ascii="Tahoma" w:hAnsi="Tahoma"/>
          <w:color w:val="231F20"/>
          <w:w w:val="105"/>
          <w:sz w:val="15"/>
        </w:rPr>
        <w:t>de</w:t>
      </w:r>
      <w:r>
        <w:rPr>
          <w:rFonts w:ascii="Tahoma" w:hAnsi="Tahoma"/>
          <w:color w:val="231F20"/>
          <w:spacing w:val="-22"/>
          <w:w w:val="105"/>
          <w:sz w:val="15"/>
        </w:rPr>
        <w:t> </w:t>
      </w:r>
      <w:r>
        <w:rPr>
          <w:rFonts w:ascii="Tahoma" w:hAnsi="Tahoma"/>
          <w:color w:val="231F20"/>
          <w:w w:val="105"/>
          <w:sz w:val="15"/>
        </w:rPr>
        <w:t>referencia</w:t>
      </w:r>
      <w:r>
        <w:rPr>
          <w:rFonts w:ascii="Tahoma" w:hAnsi="Tahoma"/>
          <w:color w:val="231F20"/>
          <w:spacing w:val="-22"/>
          <w:w w:val="105"/>
          <w:sz w:val="15"/>
        </w:rPr>
        <w:t> </w:t>
      </w:r>
      <w:r>
        <w:rPr>
          <w:rFonts w:ascii="Tahoma" w:hAnsi="Tahoma"/>
          <w:color w:val="231F20"/>
          <w:w w:val="105"/>
          <w:sz w:val="15"/>
        </w:rPr>
        <w:t>y</w:t>
      </w:r>
      <w:r>
        <w:rPr>
          <w:rFonts w:ascii="Tahoma" w:hAnsi="Tahoma"/>
          <w:color w:val="231F20"/>
          <w:spacing w:val="-22"/>
          <w:w w:val="105"/>
          <w:sz w:val="15"/>
        </w:rPr>
        <w:t> </w:t>
      </w:r>
      <w:r>
        <w:rPr>
          <w:rFonts w:ascii="Tahoma" w:hAnsi="Tahoma"/>
          <w:color w:val="231F20"/>
          <w:spacing w:val="-2"/>
          <w:w w:val="105"/>
          <w:sz w:val="15"/>
        </w:rPr>
        <w:t>los </w:t>
      </w:r>
      <w:r>
        <w:rPr>
          <w:rFonts w:ascii="Tahoma" w:hAnsi="Tahoma"/>
          <w:color w:val="231F20"/>
          <w:w w:val="105"/>
          <w:sz w:val="15"/>
        </w:rPr>
        <w:t>originarios del campo, hasta que fueron</w:t>
      </w:r>
      <w:r>
        <w:rPr>
          <w:rFonts w:ascii="Tahoma" w:hAnsi="Tahoma"/>
          <w:color w:val="231F20"/>
          <w:spacing w:val="-22"/>
          <w:w w:val="105"/>
          <w:sz w:val="15"/>
        </w:rPr>
        <w:t> </w:t>
      </w:r>
      <w:r>
        <w:rPr>
          <w:rFonts w:ascii="Tahoma" w:hAnsi="Tahoma"/>
          <w:color w:val="231F20"/>
          <w:spacing w:val="-2"/>
          <w:w w:val="105"/>
          <w:sz w:val="15"/>
        </w:rPr>
        <w:t>en- </w:t>
      </w:r>
      <w:r>
        <w:rPr>
          <w:rFonts w:ascii="Tahoma" w:hAnsi="Tahoma"/>
          <w:color w:val="231F20"/>
          <w:w w:val="105"/>
          <w:sz w:val="15"/>
        </w:rPr>
        <w:t>contrados</w:t>
      </w:r>
      <w:r>
        <w:rPr>
          <w:rFonts w:ascii="Tahoma" w:hAnsi="Tahoma"/>
          <w:color w:val="231F20"/>
          <w:spacing w:val="-24"/>
          <w:w w:val="105"/>
          <w:sz w:val="15"/>
        </w:rPr>
        <w:t> </w:t>
      </w:r>
      <w:r>
        <w:rPr>
          <w:rFonts w:ascii="Tahoma" w:hAnsi="Tahoma"/>
          <w:color w:val="231F20"/>
          <w:w w:val="105"/>
          <w:sz w:val="15"/>
        </w:rPr>
        <w:t>oogonios,</w:t>
      </w:r>
      <w:r>
        <w:rPr>
          <w:rFonts w:ascii="Tahoma" w:hAnsi="Tahoma"/>
          <w:color w:val="231F20"/>
          <w:spacing w:val="-24"/>
          <w:w w:val="105"/>
          <w:sz w:val="15"/>
        </w:rPr>
        <w:t> </w:t>
      </w:r>
      <w:r>
        <w:rPr>
          <w:rFonts w:ascii="Tahoma" w:hAnsi="Tahoma"/>
          <w:color w:val="231F20"/>
          <w:w w:val="105"/>
          <w:sz w:val="15"/>
        </w:rPr>
        <w:t>anteridios</w:t>
      </w:r>
      <w:r>
        <w:rPr>
          <w:rFonts w:ascii="Tahoma" w:hAnsi="Tahoma"/>
          <w:color w:val="231F20"/>
          <w:spacing w:val="-24"/>
          <w:w w:val="105"/>
          <w:sz w:val="15"/>
        </w:rPr>
        <w:t> </w:t>
      </w:r>
      <w:r>
        <w:rPr>
          <w:rFonts w:ascii="Tahoma" w:hAnsi="Tahoma"/>
          <w:color w:val="231F20"/>
          <w:w w:val="105"/>
          <w:sz w:val="15"/>
        </w:rPr>
        <w:t>y</w:t>
      </w:r>
      <w:r>
        <w:rPr>
          <w:rFonts w:ascii="Tahoma" w:hAnsi="Tahoma"/>
          <w:color w:val="231F20"/>
          <w:spacing w:val="-24"/>
          <w:w w:val="105"/>
          <w:sz w:val="15"/>
        </w:rPr>
        <w:t> </w:t>
      </w:r>
      <w:r>
        <w:rPr>
          <w:rFonts w:ascii="Tahoma" w:hAnsi="Tahoma"/>
          <w:color w:val="231F20"/>
          <w:w w:val="105"/>
          <w:sz w:val="15"/>
        </w:rPr>
        <w:t>oosporas.</w:t>
      </w:r>
    </w:p>
    <w:p>
      <w:pPr>
        <w:pStyle w:val="BodyText"/>
        <w:spacing w:before="3"/>
        <w:rPr>
          <w:rFonts w:ascii="Tahoma"/>
          <w:sz w:val="20"/>
        </w:rPr>
      </w:pPr>
    </w:p>
    <w:p>
      <w:pPr>
        <w:spacing w:before="0"/>
        <w:ind w:left="0" w:right="310" w:firstLine="0"/>
        <w:jc w:val="right"/>
        <w:rPr>
          <w:rFonts w:ascii="Tahoma" w:hAnsi="Tahoma"/>
          <w:sz w:val="15"/>
        </w:rPr>
      </w:pPr>
      <w:r>
        <w:rPr>
          <w:rFonts w:ascii="Tahoma" w:hAnsi="Tahoma"/>
          <w:color w:val="231F20"/>
          <w:w w:val="110"/>
          <w:sz w:val="15"/>
        </w:rPr>
        <w:t>Valoración de la resistencia al metalaxil</w:t>
      </w:r>
    </w:p>
    <w:p>
      <w:pPr>
        <w:pStyle w:val="BodyText"/>
        <w:spacing w:before="4"/>
        <w:rPr>
          <w:rFonts w:ascii="Tahoma"/>
          <w:sz w:val="14"/>
        </w:rPr>
      </w:pPr>
    </w:p>
    <w:p>
      <w:pPr>
        <w:spacing w:line="178" w:lineRule="exact" w:before="0"/>
        <w:ind w:left="1503" w:right="0" w:firstLine="0"/>
        <w:jc w:val="both"/>
        <w:rPr>
          <w:rFonts w:ascii="Tahoma" w:hAnsi="Tahoma"/>
          <w:sz w:val="15"/>
        </w:rPr>
      </w:pPr>
      <w:r>
        <w:rPr>
          <w:rFonts w:ascii="Tahoma" w:hAnsi="Tahoma"/>
          <w:color w:val="231F20"/>
          <w:w w:val="105"/>
          <w:sz w:val="15"/>
        </w:rPr>
        <w:t>La valoración de la resistencia se</w:t>
      </w:r>
      <w:r>
        <w:rPr>
          <w:rFonts w:ascii="Tahoma" w:hAnsi="Tahoma"/>
          <w:color w:val="231F20"/>
          <w:spacing w:val="-14"/>
          <w:w w:val="105"/>
          <w:sz w:val="15"/>
        </w:rPr>
        <w:t> </w:t>
      </w:r>
      <w:r>
        <w:rPr>
          <w:rFonts w:ascii="Tahoma" w:hAnsi="Tahoma"/>
          <w:color w:val="231F20"/>
          <w:w w:val="105"/>
          <w:sz w:val="15"/>
        </w:rPr>
        <w:t>determinó </w:t>
      </w:r>
      <w:r>
        <w:rPr>
          <w:rFonts w:ascii="Tahoma" w:hAnsi="Tahoma"/>
          <w:color w:val="231F20"/>
          <w:spacing w:val="-3"/>
          <w:w w:val="105"/>
          <w:sz w:val="15"/>
        </w:rPr>
        <w:t>bajo</w:t>
      </w:r>
      <w:r>
        <w:rPr>
          <w:rFonts w:ascii="Tahoma" w:hAnsi="Tahoma"/>
          <w:color w:val="231F20"/>
          <w:spacing w:val="-15"/>
          <w:w w:val="105"/>
          <w:sz w:val="15"/>
        </w:rPr>
        <w:t> </w:t>
      </w:r>
      <w:r>
        <w:rPr>
          <w:rFonts w:ascii="Tahoma" w:hAnsi="Tahoma"/>
          <w:color w:val="231F20"/>
          <w:w w:val="105"/>
          <w:sz w:val="15"/>
        </w:rPr>
        <w:t>la</w:t>
      </w:r>
      <w:r>
        <w:rPr>
          <w:rFonts w:ascii="Tahoma" w:hAnsi="Tahoma"/>
          <w:color w:val="231F20"/>
          <w:spacing w:val="-15"/>
          <w:w w:val="105"/>
          <w:sz w:val="15"/>
        </w:rPr>
        <w:t> </w:t>
      </w:r>
      <w:r>
        <w:rPr>
          <w:rFonts w:ascii="Tahoma" w:hAnsi="Tahoma"/>
          <w:color w:val="231F20"/>
          <w:spacing w:val="-4"/>
          <w:w w:val="105"/>
          <w:sz w:val="15"/>
        </w:rPr>
        <w:t>propuesta</w:t>
      </w:r>
      <w:r>
        <w:rPr>
          <w:rFonts w:ascii="Tahoma" w:hAnsi="Tahoma"/>
          <w:color w:val="231F20"/>
          <w:spacing w:val="-15"/>
          <w:w w:val="105"/>
          <w:sz w:val="15"/>
        </w:rPr>
        <w:t> </w:t>
      </w:r>
      <w:r>
        <w:rPr>
          <w:rFonts w:ascii="Tahoma" w:hAnsi="Tahoma"/>
          <w:color w:val="231F20"/>
          <w:spacing w:val="-4"/>
          <w:w w:val="105"/>
          <w:sz w:val="15"/>
        </w:rPr>
        <w:t>planteada</w:t>
      </w:r>
      <w:r>
        <w:rPr>
          <w:rFonts w:ascii="Tahoma" w:hAnsi="Tahoma"/>
          <w:color w:val="231F20"/>
          <w:spacing w:val="-15"/>
          <w:w w:val="105"/>
          <w:sz w:val="15"/>
        </w:rPr>
        <w:t> </w:t>
      </w:r>
      <w:r>
        <w:rPr>
          <w:rFonts w:ascii="Tahoma" w:hAnsi="Tahoma"/>
          <w:color w:val="231F20"/>
          <w:spacing w:val="-3"/>
          <w:w w:val="105"/>
          <w:sz w:val="15"/>
        </w:rPr>
        <w:t>por</w:t>
      </w:r>
      <w:r>
        <w:rPr>
          <w:rFonts w:ascii="Tahoma" w:hAnsi="Tahoma"/>
          <w:color w:val="231F20"/>
          <w:spacing w:val="-15"/>
          <w:w w:val="105"/>
          <w:sz w:val="15"/>
        </w:rPr>
        <w:t> </w:t>
      </w:r>
      <w:r>
        <w:rPr>
          <w:rFonts w:ascii="Tahoma" w:hAnsi="Tahoma"/>
          <w:color w:val="231F20"/>
          <w:w w:val="105"/>
          <w:sz w:val="15"/>
        </w:rPr>
        <w:t>el</w:t>
      </w:r>
      <w:r>
        <w:rPr>
          <w:rFonts w:ascii="Tahoma" w:hAnsi="Tahoma"/>
          <w:color w:val="231F20"/>
          <w:spacing w:val="-15"/>
          <w:w w:val="105"/>
          <w:sz w:val="15"/>
        </w:rPr>
        <w:t> </w:t>
      </w:r>
      <w:r>
        <w:rPr>
          <w:rFonts w:ascii="Tahoma" w:hAnsi="Tahoma"/>
          <w:color w:val="231F20"/>
          <w:spacing w:val="-3"/>
          <w:w w:val="105"/>
          <w:sz w:val="15"/>
        </w:rPr>
        <w:t>FRAC</w:t>
      </w:r>
      <w:r>
        <w:rPr>
          <w:rFonts w:ascii="Tahoma" w:hAnsi="Tahoma"/>
          <w:color w:val="231F20"/>
          <w:spacing w:val="-15"/>
          <w:w w:val="105"/>
          <w:sz w:val="15"/>
        </w:rPr>
        <w:t> </w:t>
      </w:r>
      <w:r>
        <w:rPr>
          <w:rFonts w:ascii="Tahoma" w:hAnsi="Tahoma"/>
          <w:color w:val="231F20"/>
          <w:spacing w:val="-4"/>
          <w:w w:val="105"/>
          <w:sz w:val="15"/>
        </w:rPr>
        <w:t>(Fun-</w:t>
      </w:r>
    </w:p>
    <w:p>
      <w:pPr>
        <w:spacing w:line="180" w:lineRule="exact" w:before="47"/>
        <w:ind w:left="228" w:right="0" w:firstLine="0"/>
        <w:jc w:val="both"/>
        <w:rPr>
          <w:rFonts w:ascii="Tahoma"/>
          <w:sz w:val="15"/>
        </w:rPr>
      </w:pPr>
      <w:r>
        <w:rPr/>
        <w:br w:type="column"/>
      </w:r>
      <w:r>
        <w:rPr>
          <w:rFonts w:ascii="Tahoma"/>
          <w:color w:val="231F20"/>
          <w:sz w:val="15"/>
        </w:rPr>
        <w:t>Las dosis ensayadas fueron 0, 0.1, 0.5, 1.0 y</w:t>
      </w:r>
    </w:p>
    <w:p>
      <w:pPr>
        <w:spacing w:line="178" w:lineRule="exact" w:before="6"/>
        <w:ind w:left="228" w:right="1534" w:firstLine="0"/>
        <w:jc w:val="both"/>
        <w:rPr>
          <w:rFonts w:ascii="Tahoma" w:hAnsi="Tahoma"/>
          <w:sz w:val="15"/>
        </w:rPr>
      </w:pPr>
      <w:r>
        <w:rPr>
          <w:rFonts w:ascii="Tahoma" w:hAnsi="Tahoma"/>
          <w:color w:val="231F20"/>
          <w:w w:val="105"/>
          <w:sz w:val="15"/>
        </w:rPr>
        <w:t>5.0 </w:t>
      </w:r>
      <w:r>
        <w:rPr>
          <w:rFonts w:ascii="Calibri" w:hAnsi="Calibri"/>
          <w:color w:val="231F20"/>
          <w:w w:val="105"/>
          <w:sz w:val="15"/>
        </w:rPr>
        <w:t>μ</w:t>
      </w:r>
      <w:r>
        <w:rPr>
          <w:rFonts w:ascii="Tahoma" w:hAnsi="Tahoma"/>
          <w:color w:val="231F20"/>
          <w:w w:val="105"/>
          <w:sz w:val="15"/>
        </w:rPr>
        <w:t>g/ml incorporados al medio de cultivo (agar-jugo</w:t>
      </w:r>
      <w:r>
        <w:rPr>
          <w:rFonts w:ascii="Tahoma" w:hAnsi="Tahoma"/>
          <w:color w:val="231F20"/>
          <w:spacing w:val="-15"/>
          <w:w w:val="105"/>
          <w:sz w:val="15"/>
        </w:rPr>
        <w:t> </w:t>
      </w:r>
      <w:r>
        <w:rPr>
          <w:rFonts w:ascii="Tahoma" w:hAnsi="Tahoma"/>
          <w:color w:val="231F20"/>
          <w:w w:val="105"/>
          <w:sz w:val="15"/>
        </w:rPr>
        <w:t>V8)</w:t>
      </w:r>
      <w:r>
        <w:rPr>
          <w:rFonts w:ascii="Tahoma" w:hAnsi="Tahoma"/>
          <w:color w:val="231F20"/>
          <w:spacing w:val="-15"/>
          <w:w w:val="105"/>
          <w:sz w:val="15"/>
        </w:rPr>
        <w:t> </w:t>
      </w:r>
      <w:r>
        <w:rPr>
          <w:rFonts w:ascii="Tahoma" w:hAnsi="Tahoma"/>
          <w:color w:val="231F20"/>
          <w:w w:val="105"/>
          <w:sz w:val="15"/>
        </w:rPr>
        <w:t>después</w:t>
      </w:r>
      <w:r>
        <w:rPr>
          <w:rFonts w:ascii="Tahoma" w:hAnsi="Tahoma"/>
          <w:color w:val="231F20"/>
          <w:spacing w:val="-15"/>
          <w:w w:val="105"/>
          <w:sz w:val="15"/>
        </w:rPr>
        <w:t> </w:t>
      </w:r>
      <w:r>
        <w:rPr>
          <w:rFonts w:ascii="Tahoma" w:hAnsi="Tahoma"/>
          <w:color w:val="231F20"/>
          <w:w w:val="105"/>
          <w:sz w:val="15"/>
        </w:rPr>
        <w:t>de</w:t>
      </w:r>
      <w:r>
        <w:rPr>
          <w:rFonts w:ascii="Tahoma" w:hAnsi="Tahoma"/>
          <w:color w:val="231F20"/>
          <w:spacing w:val="-15"/>
          <w:w w:val="105"/>
          <w:sz w:val="15"/>
        </w:rPr>
        <w:t> </w:t>
      </w:r>
      <w:r>
        <w:rPr>
          <w:rFonts w:ascii="Tahoma" w:hAnsi="Tahoma"/>
          <w:color w:val="231F20"/>
          <w:w w:val="105"/>
          <w:sz w:val="15"/>
        </w:rPr>
        <w:t>la</w:t>
      </w:r>
      <w:r>
        <w:rPr>
          <w:rFonts w:ascii="Tahoma" w:hAnsi="Tahoma"/>
          <w:color w:val="231F20"/>
          <w:spacing w:val="-15"/>
          <w:w w:val="105"/>
          <w:sz w:val="15"/>
        </w:rPr>
        <w:t> </w:t>
      </w:r>
      <w:r>
        <w:rPr>
          <w:rFonts w:ascii="Tahoma" w:hAnsi="Tahoma"/>
          <w:color w:val="231F20"/>
          <w:w w:val="105"/>
          <w:sz w:val="15"/>
        </w:rPr>
        <w:t>esterilización</w:t>
      </w:r>
      <w:r>
        <w:rPr>
          <w:rFonts w:ascii="Tahoma" w:hAnsi="Tahoma"/>
          <w:color w:val="231F20"/>
          <w:spacing w:val="-15"/>
          <w:w w:val="105"/>
          <w:sz w:val="15"/>
        </w:rPr>
        <w:t> </w:t>
      </w:r>
      <w:r>
        <w:rPr>
          <w:rFonts w:ascii="Tahoma" w:hAnsi="Tahoma"/>
          <w:color w:val="231F20"/>
          <w:w w:val="105"/>
          <w:sz w:val="15"/>
        </w:rPr>
        <w:t>y de</w:t>
      </w:r>
      <w:r>
        <w:rPr>
          <w:rFonts w:ascii="Tahoma" w:hAnsi="Tahoma"/>
          <w:color w:val="231F20"/>
          <w:spacing w:val="-14"/>
          <w:w w:val="105"/>
          <w:sz w:val="15"/>
        </w:rPr>
        <w:t> </w:t>
      </w:r>
      <w:r>
        <w:rPr>
          <w:rFonts w:ascii="Tahoma" w:hAnsi="Tahoma"/>
          <w:color w:val="231F20"/>
          <w:w w:val="105"/>
          <w:sz w:val="15"/>
        </w:rPr>
        <w:t>enfriado</w:t>
      </w:r>
      <w:r>
        <w:rPr>
          <w:rFonts w:ascii="Tahoma" w:hAnsi="Tahoma"/>
          <w:color w:val="231F20"/>
          <w:spacing w:val="-14"/>
          <w:w w:val="105"/>
          <w:sz w:val="15"/>
        </w:rPr>
        <w:t> </w:t>
      </w:r>
      <w:r>
        <w:rPr>
          <w:rFonts w:ascii="Tahoma" w:hAnsi="Tahoma"/>
          <w:color w:val="231F20"/>
          <w:w w:val="105"/>
          <w:sz w:val="15"/>
        </w:rPr>
        <w:t>el</w:t>
      </w:r>
      <w:r>
        <w:rPr>
          <w:rFonts w:ascii="Tahoma" w:hAnsi="Tahoma"/>
          <w:color w:val="231F20"/>
          <w:spacing w:val="-14"/>
          <w:w w:val="105"/>
          <w:sz w:val="15"/>
        </w:rPr>
        <w:t> </w:t>
      </w:r>
      <w:r>
        <w:rPr>
          <w:rFonts w:ascii="Tahoma" w:hAnsi="Tahoma"/>
          <w:color w:val="231F20"/>
          <w:w w:val="105"/>
          <w:sz w:val="15"/>
        </w:rPr>
        <w:t>medio</w:t>
      </w:r>
      <w:r>
        <w:rPr>
          <w:rFonts w:ascii="Tahoma" w:hAnsi="Tahoma"/>
          <w:color w:val="231F20"/>
          <w:spacing w:val="-14"/>
          <w:w w:val="105"/>
          <w:sz w:val="15"/>
        </w:rPr>
        <w:t> </w:t>
      </w:r>
      <w:r>
        <w:rPr>
          <w:rFonts w:ascii="Tahoma" w:hAnsi="Tahoma"/>
          <w:color w:val="231F20"/>
          <w:w w:val="105"/>
          <w:sz w:val="15"/>
        </w:rPr>
        <w:t>para</w:t>
      </w:r>
      <w:r>
        <w:rPr>
          <w:rFonts w:ascii="Tahoma" w:hAnsi="Tahoma"/>
          <w:color w:val="231F20"/>
          <w:spacing w:val="-14"/>
          <w:w w:val="105"/>
          <w:sz w:val="15"/>
        </w:rPr>
        <w:t> </w:t>
      </w:r>
      <w:r>
        <w:rPr>
          <w:rFonts w:ascii="Tahoma" w:hAnsi="Tahoma"/>
          <w:color w:val="231F20"/>
          <w:w w:val="105"/>
          <w:sz w:val="15"/>
        </w:rPr>
        <w:t>evitar</w:t>
      </w:r>
      <w:r>
        <w:rPr>
          <w:rFonts w:ascii="Tahoma" w:hAnsi="Tahoma"/>
          <w:color w:val="231F20"/>
          <w:spacing w:val="-14"/>
          <w:w w:val="105"/>
          <w:sz w:val="15"/>
        </w:rPr>
        <w:t> </w:t>
      </w:r>
      <w:r>
        <w:rPr>
          <w:rFonts w:ascii="Tahoma" w:hAnsi="Tahoma"/>
          <w:color w:val="231F20"/>
          <w:w w:val="105"/>
          <w:sz w:val="15"/>
        </w:rPr>
        <w:t>degradar</w:t>
      </w:r>
      <w:r>
        <w:rPr>
          <w:rFonts w:ascii="Tahoma" w:hAnsi="Tahoma"/>
          <w:color w:val="231F20"/>
          <w:spacing w:val="-14"/>
          <w:w w:val="105"/>
          <w:sz w:val="15"/>
        </w:rPr>
        <w:t> </w:t>
      </w:r>
      <w:r>
        <w:rPr>
          <w:rFonts w:ascii="Tahoma" w:hAnsi="Tahoma"/>
          <w:color w:val="231F20"/>
          <w:w w:val="105"/>
          <w:sz w:val="15"/>
        </w:rPr>
        <w:t>el producto. Se realizaron 3 repeticiones por aislamiento de </w:t>
      </w:r>
      <w:r>
        <w:rPr>
          <w:rFonts w:ascii="Trebuchet MS" w:hAnsi="Trebuchet MS"/>
          <w:i/>
          <w:color w:val="231F20"/>
          <w:spacing w:val="-10"/>
          <w:w w:val="105"/>
          <w:sz w:val="15"/>
        </w:rPr>
        <w:t>P. </w:t>
      </w:r>
      <w:r>
        <w:rPr>
          <w:rFonts w:ascii="Trebuchet MS" w:hAnsi="Trebuchet MS"/>
          <w:i/>
          <w:color w:val="231F20"/>
          <w:w w:val="105"/>
          <w:sz w:val="15"/>
        </w:rPr>
        <w:t>infestans</w:t>
      </w:r>
      <w:r>
        <w:rPr>
          <w:rFonts w:ascii="Tahoma" w:hAnsi="Tahoma"/>
          <w:color w:val="231F20"/>
          <w:w w:val="105"/>
          <w:sz w:val="15"/>
        </w:rPr>
        <w:t>. La siembra de cada</w:t>
      </w:r>
      <w:r>
        <w:rPr>
          <w:rFonts w:ascii="Tahoma" w:hAnsi="Tahoma"/>
          <w:color w:val="231F20"/>
          <w:spacing w:val="-8"/>
          <w:w w:val="105"/>
          <w:sz w:val="15"/>
        </w:rPr>
        <w:t> </w:t>
      </w:r>
      <w:r>
        <w:rPr>
          <w:rFonts w:ascii="Tahoma" w:hAnsi="Tahoma"/>
          <w:color w:val="231F20"/>
          <w:w w:val="105"/>
          <w:sz w:val="15"/>
        </w:rPr>
        <w:t>placa</w:t>
      </w:r>
      <w:r>
        <w:rPr>
          <w:rFonts w:ascii="Tahoma" w:hAnsi="Tahoma"/>
          <w:color w:val="231F20"/>
          <w:spacing w:val="-8"/>
          <w:w w:val="105"/>
          <w:sz w:val="15"/>
        </w:rPr>
        <w:t> </w:t>
      </w:r>
      <w:r>
        <w:rPr>
          <w:rFonts w:ascii="Tahoma" w:hAnsi="Tahoma"/>
          <w:color w:val="231F20"/>
          <w:w w:val="105"/>
          <w:sz w:val="15"/>
        </w:rPr>
        <w:t>de</w:t>
      </w:r>
      <w:r>
        <w:rPr>
          <w:rFonts w:ascii="Tahoma" w:hAnsi="Tahoma"/>
          <w:color w:val="231F20"/>
          <w:spacing w:val="-8"/>
          <w:w w:val="105"/>
          <w:sz w:val="15"/>
        </w:rPr>
        <w:t> </w:t>
      </w:r>
      <w:r>
        <w:rPr>
          <w:rFonts w:ascii="Tahoma" w:hAnsi="Tahoma"/>
          <w:color w:val="231F20"/>
          <w:w w:val="105"/>
          <w:sz w:val="15"/>
        </w:rPr>
        <w:t>Petri</w:t>
      </w:r>
      <w:r>
        <w:rPr>
          <w:rFonts w:ascii="Tahoma" w:hAnsi="Tahoma"/>
          <w:color w:val="231F20"/>
          <w:spacing w:val="-8"/>
          <w:w w:val="105"/>
          <w:sz w:val="15"/>
        </w:rPr>
        <w:t> </w:t>
      </w:r>
      <w:r>
        <w:rPr>
          <w:rFonts w:ascii="Tahoma" w:hAnsi="Tahoma"/>
          <w:color w:val="231F20"/>
          <w:w w:val="105"/>
          <w:sz w:val="15"/>
        </w:rPr>
        <w:t>se</w:t>
      </w:r>
      <w:r>
        <w:rPr>
          <w:rFonts w:ascii="Tahoma" w:hAnsi="Tahoma"/>
          <w:color w:val="231F20"/>
          <w:spacing w:val="-8"/>
          <w:w w:val="105"/>
          <w:sz w:val="15"/>
        </w:rPr>
        <w:t> </w:t>
      </w:r>
      <w:r>
        <w:rPr>
          <w:rFonts w:ascii="Tahoma" w:hAnsi="Tahoma"/>
          <w:color w:val="231F20"/>
          <w:w w:val="105"/>
          <w:sz w:val="15"/>
        </w:rPr>
        <w:t>realizó</w:t>
      </w:r>
      <w:r>
        <w:rPr>
          <w:rFonts w:ascii="Tahoma" w:hAnsi="Tahoma"/>
          <w:color w:val="231F20"/>
          <w:spacing w:val="-8"/>
          <w:w w:val="105"/>
          <w:sz w:val="15"/>
        </w:rPr>
        <w:t> </w:t>
      </w:r>
      <w:r>
        <w:rPr>
          <w:rFonts w:ascii="Tahoma" w:hAnsi="Tahoma"/>
          <w:color w:val="231F20"/>
          <w:w w:val="105"/>
          <w:sz w:val="15"/>
        </w:rPr>
        <w:t>mediante</w:t>
      </w:r>
      <w:r>
        <w:rPr>
          <w:rFonts w:ascii="Tahoma" w:hAnsi="Tahoma"/>
          <w:color w:val="231F20"/>
          <w:spacing w:val="-8"/>
          <w:w w:val="105"/>
          <w:sz w:val="15"/>
        </w:rPr>
        <w:t> </w:t>
      </w:r>
      <w:r>
        <w:rPr>
          <w:rFonts w:ascii="Tahoma" w:hAnsi="Tahoma"/>
          <w:color w:val="231F20"/>
          <w:w w:val="105"/>
          <w:sz w:val="15"/>
        </w:rPr>
        <w:t>una pastilla de 8 mm de diámetro tomada del borde</w:t>
      </w:r>
      <w:r>
        <w:rPr>
          <w:rFonts w:ascii="Tahoma" w:hAnsi="Tahoma"/>
          <w:color w:val="231F20"/>
          <w:spacing w:val="-10"/>
          <w:w w:val="105"/>
          <w:sz w:val="15"/>
        </w:rPr>
        <w:t> </w:t>
      </w:r>
      <w:r>
        <w:rPr>
          <w:rFonts w:ascii="Tahoma" w:hAnsi="Tahoma"/>
          <w:color w:val="231F20"/>
          <w:w w:val="105"/>
          <w:sz w:val="15"/>
        </w:rPr>
        <w:t>del</w:t>
      </w:r>
      <w:r>
        <w:rPr>
          <w:rFonts w:ascii="Tahoma" w:hAnsi="Tahoma"/>
          <w:color w:val="231F20"/>
          <w:spacing w:val="-10"/>
          <w:w w:val="105"/>
          <w:sz w:val="15"/>
        </w:rPr>
        <w:t> </w:t>
      </w:r>
      <w:r>
        <w:rPr>
          <w:rFonts w:ascii="Tahoma" w:hAnsi="Tahoma"/>
          <w:color w:val="231F20"/>
          <w:w w:val="105"/>
          <w:sz w:val="15"/>
        </w:rPr>
        <w:t>crecimiento</w:t>
      </w:r>
      <w:r>
        <w:rPr>
          <w:rFonts w:ascii="Tahoma" w:hAnsi="Tahoma"/>
          <w:color w:val="231F20"/>
          <w:spacing w:val="-10"/>
          <w:w w:val="105"/>
          <w:sz w:val="15"/>
        </w:rPr>
        <w:t> </w:t>
      </w:r>
      <w:r>
        <w:rPr>
          <w:rFonts w:ascii="Tahoma" w:hAnsi="Tahoma"/>
          <w:color w:val="231F20"/>
          <w:w w:val="105"/>
          <w:sz w:val="15"/>
        </w:rPr>
        <w:t>activo</w:t>
      </w:r>
      <w:r>
        <w:rPr>
          <w:rFonts w:ascii="Tahoma" w:hAnsi="Tahoma"/>
          <w:color w:val="231F20"/>
          <w:spacing w:val="-10"/>
          <w:w w:val="105"/>
          <w:sz w:val="15"/>
        </w:rPr>
        <w:t> </w:t>
      </w:r>
      <w:r>
        <w:rPr>
          <w:rFonts w:ascii="Tahoma" w:hAnsi="Tahoma"/>
          <w:color w:val="231F20"/>
          <w:w w:val="105"/>
          <w:sz w:val="15"/>
        </w:rPr>
        <w:t>de</w:t>
      </w:r>
      <w:r>
        <w:rPr>
          <w:rFonts w:ascii="Tahoma" w:hAnsi="Tahoma"/>
          <w:color w:val="231F20"/>
          <w:spacing w:val="-10"/>
          <w:w w:val="105"/>
          <w:sz w:val="15"/>
        </w:rPr>
        <w:t> </w:t>
      </w:r>
      <w:r>
        <w:rPr>
          <w:rFonts w:ascii="Tahoma" w:hAnsi="Tahoma"/>
          <w:color w:val="231F20"/>
          <w:w w:val="105"/>
          <w:sz w:val="15"/>
        </w:rPr>
        <w:t>una</w:t>
      </w:r>
      <w:r>
        <w:rPr>
          <w:rFonts w:ascii="Tahoma" w:hAnsi="Tahoma"/>
          <w:color w:val="231F20"/>
          <w:spacing w:val="-10"/>
          <w:w w:val="105"/>
          <w:sz w:val="15"/>
        </w:rPr>
        <w:t> </w:t>
      </w:r>
      <w:r>
        <w:rPr>
          <w:rFonts w:ascii="Tahoma" w:hAnsi="Tahoma"/>
          <w:color w:val="231F20"/>
          <w:w w:val="105"/>
          <w:sz w:val="15"/>
        </w:rPr>
        <w:t>colonia en</w:t>
      </w:r>
      <w:r>
        <w:rPr>
          <w:rFonts w:ascii="Tahoma" w:hAnsi="Tahoma"/>
          <w:color w:val="231F20"/>
          <w:spacing w:val="-20"/>
          <w:w w:val="105"/>
          <w:sz w:val="15"/>
        </w:rPr>
        <w:t> </w:t>
      </w:r>
      <w:r>
        <w:rPr>
          <w:rFonts w:ascii="Tahoma" w:hAnsi="Tahoma"/>
          <w:color w:val="231F20"/>
          <w:spacing w:val="-3"/>
          <w:w w:val="105"/>
          <w:sz w:val="15"/>
        </w:rPr>
        <w:t>agar-jugo</w:t>
      </w:r>
      <w:r>
        <w:rPr>
          <w:rFonts w:ascii="Tahoma" w:hAnsi="Tahoma"/>
          <w:color w:val="231F20"/>
          <w:spacing w:val="-20"/>
          <w:w w:val="105"/>
          <w:sz w:val="15"/>
        </w:rPr>
        <w:t> </w:t>
      </w:r>
      <w:r>
        <w:rPr>
          <w:rFonts w:ascii="Tahoma" w:hAnsi="Tahoma"/>
          <w:color w:val="231F20"/>
          <w:w w:val="105"/>
          <w:sz w:val="15"/>
        </w:rPr>
        <w:t>V8.</w:t>
      </w:r>
      <w:r>
        <w:rPr>
          <w:rFonts w:ascii="Tahoma" w:hAnsi="Tahoma"/>
          <w:color w:val="231F20"/>
          <w:spacing w:val="-20"/>
          <w:w w:val="105"/>
          <w:sz w:val="15"/>
        </w:rPr>
        <w:t> </w:t>
      </w:r>
      <w:r>
        <w:rPr>
          <w:rFonts w:ascii="Tahoma" w:hAnsi="Tahoma"/>
          <w:color w:val="231F20"/>
          <w:w w:val="105"/>
          <w:sz w:val="15"/>
        </w:rPr>
        <w:t>La</w:t>
      </w:r>
      <w:r>
        <w:rPr>
          <w:rFonts w:ascii="Tahoma" w:hAnsi="Tahoma"/>
          <w:color w:val="231F20"/>
          <w:spacing w:val="-20"/>
          <w:w w:val="105"/>
          <w:sz w:val="15"/>
        </w:rPr>
        <w:t> </w:t>
      </w:r>
      <w:r>
        <w:rPr>
          <w:rFonts w:ascii="Tahoma" w:hAnsi="Tahoma"/>
          <w:color w:val="231F20"/>
          <w:w w:val="105"/>
          <w:sz w:val="15"/>
        </w:rPr>
        <w:t>incubación</w:t>
      </w:r>
      <w:r>
        <w:rPr>
          <w:rFonts w:ascii="Tahoma" w:hAnsi="Tahoma"/>
          <w:color w:val="231F20"/>
          <w:spacing w:val="-20"/>
          <w:w w:val="105"/>
          <w:sz w:val="15"/>
        </w:rPr>
        <w:t> </w:t>
      </w:r>
      <w:r>
        <w:rPr>
          <w:rFonts w:ascii="Tahoma" w:hAnsi="Tahoma"/>
          <w:color w:val="231F20"/>
          <w:w w:val="105"/>
          <w:sz w:val="15"/>
        </w:rPr>
        <w:t>se</w:t>
      </w:r>
      <w:r>
        <w:rPr>
          <w:rFonts w:ascii="Tahoma" w:hAnsi="Tahoma"/>
          <w:color w:val="231F20"/>
          <w:spacing w:val="-20"/>
          <w:w w:val="105"/>
          <w:sz w:val="15"/>
        </w:rPr>
        <w:t> </w:t>
      </w:r>
      <w:r>
        <w:rPr>
          <w:rFonts w:ascii="Tahoma" w:hAnsi="Tahoma"/>
          <w:color w:val="231F20"/>
          <w:w w:val="105"/>
          <w:sz w:val="15"/>
        </w:rPr>
        <w:t>hizo</w:t>
      </w:r>
      <w:r>
        <w:rPr>
          <w:rFonts w:ascii="Tahoma" w:hAnsi="Tahoma"/>
          <w:color w:val="231F20"/>
          <w:spacing w:val="-20"/>
          <w:w w:val="105"/>
          <w:sz w:val="15"/>
        </w:rPr>
        <w:t> </w:t>
      </w:r>
      <w:r>
        <w:rPr>
          <w:rFonts w:ascii="Tahoma" w:hAnsi="Tahoma"/>
          <w:color w:val="231F20"/>
          <w:w w:val="105"/>
          <w:sz w:val="15"/>
        </w:rPr>
        <w:t>en</w:t>
      </w:r>
      <w:r>
        <w:rPr>
          <w:rFonts w:ascii="Tahoma" w:hAnsi="Tahoma"/>
          <w:color w:val="231F20"/>
          <w:spacing w:val="-20"/>
          <w:w w:val="105"/>
          <w:sz w:val="15"/>
        </w:rPr>
        <w:t> </w:t>
      </w:r>
      <w:r>
        <w:rPr>
          <w:rFonts w:ascii="Tahoma" w:hAnsi="Tahoma"/>
          <w:color w:val="231F20"/>
          <w:spacing w:val="-2"/>
          <w:w w:val="105"/>
          <w:sz w:val="15"/>
        </w:rPr>
        <w:t>es- </w:t>
      </w:r>
      <w:r>
        <w:rPr>
          <w:rFonts w:ascii="Tahoma" w:hAnsi="Tahoma"/>
          <w:color w:val="231F20"/>
          <w:w w:val="105"/>
          <w:sz w:val="15"/>
        </w:rPr>
        <w:t>tufa y en oscuridad a 19</w:t>
      </w:r>
      <w:r>
        <w:rPr>
          <w:rFonts w:ascii="Tahoma" w:hAnsi="Tahoma"/>
          <w:color w:val="231F20"/>
          <w:w w:val="105"/>
          <w:position w:val="5"/>
          <w:sz w:val="10"/>
        </w:rPr>
        <w:t>o</w:t>
      </w:r>
      <w:r>
        <w:rPr>
          <w:rFonts w:ascii="Tahoma" w:hAnsi="Tahoma"/>
          <w:color w:val="231F20"/>
          <w:w w:val="105"/>
          <w:sz w:val="15"/>
        </w:rPr>
        <w:t>C. Dos diámetros perpendiculares para cada aislado fueron medidos</w:t>
      </w:r>
      <w:r>
        <w:rPr>
          <w:rFonts w:ascii="Tahoma" w:hAnsi="Tahoma"/>
          <w:color w:val="231F20"/>
          <w:spacing w:val="-23"/>
          <w:w w:val="105"/>
          <w:sz w:val="15"/>
        </w:rPr>
        <w:t> </w:t>
      </w:r>
      <w:r>
        <w:rPr>
          <w:rFonts w:ascii="Tahoma" w:hAnsi="Tahoma"/>
          <w:color w:val="231F20"/>
          <w:w w:val="105"/>
          <w:sz w:val="15"/>
        </w:rPr>
        <w:t>a</w:t>
      </w:r>
      <w:r>
        <w:rPr>
          <w:rFonts w:ascii="Tahoma" w:hAnsi="Tahoma"/>
          <w:color w:val="231F20"/>
          <w:spacing w:val="-23"/>
          <w:w w:val="105"/>
          <w:sz w:val="15"/>
        </w:rPr>
        <w:t> </w:t>
      </w:r>
      <w:r>
        <w:rPr>
          <w:rFonts w:ascii="Tahoma" w:hAnsi="Tahoma"/>
          <w:color w:val="231F20"/>
          <w:w w:val="105"/>
          <w:sz w:val="15"/>
        </w:rPr>
        <w:t>los</w:t>
      </w:r>
      <w:r>
        <w:rPr>
          <w:rFonts w:ascii="Tahoma" w:hAnsi="Tahoma"/>
          <w:color w:val="231F20"/>
          <w:spacing w:val="-23"/>
          <w:w w:val="105"/>
          <w:sz w:val="15"/>
        </w:rPr>
        <w:t> </w:t>
      </w:r>
      <w:r>
        <w:rPr>
          <w:rFonts w:ascii="Tahoma" w:hAnsi="Tahoma"/>
          <w:color w:val="231F20"/>
          <w:w w:val="105"/>
          <w:sz w:val="15"/>
        </w:rPr>
        <w:t>9</w:t>
      </w:r>
      <w:r>
        <w:rPr>
          <w:rFonts w:ascii="Tahoma" w:hAnsi="Tahoma"/>
          <w:color w:val="231F20"/>
          <w:spacing w:val="-23"/>
          <w:w w:val="105"/>
          <w:sz w:val="15"/>
        </w:rPr>
        <w:t> </w:t>
      </w:r>
      <w:r>
        <w:rPr>
          <w:rFonts w:ascii="Tahoma" w:hAnsi="Tahoma"/>
          <w:color w:val="231F20"/>
          <w:w w:val="105"/>
          <w:sz w:val="15"/>
        </w:rPr>
        <w:t>días</w:t>
      </w:r>
      <w:r>
        <w:rPr>
          <w:rFonts w:ascii="Tahoma" w:hAnsi="Tahoma"/>
          <w:color w:val="231F20"/>
          <w:spacing w:val="-23"/>
          <w:w w:val="105"/>
          <w:sz w:val="15"/>
        </w:rPr>
        <w:t> </w:t>
      </w:r>
      <w:r>
        <w:rPr>
          <w:rFonts w:ascii="Tahoma" w:hAnsi="Tahoma"/>
          <w:color w:val="231F20"/>
          <w:w w:val="105"/>
          <w:sz w:val="15"/>
        </w:rPr>
        <w:t>de</w:t>
      </w:r>
      <w:r>
        <w:rPr>
          <w:rFonts w:ascii="Tahoma" w:hAnsi="Tahoma"/>
          <w:color w:val="231F20"/>
          <w:spacing w:val="-23"/>
          <w:w w:val="105"/>
          <w:sz w:val="15"/>
        </w:rPr>
        <w:t> </w:t>
      </w:r>
      <w:r>
        <w:rPr>
          <w:rFonts w:ascii="Tahoma" w:hAnsi="Tahoma"/>
          <w:color w:val="231F20"/>
          <w:w w:val="105"/>
          <w:sz w:val="15"/>
        </w:rPr>
        <w:t>incubación</w:t>
      </w:r>
      <w:r>
        <w:rPr>
          <w:rFonts w:ascii="Tahoma" w:hAnsi="Tahoma"/>
          <w:color w:val="231F20"/>
          <w:spacing w:val="-23"/>
          <w:w w:val="105"/>
          <w:sz w:val="15"/>
        </w:rPr>
        <w:t> </w:t>
      </w:r>
      <w:r>
        <w:rPr>
          <w:rFonts w:ascii="Tahoma" w:hAnsi="Tahoma"/>
          <w:color w:val="231F20"/>
          <w:w w:val="105"/>
          <w:sz w:val="15"/>
        </w:rPr>
        <w:t>y</w:t>
      </w:r>
      <w:r>
        <w:rPr>
          <w:rFonts w:ascii="Tahoma" w:hAnsi="Tahoma"/>
          <w:color w:val="231F20"/>
          <w:spacing w:val="-23"/>
          <w:w w:val="105"/>
          <w:sz w:val="15"/>
        </w:rPr>
        <w:t> </w:t>
      </w:r>
      <w:r>
        <w:rPr>
          <w:rFonts w:ascii="Tahoma" w:hAnsi="Tahoma"/>
          <w:color w:val="231F20"/>
          <w:w w:val="105"/>
          <w:sz w:val="15"/>
        </w:rPr>
        <w:t>después promediados. Se estudiaron un total de 20 aislados procedentes de campos tratados con</w:t>
      </w:r>
      <w:r>
        <w:rPr>
          <w:rFonts w:ascii="Tahoma" w:hAnsi="Tahoma"/>
          <w:color w:val="231F20"/>
          <w:spacing w:val="-10"/>
          <w:w w:val="105"/>
          <w:sz w:val="15"/>
        </w:rPr>
        <w:t> </w:t>
      </w:r>
      <w:r>
        <w:rPr>
          <w:rFonts w:ascii="Tahoma" w:hAnsi="Tahoma"/>
          <w:color w:val="231F20"/>
          <w:w w:val="105"/>
          <w:sz w:val="15"/>
        </w:rPr>
        <w:t>metalaxil.</w:t>
      </w:r>
    </w:p>
    <w:p>
      <w:pPr>
        <w:pStyle w:val="BodyText"/>
        <w:rPr>
          <w:rFonts w:ascii="Tahoma"/>
          <w:sz w:val="14"/>
        </w:rPr>
      </w:pPr>
    </w:p>
    <w:p>
      <w:pPr>
        <w:pStyle w:val="BodyText"/>
        <w:rPr>
          <w:rFonts w:ascii="Tahoma"/>
          <w:sz w:val="14"/>
        </w:rPr>
      </w:pPr>
    </w:p>
    <w:p>
      <w:pPr>
        <w:pStyle w:val="BodyText"/>
        <w:spacing w:before="10"/>
        <w:rPr>
          <w:rFonts w:ascii="Tahoma"/>
          <w:sz w:val="10"/>
        </w:rPr>
      </w:pPr>
    </w:p>
    <w:p>
      <w:pPr>
        <w:spacing w:before="0"/>
        <w:ind w:left="228" w:right="0" w:firstLine="0"/>
        <w:jc w:val="both"/>
        <w:rPr>
          <w:rFonts w:ascii="Calibri" w:hAnsi="Calibri"/>
          <w:b/>
          <w:sz w:val="15"/>
        </w:rPr>
      </w:pPr>
      <w:r>
        <w:rPr>
          <w:rFonts w:ascii="Calibri" w:hAnsi="Calibri"/>
          <w:b/>
          <w:color w:val="231F20"/>
          <w:w w:val="110"/>
          <w:sz w:val="15"/>
        </w:rPr>
        <w:t>Resultados y discusión</w:t>
      </w:r>
    </w:p>
    <w:p>
      <w:pPr>
        <w:pStyle w:val="BodyText"/>
        <w:spacing w:before="11"/>
        <w:rPr>
          <w:rFonts w:ascii="Calibri"/>
          <w:b/>
          <w:sz w:val="13"/>
        </w:rPr>
      </w:pPr>
    </w:p>
    <w:p>
      <w:pPr>
        <w:spacing w:line="176" w:lineRule="exact" w:before="0"/>
        <w:ind w:left="228" w:right="1535" w:firstLine="0"/>
        <w:jc w:val="both"/>
        <w:rPr>
          <w:rFonts w:ascii="Tahoma" w:hAnsi="Tahoma"/>
          <w:sz w:val="15"/>
        </w:rPr>
      </w:pPr>
      <w:r>
        <w:rPr>
          <w:rFonts w:ascii="Tahoma" w:hAnsi="Tahoma"/>
          <w:color w:val="231F20"/>
          <w:w w:val="105"/>
          <w:sz w:val="15"/>
        </w:rPr>
        <w:t>Los</w:t>
      </w:r>
      <w:r>
        <w:rPr>
          <w:rFonts w:ascii="Tahoma" w:hAnsi="Tahoma"/>
          <w:color w:val="231F20"/>
          <w:spacing w:val="-19"/>
          <w:w w:val="105"/>
          <w:sz w:val="15"/>
        </w:rPr>
        <w:t> </w:t>
      </w:r>
      <w:r>
        <w:rPr>
          <w:rFonts w:ascii="Tahoma" w:hAnsi="Tahoma"/>
          <w:color w:val="231F20"/>
          <w:spacing w:val="-3"/>
          <w:w w:val="105"/>
          <w:sz w:val="15"/>
        </w:rPr>
        <w:t>resultados</w:t>
      </w:r>
      <w:r>
        <w:rPr>
          <w:rFonts w:ascii="Tahoma" w:hAnsi="Tahoma"/>
          <w:color w:val="231F20"/>
          <w:spacing w:val="-19"/>
          <w:w w:val="105"/>
          <w:sz w:val="15"/>
        </w:rPr>
        <w:t> </w:t>
      </w:r>
      <w:r>
        <w:rPr>
          <w:rFonts w:ascii="Tahoma" w:hAnsi="Tahoma"/>
          <w:color w:val="231F20"/>
          <w:spacing w:val="-3"/>
          <w:w w:val="105"/>
          <w:sz w:val="15"/>
        </w:rPr>
        <w:t>experimentales</w:t>
      </w:r>
      <w:r>
        <w:rPr>
          <w:rFonts w:ascii="Tahoma" w:hAnsi="Tahoma"/>
          <w:color w:val="231F20"/>
          <w:spacing w:val="-19"/>
          <w:w w:val="105"/>
          <w:sz w:val="15"/>
        </w:rPr>
        <w:t> </w:t>
      </w:r>
      <w:r>
        <w:rPr>
          <w:rFonts w:ascii="Tahoma" w:hAnsi="Tahoma"/>
          <w:color w:val="231F20"/>
          <w:spacing w:val="-3"/>
          <w:w w:val="105"/>
          <w:sz w:val="15"/>
        </w:rPr>
        <w:t>muestran</w:t>
      </w:r>
      <w:r>
        <w:rPr>
          <w:rFonts w:ascii="Tahoma" w:hAnsi="Tahoma"/>
          <w:color w:val="231F20"/>
          <w:spacing w:val="-19"/>
          <w:w w:val="105"/>
          <w:sz w:val="15"/>
        </w:rPr>
        <w:t> </w:t>
      </w:r>
      <w:r>
        <w:rPr>
          <w:rFonts w:ascii="Tahoma" w:hAnsi="Tahoma"/>
          <w:color w:val="231F20"/>
          <w:spacing w:val="-3"/>
          <w:w w:val="105"/>
          <w:sz w:val="15"/>
        </w:rPr>
        <w:t>que, </w:t>
      </w:r>
      <w:r>
        <w:rPr>
          <w:rFonts w:ascii="Tahoma" w:hAnsi="Tahoma"/>
          <w:color w:val="231F20"/>
          <w:w w:val="105"/>
          <w:sz w:val="15"/>
        </w:rPr>
        <w:t>de los 5 aislados del año 2011, 2 aislados fueron homotálicos y los otros 3 fueron del tipo</w:t>
      </w:r>
      <w:r>
        <w:rPr>
          <w:rFonts w:ascii="Tahoma" w:hAnsi="Tahoma"/>
          <w:color w:val="231F20"/>
          <w:spacing w:val="-8"/>
          <w:w w:val="105"/>
          <w:sz w:val="15"/>
        </w:rPr>
        <w:t> </w:t>
      </w:r>
      <w:r>
        <w:rPr>
          <w:rFonts w:ascii="Tahoma" w:hAnsi="Tahoma"/>
          <w:color w:val="231F20"/>
          <w:w w:val="105"/>
          <w:sz w:val="15"/>
        </w:rPr>
        <w:t>A1.</w:t>
      </w:r>
      <w:r>
        <w:rPr>
          <w:rFonts w:ascii="Tahoma" w:hAnsi="Tahoma"/>
          <w:color w:val="231F20"/>
          <w:spacing w:val="-8"/>
          <w:w w:val="105"/>
          <w:sz w:val="15"/>
        </w:rPr>
        <w:t> </w:t>
      </w:r>
      <w:r>
        <w:rPr>
          <w:rFonts w:ascii="Tahoma" w:hAnsi="Tahoma"/>
          <w:color w:val="231F20"/>
          <w:w w:val="105"/>
          <w:sz w:val="15"/>
        </w:rPr>
        <w:t>De</w:t>
      </w:r>
      <w:r>
        <w:rPr>
          <w:rFonts w:ascii="Tahoma" w:hAnsi="Tahoma"/>
          <w:color w:val="231F20"/>
          <w:spacing w:val="-8"/>
          <w:w w:val="105"/>
          <w:sz w:val="15"/>
        </w:rPr>
        <w:t> </w:t>
      </w:r>
      <w:r>
        <w:rPr>
          <w:rFonts w:ascii="Tahoma" w:hAnsi="Tahoma"/>
          <w:color w:val="231F20"/>
          <w:w w:val="105"/>
          <w:sz w:val="15"/>
        </w:rPr>
        <w:t>los</w:t>
      </w:r>
      <w:r>
        <w:rPr>
          <w:rFonts w:ascii="Tahoma" w:hAnsi="Tahoma"/>
          <w:color w:val="231F20"/>
          <w:spacing w:val="-8"/>
          <w:w w:val="105"/>
          <w:sz w:val="15"/>
        </w:rPr>
        <w:t> </w:t>
      </w:r>
      <w:r>
        <w:rPr>
          <w:rFonts w:ascii="Tahoma" w:hAnsi="Tahoma"/>
          <w:color w:val="231F20"/>
          <w:w w:val="105"/>
          <w:sz w:val="15"/>
        </w:rPr>
        <w:t>15</w:t>
      </w:r>
      <w:r>
        <w:rPr>
          <w:rFonts w:ascii="Tahoma" w:hAnsi="Tahoma"/>
          <w:color w:val="231F20"/>
          <w:spacing w:val="-8"/>
          <w:w w:val="105"/>
          <w:sz w:val="15"/>
        </w:rPr>
        <w:t> </w:t>
      </w:r>
      <w:r>
        <w:rPr>
          <w:rFonts w:ascii="Tahoma" w:hAnsi="Tahoma"/>
          <w:color w:val="231F20"/>
          <w:w w:val="105"/>
          <w:sz w:val="15"/>
        </w:rPr>
        <w:t>aislados</w:t>
      </w:r>
      <w:r>
        <w:rPr>
          <w:rFonts w:ascii="Tahoma" w:hAnsi="Tahoma"/>
          <w:color w:val="231F20"/>
          <w:spacing w:val="-8"/>
          <w:w w:val="105"/>
          <w:sz w:val="15"/>
        </w:rPr>
        <w:t> </w:t>
      </w:r>
      <w:r>
        <w:rPr>
          <w:rFonts w:ascii="Tahoma" w:hAnsi="Tahoma"/>
          <w:color w:val="231F20"/>
          <w:w w:val="105"/>
          <w:sz w:val="15"/>
        </w:rPr>
        <w:t>de</w:t>
      </w:r>
      <w:r>
        <w:rPr>
          <w:rFonts w:ascii="Tahoma" w:hAnsi="Tahoma"/>
          <w:color w:val="231F20"/>
          <w:spacing w:val="-8"/>
          <w:w w:val="105"/>
          <w:sz w:val="15"/>
        </w:rPr>
        <w:t> </w:t>
      </w:r>
      <w:r>
        <w:rPr>
          <w:rFonts w:ascii="Tahoma" w:hAnsi="Tahoma"/>
          <w:color w:val="231F20"/>
          <w:w w:val="105"/>
          <w:sz w:val="15"/>
        </w:rPr>
        <w:t>2012</w:t>
      </w:r>
      <w:r>
        <w:rPr>
          <w:rFonts w:ascii="Tahoma" w:hAnsi="Tahoma"/>
          <w:color w:val="231F20"/>
          <w:spacing w:val="-8"/>
          <w:w w:val="105"/>
          <w:sz w:val="15"/>
        </w:rPr>
        <w:t> </w:t>
      </w:r>
      <w:r>
        <w:rPr>
          <w:rFonts w:ascii="Tahoma" w:hAnsi="Tahoma"/>
          <w:color w:val="231F20"/>
          <w:w w:val="105"/>
          <w:sz w:val="15"/>
        </w:rPr>
        <w:t>estudia- dos, 6 fueron del tipo A1, 5 del tipo A2 y 4 homotálicos. Los aislados homotálicos en- contrados</w:t>
      </w:r>
      <w:r>
        <w:rPr>
          <w:rFonts w:ascii="Tahoma" w:hAnsi="Tahoma"/>
          <w:color w:val="231F20"/>
          <w:spacing w:val="-15"/>
          <w:w w:val="105"/>
          <w:sz w:val="15"/>
        </w:rPr>
        <w:t> </w:t>
      </w:r>
      <w:r>
        <w:rPr>
          <w:rFonts w:ascii="Tahoma" w:hAnsi="Tahoma"/>
          <w:color w:val="231F20"/>
          <w:w w:val="105"/>
          <w:sz w:val="15"/>
        </w:rPr>
        <w:t>fueron</w:t>
      </w:r>
      <w:r>
        <w:rPr>
          <w:rFonts w:ascii="Tahoma" w:hAnsi="Tahoma"/>
          <w:color w:val="231F20"/>
          <w:spacing w:val="-15"/>
          <w:w w:val="105"/>
          <w:sz w:val="15"/>
        </w:rPr>
        <w:t> </w:t>
      </w:r>
      <w:r>
        <w:rPr>
          <w:rFonts w:ascii="Tahoma" w:hAnsi="Tahoma"/>
          <w:color w:val="231F20"/>
          <w:w w:val="105"/>
          <w:sz w:val="15"/>
        </w:rPr>
        <w:t>capaces</w:t>
      </w:r>
      <w:r>
        <w:rPr>
          <w:rFonts w:ascii="Tahoma" w:hAnsi="Tahoma"/>
          <w:color w:val="231F20"/>
          <w:spacing w:val="-15"/>
          <w:w w:val="105"/>
          <w:sz w:val="15"/>
        </w:rPr>
        <w:t> </w:t>
      </w:r>
      <w:r>
        <w:rPr>
          <w:rFonts w:ascii="Tahoma" w:hAnsi="Tahoma"/>
          <w:color w:val="231F20"/>
          <w:w w:val="105"/>
          <w:sz w:val="15"/>
        </w:rPr>
        <w:t>de</w:t>
      </w:r>
      <w:r>
        <w:rPr>
          <w:rFonts w:ascii="Tahoma" w:hAnsi="Tahoma"/>
          <w:color w:val="231F20"/>
          <w:spacing w:val="-15"/>
          <w:w w:val="105"/>
          <w:sz w:val="15"/>
        </w:rPr>
        <w:t> </w:t>
      </w:r>
      <w:r>
        <w:rPr>
          <w:rFonts w:ascii="Tahoma" w:hAnsi="Tahoma"/>
          <w:color w:val="231F20"/>
          <w:w w:val="105"/>
          <w:sz w:val="15"/>
        </w:rPr>
        <w:t>producir</w:t>
      </w:r>
      <w:r>
        <w:rPr>
          <w:rFonts w:ascii="Tahoma" w:hAnsi="Tahoma"/>
          <w:color w:val="231F20"/>
          <w:spacing w:val="-15"/>
          <w:w w:val="105"/>
          <w:sz w:val="15"/>
        </w:rPr>
        <w:t> </w:t>
      </w:r>
      <w:r>
        <w:rPr>
          <w:rFonts w:ascii="Tahoma" w:hAnsi="Tahoma"/>
          <w:color w:val="231F20"/>
          <w:w w:val="105"/>
          <w:sz w:val="15"/>
        </w:rPr>
        <w:t>órga-</w:t>
      </w:r>
    </w:p>
    <w:p>
      <w:pPr>
        <w:spacing w:after="0" w:line="176" w:lineRule="exact"/>
        <w:jc w:val="both"/>
        <w:rPr>
          <w:rFonts w:ascii="Tahoma" w:hAnsi="Tahoma"/>
          <w:sz w:val="15"/>
        </w:rPr>
        <w:sectPr>
          <w:type w:val="continuous"/>
          <w:pgSz w:w="12240" w:h="15840"/>
          <w:pgMar w:top="1500" w:bottom="1820" w:left="1460" w:right="1440"/>
          <w:cols w:num="2" w:equalWidth="0">
            <w:col w:w="4533" w:space="40"/>
            <w:col w:w="4767"/>
          </w:cols>
        </w:sectPr>
      </w:pPr>
    </w:p>
    <w:p>
      <w:pPr>
        <w:pStyle w:val="BodyText"/>
        <w:rPr>
          <w:rFonts w:ascii="Tahoma"/>
          <w:sz w:val="20"/>
        </w:rPr>
      </w:pPr>
    </w:p>
    <w:p>
      <w:pPr>
        <w:pStyle w:val="BodyText"/>
        <w:rPr>
          <w:rFonts w:ascii="Tahoma"/>
          <w:sz w:val="20"/>
        </w:rPr>
      </w:pPr>
    </w:p>
    <w:p>
      <w:pPr>
        <w:pStyle w:val="BodyText"/>
        <w:rPr>
          <w:rFonts w:ascii="Tahoma"/>
          <w:sz w:val="20"/>
        </w:rPr>
      </w:pPr>
    </w:p>
    <w:p>
      <w:pPr>
        <w:pStyle w:val="BodyText"/>
        <w:spacing w:before="3"/>
        <w:rPr>
          <w:rFonts w:ascii="Tahoma"/>
          <w:sz w:val="20"/>
        </w:rPr>
      </w:pPr>
    </w:p>
    <w:p>
      <w:pPr>
        <w:tabs>
          <w:tab w:pos="5018" w:val="left" w:leader="none"/>
        </w:tabs>
        <w:spacing w:before="76"/>
        <w:ind w:left="1503" w:right="0" w:firstLine="0"/>
        <w:jc w:val="left"/>
        <w:rPr>
          <w:rFonts w:ascii="Trebuchet MS" w:hAnsi="Trebuchet MS"/>
          <w:i/>
          <w:sz w:val="12"/>
        </w:rPr>
      </w:pPr>
      <w:r>
        <w:rPr>
          <w:rFonts w:ascii="Tahoma" w:hAnsi="Tahoma"/>
          <w:color w:val="231F20"/>
          <w:sz w:val="13"/>
        </w:rPr>
        <w:t>412</w:t>
        <w:tab/>
      </w:r>
      <w:r>
        <w:rPr>
          <w:rFonts w:ascii="Trebuchet MS" w:hAnsi="Trebuchet MS"/>
          <w:i/>
          <w:color w:val="231F20"/>
          <w:sz w:val="13"/>
        </w:rPr>
        <w:t>López-Orona et al. ITEA </w:t>
      </w:r>
      <w:r>
        <w:rPr>
          <w:rFonts w:ascii="Trebuchet MS" w:hAnsi="Trebuchet MS"/>
          <w:i/>
          <w:color w:val="231F20"/>
          <w:sz w:val="12"/>
        </w:rPr>
        <w:t>(2013), 109 (4), </w:t>
      </w:r>
      <w:r>
        <w:rPr>
          <w:rFonts w:ascii="Trebuchet MS" w:hAnsi="Trebuchet MS"/>
          <w:i/>
          <w:color w:val="231F20"/>
          <w:spacing w:val="20"/>
          <w:sz w:val="12"/>
        </w:rPr>
        <w:t> </w:t>
      </w:r>
      <w:r>
        <w:rPr>
          <w:rFonts w:ascii="Trebuchet MS" w:hAnsi="Trebuchet MS"/>
          <w:i/>
          <w:color w:val="231F20"/>
          <w:sz w:val="12"/>
        </w:rPr>
        <w:t>408-414</w:t>
      </w:r>
    </w:p>
    <w:p>
      <w:pPr>
        <w:pStyle w:val="BodyText"/>
        <w:rPr>
          <w:rFonts w:ascii="Trebuchet MS"/>
          <w:i/>
          <w:sz w:val="20"/>
        </w:rPr>
      </w:pPr>
    </w:p>
    <w:p>
      <w:pPr>
        <w:pStyle w:val="BodyText"/>
        <w:rPr>
          <w:rFonts w:ascii="Trebuchet MS"/>
          <w:i/>
          <w:sz w:val="20"/>
        </w:rPr>
      </w:pPr>
    </w:p>
    <w:p>
      <w:pPr>
        <w:pStyle w:val="BodyText"/>
        <w:rPr>
          <w:rFonts w:ascii="Trebuchet MS"/>
          <w:i/>
          <w:sz w:val="12"/>
        </w:rPr>
      </w:pPr>
    </w:p>
    <w:p>
      <w:pPr>
        <w:spacing w:before="96"/>
        <w:ind w:left="63" w:right="81" w:firstLine="0"/>
        <w:jc w:val="center"/>
        <w:rPr>
          <w:rFonts w:ascii="Trebuchet MS"/>
          <w:i/>
          <w:sz w:val="13"/>
        </w:rPr>
      </w:pPr>
      <w:r>
        <w:rPr>
          <w:rFonts w:ascii="Tahoma"/>
          <w:color w:val="231F20"/>
          <w:w w:val="110"/>
          <w:sz w:val="13"/>
        </w:rPr>
        <w:t>Tabla 2. Porcentaje de crecimiento relativo </w:t>
      </w:r>
      <w:r>
        <w:rPr>
          <w:rFonts w:ascii="Trebuchet MS"/>
          <w:i/>
          <w:color w:val="231F20"/>
          <w:w w:val="110"/>
          <w:sz w:val="13"/>
        </w:rPr>
        <w:t>in vitro </w:t>
      </w:r>
      <w:r>
        <w:rPr>
          <w:rFonts w:ascii="Tahoma"/>
          <w:color w:val="231F20"/>
          <w:w w:val="110"/>
          <w:sz w:val="13"/>
        </w:rPr>
        <w:t>de los aislados de </w:t>
      </w:r>
      <w:r>
        <w:rPr>
          <w:rFonts w:ascii="Trebuchet MS"/>
          <w:i/>
          <w:color w:val="231F20"/>
          <w:w w:val="110"/>
          <w:sz w:val="13"/>
        </w:rPr>
        <w:t>Phytophthora infestans</w:t>
      </w:r>
    </w:p>
    <w:p>
      <w:pPr>
        <w:spacing w:before="4"/>
        <w:ind w:left="63" w:right="81" w:firstLine="0"/>
        <w:jc w:val="center"/>
        <w:rPr>
          <w:rFonts w:ascii="Tahoma"/>
          <w:sz w:val="13"/>
        </w:rPr>
      </w:pPr>
      <w:r>
        <w:rPr>
          <w:rFonts w:ascii="Tahoma"/>
          <w:color w:val="231F20"/>
          <w:w w:val="110"/>
          <w:sz w:val="13"/>
        </w:rPr>
        <w:t>recuperados de tejidos de </w:t>
      </w:r>
      <w:r>
        <w:rPr>
          <w:rFonts w:ascii="Trebuchet MS"/>
          <w:i/>
          <w:color w:val="231F20"/>
          <w:w w:val="110"/>
          <w:sz w:val="13"/>
        </w:rPr>
        <w:t>Solanum tuberosum </w:t>
      </w:r>
      <w:r>
        <w:rPr>
          <w:rFonts w:ascii="Tahoma"/>
          <w:color w:val="231F20"/>
          <w:w w:val="110"/>
          <w:sz w:val="13"/>
        </w:rPr>
        <w:t>infectados</w:t>
      </w:r>
    </w:p>
    <w:p>
      <w:pPr>
        <w:spacing w:before="4"/>
        <w:ind w:left="63" w:right="81" w:firstLine="0"/>
        <w:jc w:val="center"/>
        <w:rPr>
          <w:rFonts w:ascii="Trebuchet MS"/>
          <w:i/>
          <w:sz w:val="13"/>
        </w:rPr>
      </w:pPr>
      <w:r>
        <w:rPr>
          <w:rFonts w:ascii="Trebuchet MS"/>
          <w:i/>
          <w:color w:val="231F20"/>
          <w:w w:val="105"/>
          <w:sz w:val="13"/>
        </w:rPr>
        <w:t>Table 2. Percentage of relative growth of isolates of </w:t>
      </w:r>
      <w:r>
        <w:rPr>
          <w:rFonts w:ascii="Tahoma"/>
          <w:color w:val="231F20"/>
          <w:w w:val="105"/>
          <w:sz w:val="13"/>
        </w:rPr>
        <w:t>Phytophthora infestans </w:t>
      </w:r>
      <w:r>
        <w:rPr>
          <w:rFonts w:ascii="Trebuchet MS"/>
          <w:i/>
          <w:color w:val="231F20"/>
          <w:w w:val="105"/>
          <w:sz w:val="13"/>
        </w:rPr>
        <w:t>isolated from</w:t>
      </w:r>
    </w:p>
    <w:p>
      <w:pPr>
        <w:spacing w:before="4"/>
        <w:ind w:left="63" w:right="81" w:firstLine="0"/>
        <w:jc w:val="center"/>
        <w:rPr>
          <w:rFonts w:ascii="Trebuchet MS"/>
          <w:i/>
          <w:sz w:val="13"/>
        </w:rPr>
      </w:pPr>
      <w:r>
        <w:rPr>
          <w:rFonts w:ascii="Tahoma"/>
          <w:color w:val="231F20"/>
          <w:w w:val="105"/>
          <w:sz w:val="13"/>
        </w:rPr>
        <w:t>Solanum tuberosum </w:t>
      </w:r>
      <w:r>
        <w:rPr>
          <w:rFonts w:ascii="Trebuchet MS"/>
          <w:i/>
          <w:color w:val="231F20"/>
          <w:w w:val="105"/>
          <w:sz w:val="13"/>
        </w:rPr>
        <w:t>in different locations and years</w:t>
      </w:r>
    </w:p>
    <w:p>
      <w:pPr>
        <w:pStyle w:val="BodyText"/>
        <w:spacing w:before="6"/>
        <w:rPr>
          <w:rFonts w:ascii="Trebuchet MS"/>
          <w:i/>
          <w:sz w:val="12"/>
        </w:rPr>
      </w:pPr>
      <w:r>
        <w:rPr/>
        <w:pict>
          <v:line style="position:absolute;mso-position-horizontal-relative:page;mso-position-vertical-relative:paragraph;z-index:2800;mso-wrap-distance-left:0;mso-wrap-distance-right:0" from="148.918304pt,9.459914pt" to="463.064762pt,9.459914pt" stroked="true" strokeweight=".371215pt" strokecolor="#231f20">
            <w10:wrap type="topAndBottom"/>
          </v:line>
        </w:pict>
      </w:r>
    </w:p>
    <w:p>
      <w:pPr>
        <w:spacing w:before="34"/>
        <w:ind w:left="4947" w:right="0" w:firstLine="0"/>
        <w:jc w:val="left"/>
        <w:rPr>
          <w:rFonts w:ascii="Tahoma"/>
          <w:sz w:val="9"/>
        </w:rPr>
      </w:pPr>
      <w:r>
        <w:rPr>
          <w:rFonts w:ascii="Tahoma"/>
          <w:color w:val="231F20"/>
          <w:w w:val="110"/>
          <w:sz w:val="13"/>
        </w:rPr>
        <w:t>Crecimiento en metalaxil relativo al testigo</w:t>
      </w:r>
      <w:r>
        <w:rPr>
          <w:rFonts w:ascii="Tahoma"/>
          <w:color w:val="231F20"/>
          <w:w w:val="110"/>
          <w:position w:val="4"/>
          <w:sz w:val="9"/>
        </w:rPr>
        <w:t>b</w:t>
      </w: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spacing w:before="1"/>
        <w:rPr>
          <w:rFonts w:ascii="Tahoma"/>
          <w:sz w:val="16"/>
        </w:rPr>
      </w:pPr>
    </w:p>
    <w:p>
      <w:pPr>
        <w:spacing w:before="88"/>
        <w:ind w:left="1518" w:right="0" w:firstLine="0"/>
        <w:jc w:val="left"/>
        <w:rPr>
          <w:rFonts w:ascii="Tahoma" w:hAnsi="Tahoma"/>
          <w:sz w:val="13"/>
        </w:rPr>
      </w:pPr>
      <w:r>
        <w:rPr/>
        <w:pict>
          <v:shape style="position:absolute;margin-left:147.168457pt;margin-top:-265.219879pt;width:317.650pt;height:266.45pt;mso-position-horizontal-relative:page;mso-position-vertical-relative:paragraph;z-index:282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6"/>
                    <w:gridCol w:w="2103"/>
                    <w:gridCol w:w="3344"/>
                  </w:tblGrid>
                  <w:tr>
                    <w:trPr>
                      <w:trHeight w:val="349" w:hRule="exact"/>
                    </w:trPr>
                    <w:tc>
                      <w:tcPr>
                        <w:tcW w:w="906" w:type="dxa"/>
                        <w:tcBorders>
                          <w:bottom w:val="single" w:sz="3" w:space="0" w:color="231F20"/>
                        </w:tcBorders>
                      </w:tcPr>
                      <w:p>
                        <w:pPr>
                          <w:pStyle w:val="TableParagraph"/>
                          <w:spacing w:line="145" w:lineRule="exact"/>
                          <w:ind w:left="35"/>
                          <w:rPr>
                            <w:rFonts w:ascii="Tahoma"/>
                            <w:sz w:val="9"/>
                          </w:rPr>
                        </w:pPr>
                        <w:r>
                          <w:rPr>
                            <w:rFonts w:ascii="Tahoma"/>
                            <w:color w:val="231F20"/>
                            <w:w w:val="115"/>
                            <w:sz w:val="13"/>
                          </w:rPr>
                          <w:t>Aislado</w:t>
                        </w:r>
                        <w:r>
                          <w:rPr>
                            <w:rFonts w:ascii="Tahoma"/>
                            <w:color w:val="231F20"/>
                            <w:w w:val="115"/>
                            <w:position w:val="4"/>
                            <w:sz w:val="9"/>
                          </w:rPr>
                          <w:t>a</w:t>
                        </w:r>
                      </w:p>
                    </w:tc>
                    <w:tc>
                      <w:tcPr>
                        <w:tcW w:w="2103" w:type="dxa"/>
                        <w:tcBorders>
                          <w:bottom w:val="single" w:sz="3" w:space="0" w:color="231F20"/>
                        </w:tcBorders>
                      </w:tcPr>
                      <w:p>
                        <w:pPr>
                          <w:pStyle w:val="TableParagraph"/>
                          <w:spacing w:line="145" w:lineRule="exact"/>
                          <w:ind w:left="343" w:right="294"/>
                          <w:jc w:val="center"/>
                          <w:rPr>
                            <w:rFonts w:ascii="Tahoma"/>
                            <w:sz w:val="13"/>
                          </w:rPr>
                        </w:pPr>
                        <w:r>
                          <w:rPr>
                            <w:rFonts w:ascii="Tahoma"/>
                            <w:color w:val="231F20"/>
                            <w:w w:val="110"/>
                            <w:sz w:val="13"/>
                          </w:rPr>
                          <w:t>Tipo de compatibilidad</w:t>
                        </w:r>
                      </w:p>
                    </w:tc>
                    <w:tc>
                      <w:tcPr>
                        <w:tcW w:w="3344" w:type="dxa"/>
                        <w:tcBorders>
                          <w:bottom w:val="single" w:sz="3" w:space="0" w:color="231F20"/>
                        </w:tcBorders>
                      </w:tcPr>
                      <w:p>
                        <w:pPr>
                          <w:pStyle w:val="TableParagraph"/>
                          <w:tabs>
                            <w:tab w:pos="3309" w:val="left" w:leader="none"/>
                          </w:tabs>
                          <w:spacing w:line="138" w:lineRule="exact"/>
                          <w:ind w:left="308"/>
                          <w:rPr>
                            <w:rFonts w:ascii="Tahoma"/>
                            <w:sz w:val="13"/>
                          </w:rPr>
                        </w:pPr>
                        <w:r>
                          <w:rPr>
                            <w:rFonts w:ascii="Tahoma"/>
                            <w:color w:val="231F20"/>
                            <w:w w:val="91"/>
                            <w:sz w:val="13"/>
                            <w:u w:val="single" w:color="231F20"/>
                          </w:rPr>
                          <w:t> </w:t>
                        </w:r>
                        <w:r>
                          <w:rPr>
                            <w:rFonts w:ascii="Tahoma"/>
                            <w:color w:val="231F20"/>
                            <w:sz w:val="13"/>
                            <w:u w:val="single" w:color="231F20"/>
                          </w:rPr>
                          <w:tab/>
                        </w:r>
                      </w:p>
                      <w:p>
                        <w:pPr>
                          <w:pStyle w:val="TableParagraph"/>
                          <w:spacing w:line="158" w:lineRule="exact"/>
                          <w:ind w:left="1558"/>
                          <w:rPr>
                            <w:rFonts w:ascii="Tahoma" w:hAnsi="Tahoma"/>
                            <w:sz w:val="13"/>
                          </w:rPr>
                        </w:pPr>
                        <w:r>
                          <w:rPr>
                            <w:rFonts w:ascii="Tahoma" w:hAnsi="Tahoma"/>
                            <w:color w:val="231F20"/>
                            <w:w w:val="105"/>
                            <w:sz w:val="13"/>
                          </w:rPr>
                          <w:t>5.0 </w:t>
                        </w:r>
                        <w:r>
                          <w:rPr>
                            <w:rFonts w:ascii="Calibri" w:hAnsi="Calibri"/>
                            <w:color w:val="231F20"/>
                            <w:w w:val="105"/>
                            <w:sz w:val="13"/>
                          </w:rPr>
                          <w:t>μ</w:t>
                        </w:r>
                        <w:r>
                          <w:rPr>
                            <w:rFonts w:ascii="Tahoma" w:hAnsi="Tahoma"/>
                            <w:color w:val="231F20"/>
                            <w:w w:val="105"/>
                            <w:sz w:val="13"/>
                          </w:rPr>
                          <w:t>l/ml</w:t>
                        </w:r>
                      </w:p>
                    </w:tc>
                  </w:tr>
                  <w:tr>
                    <w:trPr>
                      <w:trHeight w:val="266" w:hRule="exact"/>
                    </w:trPr>
                    <w:tc>
                      <w:tcPr>
                        <w:tcW w:w="906" w:type="dxa"/>
                        <w:tcBorders>
                          <w:top w:val="single" w:sz="3" w:space="0" w:color="231F20"/>
                        </w:tcBorders>
                      </w:tcPr>
                      <w:p>
                        <w:pPr>
                          <w:pStyle w:val="TableParagraph"/>
                          <w:spacing w:before="47"/>
                          <w:ind w:left="35"/>
                          <w:rPr>
                            <w:rFonts w:ascii="Tahoma"/>
                            <w:sz w:val="13"/>
                          </w:rPr>
                        </w:pPr>
                        <w:r>
                          <w:rPr>
                            <w:rFonts w:ascii="Tahoma"/>
                            <w:color w:val="231F20"/>
                            <w:sz w:val="13"/>
                          </w:rPr>
                          <w:t>LPT6</w:t>
                        </w:r>
                      </w:p>
                    </w:tc>
                    <w:tc>
                      <w:tcPr>
                        <w:tcW w:w="2103" w:type="dxa"/>
                        <w:tcBorders>
                          <w:top w:val="single" w:sz="3" w:space="0" w:color="231F20"/>
                        </w:tcBorders>
                      </w:tcPr>
                      <w:p>
                        <w:pPr>
                          <w:pStyle w:val="TableParagraph"/>
                          <w:spacing w:before="47"/>
                          <w:ind w:left="343" w:right="294"/>
                          <w:jc w:val="center"/>
                          <w:rPr>
                            <w:rFonts w:ascii="Tahoma"/>
                            <w:sz w:val="13"/>
                          </w:rPr>
                        </w:pPr>
                        <w:r>
                          <w:rPr>
                            <w:rFonts w:ascii="Tahoma"/>
                            <w:color w:val="231F20"/>
                            <w:w w:val="115"/>
                            <w:sz w:val="13"/>
                          </w:rPr>
                          <w:t>A1</w:t>
                        </w:r>
                      </w:p>
                    </w:tc>
                    <w:tc>
                      <w:tcPr>
                        <w:tcW w:w="3344" w:type="dxa"/>
                        <w:tcBorders>
                          <w:top w:val="single" w:sz="3" w:space="0" w:color="231F20"/>
                        </w:tcBorders>
                      </w:tcPr>
                      <w:p>
                        <w:pPr>
                          <w:pStyle w:val="TableParagraph"/>
                          <w:spacing w:before="47"/>
                          <w:ind w:right="1138"/>
                          <w:jc w:val="right"/>
                          <w:rPr>
                            <w:rFonts w:ascii="Tahoma" w:hAnsi="Tahoma"/>
                            <w:sz w:val="13"/>
                          </w:rPr>
                        </w:pPr>
                        <w:r>
                          <w:rPr>
                            <w:rFonts w:ascii="Tahoma" w:hAnsi="Tahoma"/>
                            <w:color w:val="231F20"/>
                            <w:sz w:val="13"/>
                          </w:rPr>
                          <w:t>47.74 ± 0.08</w:t>
                        </w:r>
                      </w:p>
                    </w:tc>
                  </w:tr>
                  <w:tr>
                    <w:trPr>
                      <w:trHeight w:val="248" w:hRule="exact"/>
                    </w:trPr>
                    <w:tc>
                      <w:tcPr>
                        <w:tcW w:w="906" w:type="dxa"/>
                      </w:tcPr>
                      <w:p>
                        <w:pPr>
                          <w:pStyle w:val="TableParagraph"/>
                          <w:spacing w:before="32"/>
                          <w:ind w:left="35"/>
                          <w:rPr>
                            <w:rFonts w:ascii="Tahoma"/>
                            <w:sz w:val="13"/>
                          </w:rPr>
                        </w:pPr>
                        <w:r>
                          <w:rPr>
                            <w:rFonts w:ascii="Tahoma"/>
                            <w:color w:val="231F20"/>
                            <w:sz w:val="13"/>
                          </w:rPr>
                          <w:t>LPT1</w:t>
                        </w:r>
                      </w:p>
                    </w:tc>
                    <w:tc>
                      <w:tcPr>
                        <w:tcW w:w="2103" w:type="dxa"/>
                      </w:tcPr>
                      <w:p>
                        <w:pPr>
                          <w:pStyle w:val="TableParagraph"/>
                          <w:spacing w:before="32"/>
                          <w:ind w:left="343" w:right="294"/>
                          <w:jc w:val="center"/>
                          <w:rPr>
                            <w:rFonts w:ascii="Tahoma"/>
                            <w:sz w:val="13"/>
                          </w:rPr>
                        </w:pPr>
                        <w:r>
                          <w:rPr>
                            <w:rFonts w:ascii="Tahoma"/>
                            <w:color w:val="231F20"/>
                            <w:w w:val="115"/>
                            <w:sz w:val="13"/>
                          </w:rPr>
                          <w:t>A2</w:t>
                        </w:r>
                      </w:p>
                    </w:tc>
                    <w:tc>
                      <w:tcPr>
                        <w:tcW w:w="3344" w:type="dxa"/>
                      </w:tcPr>
                      <w:p>
                        <w:pPr>
                          <w:pStyle w:val="TableParagraph"/>
                          <w:spacing w:before="32"/>
                          <w:ind w:right="1138"/>
                          <w:jc w:val="right"/>
                          <w:rPr>
                            <w:rFonts w:ascii="Tahoma" w:hAnsi="Tahoma"/>
                            <w:sz w:val="13"/>
                          </w:rPr>
                        </w:pPr>
                        <w:r>
                          <w:rPr>
                            <w:rFonts w:ascii="Tahoma" w:hAnsi="Tahoma"/>
                            <w:color w:val="231F20"/>
                            <w:sz w:val="13"/>
                          </w:rPr>
                          <w:t>46.38 ± 0.13</w:t>
                        </w:r>
                      </w:p>
                    </w:tc>
                  </w:tr>
                  <w:tr>
                    <w:trPr>
                      <w:trHeight w:val="248" w:hRule="exact"/>
                    </w:trPr>
                    <w:tc>
                      <w:tcPr>
                        <w:tcW w:w="906" w:type="dxa"/>
                      </w:tcPr>
                      <w:p>
                        <w:pPr>
                          <w:pStyle w:val="TableParagraph"/>
                          <w:spacing w:before="32"/>
                          <w:ind w:left="35"/>
                          <w:rPr>
                            <w:rFonts w:ascii="Tahoma"/>
                            <w:sz w:val="13"/>
                          </w:rPr>
                        </w:pPr>
                        <w:r>
                          <w:rPr>
                            <w:rFonts w:ascii="Tahoma"/>
                            <w:color w:val="231F20"/>
                            <w:sz w:val="13"/>
                          </w:rPr>
                          <w:t>RT1</w:t>
                        </w:r>
                      </w:p>
                    </w:tc>
                    <w:tc>
                      <w:tcPr>
                        <w:tcW w:w="2103" w:type="dxa"/>
                      </w:tcPr>
                      <w:p>
                        <w:pPr>
                          <w:pStyle w:val="TableParagraph"/>
                          <w:spacing w:before="32"/>
                          <w:ind w:left="343" w:right="294"/>
                          <w:jc w:val="center"/>
                          <w:rPr>
                            <w:rFonts w:ascii="Tahoma" w:hAnsi="Tahoma"/>
                            <w:sz w:val="13"/>
                          </w:rPr>
                        </w:pPr>
                        <w:r>
                          <w:rPr>
                            <w:rFonts w:ascii="Tahoma" w:hAnsi="Tahoma"/>
                            <w:color w:val="231F20"/>
                            <w:w w:val="115"/>
                            <w:sz w:val="13"/>
                          </w:rPr>
                          <w:t>Homotálico</w:t>
                        </w:r>
                      </w:p>
                    </w:tc>
                    <w:tc>
                      <w:tcPr>
                        <w:tcW w:w="3344" w:type="dxa"/>
                      </w:tcPr>
                      <w:p>
                        <w:pPr>
                          <w:pStyle w:val="TableParagraph"/>
                          <w:spacing w:before="32"/>
                          <w:ind w:right="1139"/>
                          <w:jc w:val="right"/>
                          <w:rPr>
                            <w:rFonts w:ascii="Tahoma" w:hAnsi="Tahoma"/>
                            <w:sz w:val="13"/>
                          </w:rPr>
                        </w:pPr>
                        <w:r>
                          <w:rPr>
                            <w:rFonts w:ascii="Tahoma" w:hAnsi="Tahoma"/>
                            <w:color w:val="231F20"/>
                            <w:sz w:val="13"/>
                          </w:rPr>
                          <w:t>45.50 ± 0.08</w:t>
                        </w:r>
                      </w:p>
                    </w:tc>
                  </w:tr>
                  <w:tr>
                    <w:trPr>
                      <w:trHeight w:val="248" w:hRule="exact"/>
                    </w:trPr>
                    <w:tc>
                      <w:tcPr>
                        <w:tcW w:w="906" w:type="dxa"/>
                      </w:tcPr>
                      <w:p>
                        <w:pPr>
                          <w:pStyle w:val="TableParagraph"/>
                          <w:spacing w:before="32"/>
                          <w:ind w:left="35"/>
                          <w:rPr>
                            <w:rFonts w:ascii="Tahoma"/>
                            <w:sz w:val="13"/>
                          </w:rPr>
                        </w:pPr>
                        <w:r>
                          <w:rPr>
                            <w:rFonts w:ascii="Tahoma"/>
                            <w:color w:val="231F20"/>
                            <w:sz w:val="13"/>
                          </w:rPr>
                          <w:t>LPT3</w:t>
                        </w:r>
                      </w:p>
                    </w:tc>
                    <w:tc>
                      <w:tcPr>
                        <w:tcW w:w="2103" w:type="dxa"/>
                      </w:tcPr>
                      <w:p>
                        <w:pPr>
                          <w:pStyle w:val="TableParagraph"/>
                          <w:spacing w:before="32"/>
                          <w:ind w:left="343" w:right="294"/>
                          <w:jc w:val="center"/>
                          <w:rPr>
                            <w:rFonts w:ascii="Tahoma" w:hAnsi="Tahoma"/>
                            <w:sz w:val="13"/>
                          </w:rPr>
                        </w:pPr>
                        <w:r>
                          <w:rPr>
                            <w:rFonts w:ascii="Tahoma" w:hAnsi="Tahoma"/>
                            <w:color w:val="231F20"/>
                            <w:w w:val="115"/>
                            <w:sz w:val="13"/>
                          </w:rPr>
                          <w:t>Homotálico</w:t>
                        </w:r>
                      </w:p>
                    </w:tc>
                    <w:tc>
                      <w:tcPr>
                        <w:tcW w:w="3344" w:type="dxa"/>
                      </w:tcPr>
                      <w:p>
                        <w:pPr>
                          <w:pStyle w:val="TableParagraph"/>
                          <w:spacing w:before="32"/>
                          <w:ind w:right="1138"/>
                          <w:jc w:val="right"/>
                          <w:rPr>
                            <w:rFonts w:ascii="Tahoma" w:hAnsi="Tahoma"/>
                            <w:sz w:val="13"/>
                          </w:rPr>
                        </w:pPr>
                        <w:r>
                          <w:rPr>
                            <w:rFonts w:ascii="Tahoma" w:hAnsi="Tahoma"/>
                            <w:color w:val="231F20"/>
                            <w:sz w:val="13"/>
                          </w:rPr>
                          <w:t>45.38 ± 0.06</w:t>
                        </w:r>
                      </w:p>
                    </w:tc>
                  </w:tr>
                  <w:tr>
                    <w:trPr>
                      <w:trHeight w:val="248" w:hRule="exact"/>
                    </w:trPr>
                    <w:tc>
                      <w:tcPr>
                        <w:tcW w:w="906" w:type="dxa"/>
                      </w:tcPr>
                      <w:p>
                        <w:pPr>
                          <w:pStyle w:val="TableParagraph"/>
                          <w:spacing w:before="32"/>
                          <w:ind w:left="35"/>
                          <w:rPr>
                            <w:rFonts w:ascii="Tahoma"/>
                            <w:sz w:val="13"/>
                          </w:rPr>
                        </w:pPr>
                        <w:r>
                          <w:rPr>
                            <w:rFonts w:ascii="Tahoma"/>
                            <w:color w:val="231F20"/>
                            <w:sz w:val="13"/>
                          </w:rPr>
                          <w:t>RR1</w:t>
                        </w:r>
                      </w:p>
                    </w:tc>
                    <w:tc>
                      <w:tcPr>
                        <w:tcW w:w="2103" w:type="dxa"/>
                      </w:tcPr>
                      <w:p>
                        <w:pPr>
                          <w:pStyle w:val="TableParagraph"/>
                          <w:spacing w:before="32"/>
                          <w:ind w:left="343" w:right="294"/>
                          <w:jc w:val="center"/>
                          <w:rPr>
                            <w:rFonts w:ascii="Tahoma" w:hAnsi="Tahoma"/>
                            <w:sz w:val="13"/>
                          </w:rPr>
                        </w:pPr>
                        <w:r>
                          <w:rPr>
                            <w:rFonts w:ascii="Tahoma" w:hAnsi="Tahoma"/>
                            <w:color w:val="231F20"/>
                            <w:w w:val="115"/>
                            <w:sz w:val="13"/>
                          </w:rPr>
                          <w:t>Homotálico</w:t>
                        </w:r>
                      </w:p>
                    </w:tc>
                    <w:tc>
                      <w:tcPr>
                        <w:tcW w:w="3344" w:type="dxa"/>
                      </w:tcPr>
                      <w:p>
                        <w:pPr>
                          <w:pStyle w:val="TableParagraph"/>
                          <w:spacing w:before="32"/>
                          <w:ind w:right="1138"/>
                          <w:jc w:val="right"/>
                          <w:rPr>
                            <w:rFonts w:ascii="Tahoma" w:hAnsi="Tahoma"/>
                            <w:sz w:val="13"/>
                          </w:rPr>
                        </w:pPr>
                        <w:r>
                          <w:rPr>
                            <w:rFonts w:ascii="Tahoma" w:hAnsi="Tahoma"/>
                            <w:color w:val="231F20"/>
                            <w:sz w:val="13"/>
                          </w:rPr>
                          <w:t>45.20 ± 0.08</w:t>
                        </w:r>
                      </w:p>
                    </w:tc>
                  </w:tr>
                  <w:tr>
                    <w:trPr>
                      <w:trHeight w:val="248" w:hRule="exact"/>
                    </w:trPr>
                    <w:tc>
                      <w:tcPr>
                        <w:tcW w:w="906" w:type="dxa"/>
                      </w:tcPr>
                      <w:p>
                        <w:pPr>
                          <w:pStyle w:val="TableParagraph"/>
                          <w:spacing w:before="32"/>
                          <w:ind w:left="35"/>
                          <w:rPr>
                            <w:rFonts w:ascii="Tahoma"/>
                            <w:sz w:val="13"/>
                          </w:rPr>
                        </w:pPr>
                        <w:r>
                          <w:rPr>
                            <w:rFonts w:ascii="Tahoma"/>
                            <w:color w:val="231F20"/>
                            <w:w w:val="110"/>
                            <w:sz w:val="13"/>
                          </w:rPr>
                          <w:t>BV2</w:t>
                        </w:r>
                      </w:p>
                    </w:tc>
                    <w:tc>
                      <w:tcPr>
                        <w:tcW w:w="2103" w:type="dxa"/>
                      </w:tcPr>
                      <w:p>
                        <w:pPr>
                          <w:pStyle w:val="TableParagraph"/>
                          <w:spacing w:before="32"/>
                          <w:ind w:left="343" w:right="294"/>
                          <w:jc w:val="center"/>
                          <w:rPr>
                            <w:rFonts w:ascii="Tahoma"/>
                            <w:sz w:val="13"/>
                          </w:rPr>
                        </w:pPr>
                        <w:r>
                          <w:rPr>
                            <w:rFonts w:ascii="Tahoma"/>
                            <w:color w:val="231F20"/>
                            <w:w w:val="115"/>
                            <w:sz w:val="13"/>
                          </w:rPr>
                          <w:t>A1</w:t>
                        </w:r>
                      </w:p>
                    </w:tc>
                    <w:tc>
                      <w:tcPr>
                        <w:tcW w:w="3344" w:type="dxa"/>
                      </w:tcPr>
                      <w:p>
                        <w:pPr>
                          <w:pStyle w:val="TableParagraph"/>
                          <w:spacing w:before="32"/>
                          <w:ind w:right="1138"/>
                          <w:jc w:val="right"/>
                          <w:rPr>
                            <w:rFonts w:ascii="Tahoma" w:hAnsi="Tahoma"/>
                            <w:sz w:val="13"/>
                          </w:rPr>
                        </w:pPr>
                        <w:r>
                          <w:rPr>
                            <w:rFonts w:ascii="Tahoma" w:hAnsi="Tahoma"/>
                            <w:color w:val="231F20"/>
                            <w:sz w:val="13"/>
                          </w:rPr>
                          <w:t>44.65 ± 0.08</w:t>
                        </w:r>
                      </w:p>
                    </w:tc>
                  </w:tr>
                  <w:tr>
                    <w:trPr>
                      <w:trHeight w:val="248" w:hRule="exact"/>
                    </w:trPr>
                    <w:tc>
                      <w:tcPr>
                        <w:tcW w:w="906" w:type="dxa"/>
                      </w:tcPr>
                      <w:p>
                        <w:pPr>
                          <w:pStyle w:val="TableParagraph"/>
                          <w:spacing w:before="32"/>
                          <w:ind w:left="35"/>
                          <w:rPr>
                            <w:rFonts w:ascii="Tahoma"/>
                            <w:sz w:val="13"/>
                          </w:rPr>
                        </w:pPr>
                        <w:r>
                          <w:rPr>
                            <w:rFonts w:ascii="Tahoma"/>
                            <w:color w:val="231F20"/>
                            <w:sz w:val="13"/>
                          </w:rPr>
                          <w:t>LPT5</w:t>
                        </w:r>
                      </w:p>
                    </w:tc>
                    <w:tc>
                      <w:tcPr>
                        <w:tcW w:w="2103" w:type="dxa"/>
                      </w:tcPr>
                      <w:p>
                        <w:pPr>
                          <w:pStyle w:val="TableParagraph"/>
                          <w:spacing w:before="32"/>
                          <w:ind w:left="343" w:right="294"/>
                          <w:jc w:val="center"/>
                          <w:rPr>
                            <w:rFonts w:ascii="Tahoma"/>
                            <w:sz w:val="13"/>
                          </w:rPr>
                        </w:pPr>
                        <w:r>
                          <w:rPr>
                            <w:rFonts w:ascii="Tahoma"/>
                            <w:color w:val="231F20"/>
                            <w:w w:val="115"/>
                            <w:sz w:val="13"/>
                          </w:rPr>
                          <w:t>A2</w:t>
                        </w:r>
                      </w:p>
                    </w:tc>
                    <w:tc>
                      <w:tcPr>
                        <w:tcW w:w="3344" w:type="dxa"/>
                      </w:tcPr>
                      <w:p>
                        <w:pPr>
                          <w:pStyle w:val="TableParagraph"/>
                          <w:spacing w:before="32"/>
                          <w:ind w:right="1138"/>
                          <w:jc w:val="right"/>
                          <w:rPr>
                            <w:rFonts w:ascii="Tahoma" w:hAnsi="Tahoma"/>
                            <w:sz w:val="13"/>
                          </w:rPr>
                        </w:pPr>
                        <w:r>
                          <w:rPr>
                            <w:rFonts w:ascii="Tahoma" w:hAnsi="Tahoma"/>
                            <w:color w:val="231F20"/>
                            <w:sz w:val="13"/>
                          </w:rPr>
                          <w:t>44.30 ± 0.14</w:t>
                        </w:r>
                      </w:p>
                    </w:tc>
                  </w:tr>
                  <w:tr>
                    <w:trPr>
                      <w:trHeight w:val="248" w:hRule="exact"/>
                    </w:trPr>
                    <w:tc>
                      <w:tcPr>
                        <w:tcW w:w="906" w:type="dxa"/>
                      </w:tcPr>
                      <w:p>
                        <w:pPr>
                          <w:pStyle w:val="TableParagraph"/>
                          <w:spacing w:before="32"/>
                          <w:ind w:left="35"/>
                          <w:rPr>
                            <w:rFonts w:ascii="Tahoma"/>
                            <w:sz w:val="13"/>
                          </w:rPr>
                        </w:pPr>
                        <w:r>
                          <w:rPr>
                            <w:rFonts w:ascii="Tahoma"/>
                            <w:color w:val="231F20"/>
                            <w:sz w:val="13"/>
                          </w:rPr>
                          <w:t>LPT2</w:t>
                        </w:r>
                      </w:p>
                    </w:tc>
                    <w:tc>
                      <w:tcPr>
                        <w:tcW w:w="2103" w:type="dxa"/>
                      </w:tcPr>
                      <w:p>
                        <w:pPr>
                          <w:pStyle w:val="TableParagraph"/>
                          <w:spacing w:before="32"/>
                          <w:ind w:left="343" w:right="294"/>
                          <w:jc w:val="center"/>
                          <w:rPr>
                            <w:rFonts w:ascii="Tahoma" w:hAnsi="Tahoma"/>
                            <w:sz w:val="13"/>
                          </w:rPr>
                        </w:pPr>
                        <w:r>
                          <w:rPr>
                            <w:rFonts w:ascii="Tahoma" w:hAnsi="Tahoma"/>
                            <w:color w:val="231F20"/>
                            <w:w w:val="115"/>
                            <w:sz w:val="13"/>
                          </w:rPr>
                          <w:t>Homotálico</w:t>
                        </w:r>
                      </w:p>
                    </w:tc>
                    <w:tc>
                      <w:tcPr>
                        <w:tcW w:w="3344" w:type="dxa"/>
                      </w:tcPr>
                      <w:p>
                        <w:pPr>
                          <w:pStyle w:val="TableParagraph"/>
                          <w:spacing w:before="32"/>
                          <w:ind w:right="1138"/>
                          <w:jc w:val="right"/>
                          <w:rPr>
                            <w:rFonts w:ascii="Tahoma" w:hAnsi="Tahoma"/>
                            <w:sz w:val="13"/>
                          </w:rPr>
                        </w:pPr>
                        <w:r>
                          <w:rPr>
                            <w:rFonts w:ascii="Tahoma" w:hAnsi="Tahoma"/>
                            <w:color w:val="231F20"/>
                            <w:sz w:val="13"/>
                          </w:rPr>
                          <w:t>43.96 ± 0.08</w:t>
                        </w:r>
                      </w:p>
                    </w:tc>
                  </w:tr>
                  <w:tr>
                    <w:trPr>
                      <w:trHeight w:val="248" w:hRule="exact"/>
                    </w:trPr>
                    <w:tc>
                      <w:tcPr>
                        <w:tcW w:w="906" w:type="dxa"/>
                      </w:tcPr>
                      <w:p>
                        <w:pPr>
                          <w:pStyle w:val="TableParagraph"/>
                          <w:spacing w:before="32"/>
                          <w:ind w:left="35"/>
                          <w:rPr>
                            <w:rFonts w:ascii="Tahoma"/>
                            <w:sz w:val="13"/>
                          </w:rPr>
                        </w:pPr>
                        <w:r>
                          <w:rPr>
                            <w:rFonts w:ascii="Tahoma"/>
                            <w:color w:val="231F20"/>
                            <w:w w:val="105"/>
                            <w:sz w:val="13"/>
                          </w:rPr>
                          <w:t>LP4</w:t>
                        </w:r>
                      </w:p>
                    </w:tc>
                    <w:tc>
                      <w:tcPr>
                        <w:tcW w:w="2103" w:type="dxa"/>
                      </w:tcPr>
                      <w:p>
                        <w:pPr>
                          <w:pStyle w:val="TableParagraph"/>
                          <w:spacing w:before="32"/>
                          <w:ind w:left="343" w:right="294"/>
                          <w:jc w:val="center"/>
                          <w:rPr>
                            <w:rFonts w:ascii="Tahoma"/>
                            <w:sz w:val="13"/>
                          </w:rPr>
                        </w:pPr>
                        <w:r>
                          <w:rPr>
                            <w:rFonts w:ascii="Tahoma"/>
                            <w:color w:val="231F20"/>
                            <w:w w:val="115"/>
                            <w:sz w:val="13"/>
                          </w:rPr>
                          <w:t>A1</w:t>
                        </w:r>
                      </w:p>
                    </w:tc>
                    <w:tc>
                      <w:tcPr>
                        <w:tcW w:w="3344" w:type="dxa"/>
                      </w:tcPr>
                      <w:p>
                        <w:pPr>
                          <w:pStyle w:val="TableParagraph"/>
                          <w:spacing w:before="32"/>
                          <w:ind w:right="1138"/>
                          <w:jc w:val="right"/>
                          <w:rPr>
                            <w:rFonts w:ascii="Tahoma" w:hAnsi="Tahoma"/>
                            <w:sz w:val="13"/>
                          </w:rPr>
                        </w:pPr>
                        <w:r>
                          <w:rPr>
                            <w:rFonts w:ascii="Tahoma" w:hAnsi="Tahoma"/>
                            <w:color w:val="231F20"/>
                            <w:sz w:val="13"/>
                          </w:rPr>
                          <w:t>43.41 ± 0.39</w:t>
                        </w:r>
                      </w:p>
                    </w:tc>
                  </w:tr>
                  <w:tr>
                    <w:trPr>
                      <w:trHeight w:val="248" w:hRule="exact"/>
                    </w:trPr>
                    <w:tc>
                      <w:tcPr>
                        <w:tcW w:w="906" w:type="dxa"/>
                      </w:tcPr>
                      <w:p>
                        <w:pPr>
                          <w:pStyle w:val="TableParagraph"/>
                          <w:spacing w:before="32"/>
                          <w:ind w:left="35"/>
                          <w:rPr>
                            <w:rFonts w:ascii="Tahoma"/>
                            <w:sz w:val="13"/>
                          </w:rPr>
                        </w:pPr>
                        <w:r>
                          <w:rPr>
                            <w:rFonts w:ascii="Tahoma"/>
                            <w:color w:val="231F20"/>
                            <w:w w:val="105"/>
                            <w:sz w:val="13"/>
                          </w:rPr>
                          <w:t>LP5</w:t>
                        </w:r>
                      </w:p>
                    </w:tc>
                    <w:tc>
                      <w:tcPr>
                        <w:tcW w:w="2103" w:type="dxa"/>
                      </w:tcPr>
                      <w:p>
                        <w:pPr>
                          <w:pStyle w:val="TableParagraph"/>
                          <w:spacing w:before="32"/>
                          <w:ind w:left="343" w:right="294"/>
                          <w:jc w:val="center"/>
                          <w:rPr>
                            <w:rFonts w:ascii="Tahoma" w:hAnsi="Tahoma"/>
                            <w:sz w:val="13"/>
                          </w:rPr>
                        </w:pPr>
                        <w:r>
                          <w:rPr>
                            <w:rFonts w:ascii="Tahoma" w:hAnsi="Tahoma"/>
                            <w:color w:val="231F20"/>
                            <w:w w:val="115"/>
                            <w:sz w:val="13"/>
                          </w:rPr>
                          <w:t>Homotálico</w:t>
                        </w:r>
                      </w:p>
                    </w:tc>
                    <w:tc>
                      <w:tcPr>
                        <w:tcW w:w="3344" w:type="dxa"/>
                      </w:tcPr>
                      <w:p>
                        <w:pPr>
                          <w:pStyle w:val="TableParagraph"/>
                          <w:spacing w:before="32"/>
                          <w:ind w:right="1138"/>
                          <w:jc w:val="right"/>
                          <w:rPr>
                            <w:rFonts w:ascii="Tahoma" w:hAnsi="Tahoma"/>
                            <w:sz w:val="13"/>
                          </w:rPr>
                        </w:pPr>
                        <w:r>
                          <w:rPr>
                            <w:rFonts w:ascii="Tahoma" w:hAnsi="Tahoma"/>
                            <w:color w:val="231F20"/>
                            <w:sz w:val="13"/>
                          </w:rPr>
                          <w:t>43.40 ± 0.14</w:t>
                        </w:r>
                      </w:p>
                    </w:tc>
                  </w:tr>
                  <w:tr>
                    <w:trPr>
                      <w:trHeight w:val="248" w:hRule="exact"/>
                    </w:trPr>
                    <w:tc>
                      <w:tcPr>
                        <w:tcW w:w="906" w:type="dxa"/>
                      </w:tcPr>
                      <w:p>
                        <w:pPr>
                          <w:pStyle w:val="TableParagraph"/>
                          <w:spacing w:before="32"/>
                          <w:ind w:left="35"/>
                          <w:rPr>
                            <w:rFonts w:ascii="Tahoma"/>
                            <w:sz w:val="13"/>
                          </w:rPr>
                        </w:pPr>
                        <w:r>
                          <w:rPr>
                            <w:rFonts w:ascii="Tahoma"/>
                            <w:color w:val="231F20"/>
                            <w:w w:val="105"/>
                            <w:sz w:val="13"/>
                          </w:rPr>
                          <w:t>LP3</w:t>
                        </w:r>
                      </w:p>
                    </w:tc>
                    <w:tc>
                      <w:tcPr>
                        <w:tcW w:w="2103" w:type="dxa"/>
                      </w:tcPr>
                      <w:p>
                        <w:pPr>
                          <w:pStyle w:val="TableParagraph"/>
                          <w:spacing w:before="32"/>
                          <w:ind w:left="343" w:right="294"/>
                          <w:jc w:val="center"/>
                          <w:rPr>
                            <w:rFonts w:ascii="Tahoma"/>
                            <w:sz w:val="13"/>
                          </w:rPr>
                        </w:pPr>
                        <w:r>
                          <w:rPr>
                            <w:rFonts w:ascii="Tahoma"/>
                            <w:color w:val="231F20"/>
                            <w:w w:val="115"/>
                            <w:sz w:val="13"/>
                          </w:rPr>
                          <w:t>A1</w:t>
                        </w:r>
                      </w:p>
                    </w:tc>
                    <w:tc>
                      <w:tcPr>
                        <w:tcW w:w="3344" w:type="dxa"/>
                      </w:tcPr>
                      <w:p>
                        <w:pPr>
                          <w:pStyle w:val="TableParagraph"/>
                          <w:spacing w:before="32"/>
                          <w:ind w:right="1138"/>
                          <w:jc w:val="right"/>
                          <w:rPr>
                            <w:rFonts w:ascii="Tahoma" w:hAnsi="Tahoma"/>
                            <w:sz w:val="13"/>
                          </w:rPr>
                        </w:pPr>
                        <w:r>
                          <w:rPr>
                            <w:rFonts w:ascii="Tahoma" w:hAnsi="Tahoma"/>
                            <w:color w:val="231F20"/>
                            <w:sz w:val="13"/>
                          </w:rPr>
                          <w:t>42.89 ± 0.64</w:t>
                        </w:r>
                      </w:p>
                    </w:tc>
                  </w:tr>
                  <w:tr>
                    <w:trPr>
                      <w:trHeight w:val="248" w:hRule="exact"/>
                    </w:trPr>
                    <w:tc>
                      <w:tcPr>
                        <w:tcW w:w="906" w:type="dxa"/>
                      </w:tcPr>
                      <w:p>
                        <w:pPr>
                          <w:pStyle w:val="TableParagraph"/>
                          <w:spacing w:before="32"/>
                          <w:ind w:left="35"/>
                          <w:rPr>
                            <w:rFonts w:ascii="Tahoma"/>
                            <w:sz w:val="13"/>
                          </w:rPr>
                        </w:pPr>
                        <w:r>
                          <w:rPr>
                            <w:rFonts w:ascii="Tahoma"/>
                            <w:color w:val="231F20"/>
                            <w:w w:val="105"/>
                            <w:sz w:val="13"/>
                          </w:rPr>
                          <w:t>BVT3</w:t>
                        </w:r>
                      </w:p>
                    </w:tc>
                    <w:tc>
                      <w:tcPr>
                        <w:tcW w:w="2103" w:type="dxa"/>
                      </w:tcPr>
                      <w:p>
                        <w:pPr>
                          <w:pStyle w:val="TableParagraph"/>
                          <w:spacing w:before="32"/>
                          <w:ind w:left="343" w:right="294"/>
                          <w:jc w:val="center"/>
                          <w:rPr>
                            <w:rFonts w:ascii="Tahoma"/>
                            <w:sz w:val="13"/>
                          </w:rPr>
                        </w:pPr>
                        <w:r>
                          <w:rPr>
                            <w:rFonts w:ascii="Tahoma"/>
                            <w:color w:val="231F20"/>
                            <w:w w:val="115"/>
                            <w:sz w:val="13"/>
                          </w:rPr>
                          <w:t>A2</w:t>
                        </w:r>
                      </w:p>
                    </w:tc>
                    <w:tc>
                      <w:tcPr>
                        <w:tcW w:w="3344" w:type="dxa"/>
                      </w:tcPr>
                      <w:p>
                        <w:pPr>
                          <w:pStyle w:val="TableParagraph"/>
                          <w:spacing w:before="32"/>
                          <w:ind w:right="1138"/>
                          <w:jc w:val="right"/>
                          <w:rPr>
                            <w:rFonts w:ascii="Tahoma" w:hAnsi="Tahoma"/>
                            <w:sz w:val="13"/>
                          </w:rPr>
                        </w:pPr>
                        <w:r>
                          <w:rPr>
                            <w:rFonts w:ascii="Tahoma" w:hAnsi="Tahoma"/>
                            <w:color w:val="231F20"/>
                            <w:sz w:val="13"/>
                          </w:rPr>
                          <w:t>42.40 ± 0.08</w:t>
                        </w:r>
                      </w:p>
                    </w:tc>
                  </w:tr>
                  <w:tr>
                    <w:trPr>
                      <w:trHeight w:val="248" w:hRule="exact"/>
                    </w:trPr>
                    <w:tc>
                      <w:tcPr>
                        <w:tcW w:w="906" w:type="dxa"/>
                      </w:tcPr>
                      <w:p>
                        <w:pPr>
                          <w:pStyle w:val="TableParagraph"/>
                          <w:spacing w:before="32"/>
                          <w:ind w:left="35"/>
                          <w:rPr>
                            <w:rFonts w:ascii="Tahoma"/>
                            <w:sz w:val="13"/>
                          </w:rPr>
                        </w:pPr>
                        <w:r>
                          <w:rPr>
                            <w:rFonts w:ascii="Tahoma"/>
                            <w:color w:val="231F20"/>
                            <w:sz w:val="13"/>
                          </w:rPr>
                          <w:t>RR2</w:t>
                        </w:r>
                      </w:p>
                    </w:tc>
                    <w:tc>
                      <w:tcPr>
                        <w:tcW w:w="2103" w:type="dxa"/>
                      </w:tcPr>
                      <w:p>
                        <w:pPr>
                          <w:pStyle w:val="TableParagraph"/>
                          <w:spacing w:before="32"/>
                          <w:ind w:left="343" w:right="294"/>
                          <w:jc w:val="center"/>
                          <w:rPr>
                            <w:rFonts w:ascii="Tahoma"/>
                            <w:sz w:val="13"/>
                          </w:rPr>
                        </w:pPr>
                        <w:r>
                          <w:rPr>
                            <w:rFonts w:ascii="Tahoma"/>
                            <w:color w:val="231F20"/>
                            <w:w w:val="115"/>
                            <w:sz w:val="13"/>
                          </w:rPr>
                          <w:t>A1</w:t>
                        </w:r>
                      </w:p>
                    </w:tc>
                    <w:tc>
                      <w:tcPr>
                        <w:tcW w:w="3344" w:type="dxa"/>
                      </w:tcPr>
                      <w:p>
                        <w:pPr>
                          <w:pStyle w:val="TableParagraph"/>
                          <w:spacing w:before="32"/>
                          <w:ind w:right="1138"/>
                          <w:jc w:val="right"/>
                          <w:rPr>
                            <w:rFonts w:ascii="Tahoma" w:hAnsi="Tahoma"/>
                            <w:sz w:val="13"/>
                          </w:rPr>
                        </w:pPr>
                        <w:r>
                          <w:rPr>
                            <w:rFonts w:ascii="Tahoma" w:hAnsi="Tahoma"/>
                            <w:color w:val="231F20"/>
                            <w:sz w:val="13"/>
                          </w:rPr>
                          <w:t>42.08 ± 0.14</w:t>
                        </w:r>
                      </w:p>
                    </w:tc>
                  </w:tr>
                  <w:tr>
                    <w:trPr>
                      <w:trHeight w:val="248" w:hRule="exact"/>
                    </w:trPr>
                    <w:tc>
                      <w:tcPr>
                        <w:tcW w:w="906" w:type="dxa"/>
                      </w:tcPr>
                      <w:p>
                        <w:pPr>
                          <w:pStyle w:val="TableParagraph"/>
                          <w:spacing w:before="32"/>
                          <w:ind w:left="35"/>
                          <w:rPr>
                            <w:rFonts w:ascii="Tahoma"/>
                            <w:sz w:val="13"/>
                          </w:rPr>
                        </w:pPr>
                        <w:r>
                          <w:rPr>
                            <w:rFonts w:ascii="Tahoma"/>
                            <w:color w:val="231F20"/>
                            <w:sz w:val="13"/>
                          </w:rPr>
                          <w:t>LPT4</w:t>
                        </w:r>
                      </w:p>
                    </w:tc>
                    <w:tc>
                      <w:tcPr>
                        <w:tcW w:w="2103" w:type="dxa"/>
                      </w:tcPr>
                      <w:p>
                        <w:pPr>
                          <w:pStyle w:val="TableParagraph"/>
                          <w:spacing w:before="32"/>
                          <w:ind w:left="343" w:right="294"/>
                          <w:jc w:val="center"/>
                          <w:rPr>
                            <w:rFonts w:ascii="Tahoma"/>
                            <w:sz w:val="13"/>
                          </w:rPr>
                        </w:pPr>
                        <w:r>
                          <w:rPr>
                            <w:rFonts w:ascii="Tahoma"/>
                            <w:color w:val="231F20"/>
                            <w:w w:val="115"/>
                            <w:sz w:val="13"/>
                          </w:rPr>
                          <w:t>A1</w:t>
                        </w:r>
                      </w:p>
                    </w:tc>
                    <w:tc>
                      <w:tcPr>
                        <w:tcW w:w="3344" w:type="dxa"/>
                      </w:tcPr>
                      <w:p>
                        <w:pPr>
                          <w:pStyle w:val="TableParagraph"/>
                          <w:spacing w:before="32"/>
                          <w:ind w:right="1138"/>
                          <w:jc w:val="right"/>
                          <w:rPr>
                            <w:rFonts w:ascii="Tahoma" w:hAnsi="Tahoma"/>
                            <w:sz w:val="13"/>
                          </w:rPr>
                        </w:pPr>
                        <w:r>
                          <w:rPr>
                            <w:rFonts w:ascii="Tahoma" w:hAnsi="Tahoma"/>
                            <w:color w:val="231F20"/>
                            <w:sz w:val="13"/>
                          </w:rPr>
                          <w:t>41.96 ± 0.08</w:t>
                        </w:r>
                      </w:p>
                    </w:tc>
                  </w:tr>
                  <w:tr>
                    <w:trPr>
                      <w:trHeight w:val="248" w:hRule="exact"/>
                    </w:trPr>
                    <w:tc>
                      <w:tcPr>
                        <w:tcW w:w="906" w:type="dxa"/>
                      </w:tcPr>
                      <w:p>
                        <w:pPr>
                          <w:pStyle w:val="TableParagraph"/>
                          <w:spacing w:before="32"/>
                          <w:ind w:left="35"/>
                          <w:rPr>
                            <w:rFonts w:ascii="Tahoma"/>
                            <w:sz w:val="13"/>
                          </w:rPr>
                        </w:pPr>
                        <w:r>
                          <w:rPr>
                            <w:rFonts w:ascii="Tahoma"/>
                            <w:color w:val="231F20"/>
                            <w:w w:val="105"/>
                            <w:sz w:val="13"/>
                          </w:rPr>
                          <w:t>LP2</w:t>
                        </w:r>
                      </w:p>
                    </w:tc>
                    <w:tc>
                      <w:tcPr>
                        <w:tcW w:w="2103" w:type="dxa"/>
                      </w:tcPr>
                      <w:p>
                        <w:pPr>
                          <w:pStyle w:val="TableParagraph"/>
                          <w:spacing w:before="32"/>
                          <w:ind w:left="343" w:right="294"/>
                          <w:jc w:val="center"/>
                          <w:rPr>
                            <w:rFonts w:ascii="Tahoma" w:hAnsi="Tahoma"/>
                            <w:sz w:val="13"/>
                          </w:rPr>
                        </w:pPr>
                        <w:r>
                          <w:rPr>
                            <w:rFonts w:ascii="Tahoma" w:hAnsi="Tahoma"/>
                            <w:color w:val="231F20"/>
                            <w:w w:val="115"/>
                            <w:sz w:val="13"/>
                          </w:rPr>
                          <w:t>Homotálico</w:t>
                        </w:r>
                      </w:p>
                    </w:tc>
                    <w:tc>
                      <w:tcPr>
                        <w:tcW w:w="3344" w:type="dxa"/>
                      </w:tcPr>
                      <w:p>
                        <w:pPr>
                          <w:pStyle w:val="TableParagraph"/>
                          <w:spacing w:before="32"/>
                          <w:ind w:right="1138"/>
                          <w:jc w:val="right"/>
                          <w:rPr>
                            <w:rFonts w:ascii="Tahoma" w:hAnsi="Tahoma"/>
                            <w:sz w:val="13"/>
                          </w:rPr>
                        </w:pPr>
                        <w:r>
                          <w:rPr>
                            <w:rFonts w:ascii="Tahoma" w:hAnsi="Tahoma"/>
                            <w:color w:val="231F20"/>
                            <w:sz w:val="13"/>
                          </w:rPr>
                          <w:t>41.36 ± 0.36</w:t>
                        </w:r>
                      </w:p>
                    </w:tc>
                  </w:tr>
                  <w:tr>
                    <w:trPr>
                      <w:trHeight w:val="248" w:hRule="exact"/>
                    </w:trPr>
                    <w:tc>
                      <w:tcPr>
                        <w:tcW w:w="906" w:type="dxa"/>
                      </w:tcPr>
                      <w:p>
                        <w:pPr>
                          <w:pStyle w:val="TableParagraph"/>
                          <w:spacing w:before="32"/>
                          <w:ind w:left="35"/>
                          <w:rPr>
                            <w:rFonts w:ascii="Tahoma"/>
                            <w:sz w:val="13"/>
                          </w:rPr>
                        </w:pPr>
                        <w:r>
                          <w:rPr>
                            <w:rFonts w:ascii="Tahoma"/>
                            <w:color w:val="231F20"/>
                            <w:w w:val="105"/>
                            <w:sz w:val="13"/>
                          </w:rPr>
                          <w:t>LP1</w:t>
                        </w:r>
                      </w:p>
                    </w:tc>
                    <w:tc>
                      <w:tcPr>
                        <w:tcW w:w="2103" w:type="dxa"/>
                      </w:tcPr>
                      <w:p>
                        <w:pPr>
                          <w:pStyle w:val="TableParagraph"/>
                          <w:spacing w:before="32"/>
                          <w:ind w:left="343" w:right="294"/>
                          <w:jc w:val="center"/>
                          <w:rPr>
                            <w:rFonts w:ascii="Tahoma"/>
                            <w:sz w:val="13"/>
                          </w:rPr>
                        </w:pPr>
                        <w:r>
                          <w:rPr>
                            <w:rFonts w:ascii="Tahoma"/>
                            <w:color w:val="231F20"/>
                            <w:w w:val="115"/>
                            <w:sz w:val="13"/>
                          </w:rPr>
                          <w:t>A1</w:t>
                        </w:r>
                      </w:p>
                    </w:tc>
                    <w:tc>
                      <w:tcPr>
                        <w:tcW w:w="3344" w:type="dxa"/>
                      </w:tcPr>
                      <w:p>
                        <w:pPr>
                          <w:pStyle w:val="TableParagraph"/>
                          <w:spacing w:before="32"/>
                          <w:ind w:right="1138"/>
                          <w:jc w:val="right"/>
                          <w:rPr>
                            <w:rFonts w:ascii="Tahoma" w:hAnsi="Tahoma"/>
                            <w:sz w:val="13"/>
                          </w:rPr>
                        </w:pPr>
                        <w:r>
                          <w:rPr>
                            <w:rFonts w:ascii="Tahoma" w:hAnsi="Tahoma"/>
                            <w:color w:val="231F20"/>
                            <w:sz w:val="13"/>
                          </w:rPr>
                          <w:t>40.45 ± 0.78</w:t>
                        </w:r>
                      </w:p>
                    </w:tc>
                  </w:tr>
                  <w:tr>
                    <w:trPr>
                      <w:trHeight w:val="248" w:hRule="exact"/>
                    </w:trPr>
                    <w:tc>
                      <w:tcPr>
                        <w:tcW w:w="906" w:type="dxa"/>
                      </w:tcPr>
                      <w:p>
                        <w:pPr>
                          <w:pStyle w:val="TableParagraph"/>
                          <w:spacing w:before="32"/>
                          <w:ind w:left="35"/>
                          <w:rPr>
                            <w:rFonts w:ascii="Tahoma"/>
                            <w:sz w:val="13"/>
                          </w:rPr>
                        </w:pPr>
                        <w:r>
                          <w:rPr>
                            <w:rFonts w:ascii="Tahoma"/>
                            <w:color w:val="231F20"/>
                            <w:w w:val="105"/>
                            <w:sz w:val="13"/>
                          </w:rPr>
                          <w:t>BVT1</w:t>
                        </w:r>
                      </w:p>
                    </w:tc>
                    <w:tc>
                      <w:tcPr>
                        <w:tcW w:w="2103" w:type="dxa"/>
                      </w:tcPr>
                      <w:p>
                        <w:pPr>
                          <w:pStyle w:val="TableParagraph"/>
                          <w:spacing w:before="32"/>
                          <w:ind w:left="343" w:right="294"/>
                          <w:jc w:val="center"/>
                          <w:rPr>
                            <w:rFonts w:ascii="Tahoma"/>
                            <w:sz w:val="13"/>
                          </w:rPr>
                        </w:pPr>
                        <w:r>
                          <w:rPr>
                            <w:rFonts w:ascii="Tahoma"/>
                            <w:color w:val="231F20"/>
                            <w:w w:val="115"/>
                            <w:sz w:val="13"/>
                          </w:rPr>
                          <w:t>A2</w:t>
                        </w:r>
                      </w:p>
                    </w:tc>
                    <w:tc>
                      <w:tcPr>
                        <w:tcW w:w="3344" w:type="dxa"/>
                      </w:tcPr>
                      <w:p>
                        <w:pPr>
                          <w:pStyle w:val="TableParagraph"/>
                          <w:spacing w:before="32"/>
                          <w:ind w:right="1138"/>
                          <w:jc w:val="right"/>
                          <w:rPr>
                            <w:rFonts w:ascii="Tahoma" w:hAnsi="Tahoma"/>
                            <w:sz w:val="13"/>
                          </w:rPr>
                        </w:pPr>
                        <w:r>
                          <w:rPr>
                            <w:rFonts w:ascii="Tahoma" w:hAnsi="Tahoma"/>
                            <w:color w:val="231F20"/>
                            <w:sz w:val="13"/>
                          </w:rPr>
                          <w:t>38.82 ± 0.14</w:t>
                        </w:r>
                      </w:p>
                    </w:tc>
                  </w:tr>
                  <w:tr>
                    <w:trPr>
                      <w:trHeight w:val="248" w:hRule="exact"/>
                    </w:trPr>
                    <w:tc>
                      <w:tcPr>
                        <w:tcW w:w="906" w:type="dxa"/>
                      </w:tcPr>
                      <w:p>
                        <w:pPr>
                          <w:pStyle w:val="TableParagraph"/>
                          <w:spacing w:before="32"/>
                          <w:ind w:left="35"/>
                          <w:rPr>
                            <w:rFonts w:ascii="Tahoma"/>
                            <w:sz w:val="13"/>
                          </w:rPr>
                        </w:pPr>
                        <w:r>
                          <w:rPr>
                            <w:rFonts w:ascii="Tahoma"/>
                            <w:color w:val="231F20"/>
                            <w:w w:val="110"/>
                            <w:sz w:val="13"/>
                          </w:rPr>
                          <w:t>BV1</w:t>
                        </w:r>
                      </w:p>
                    </w:tc>
                    <w:tc>
                      <w:tcPr>
                        <w:tcW w:w="2103" w:type="dxa"/>
                      </w:tcPr>
                      <w:p>
                        <w:pPr>
                          <w:pStyle w:val="TableParagraph"/>
                          <w:spacing w:before="32"/>
                          <w:ind w:left="343" w:right="294"/>
                          <w:jc w:val="center"/>
                          <w:rPr>
                            <w:rFonts w:ascii="Tahoma"/>
                            <w:sz w:val="13"/>
                          </w:rPr>
                        </w:pPr>
                        <w:r>
                          <w:rPr>
                            <w:rFonts w:ascii="Tahoma"/>
                            <w:color w:val="231F20"/>
                            <w:w w:val="115"/>
                            <w:sz w:val="13"/>
                          </w:rPr>
                          <w:t>A1</w:t>
                        </w:r>
                      </w:p>
                    </w:tc>
                    <w:tc>
                      <w:tcPr>
                        <w:tcW w:w="3344" w:type="dxa"/>
                      </w:tcPr>
                      <w:p>
                        <w:pPr>
                          <w:pStyle w:val="TableParagraph"/>
                          <w:spacing w:before="32"/>
                          <w:ind w:right="1138"/>
                          <w:jc w:val="right"/>
                          <w:rPr>
                            <w:rFonts w:ascii="Tahoma" w:hAnsi="Tahoma"/>
                            <w:sz w:val="13"/>
                          </w:rPr>
                        </w:pPr>
                        <w:r>
                          <w:rPr>
                            <w:rFonts w:ascii="Tahoma" w:hAnsi="Tahoma"/>
                            <w:color w:val="231F20"/>
                            <w:sz w:val="13"/>
                          </w:rPr>
                          <w:t>37.43 ± 0.14</w:t>
                        </w:r>
                      </w:p>
                    </w:tc>
                  </w:tr>
                  <w:tr>
                    <w:trPr>
                      <w:trHeight w:val="248" w:hRule="exact"/>
                    </w:trPr>
                    <w:tc>
                      <w:tcPr>
                        <w:tcW w:w="906" w:type="dxa"/>
                      </w:tcPr>
                      <w:p>
                        <w:pPr>
                          <w:pStyle w:val="TableParagraph"/>
                          <w:spacing w:before="32"/>
                          <w:ind w:left="35"/>
                          <w:rPr>
                            <w:rFonts w:ascii="Tahoma"/>
                            <w:sz w:val="13"/>
                          </w:rPr>
                        </w:pPr>
                        <w:r>
                          <w:rPr>
                            <w:rFonts w:ascii="Tahoma"/>
                            <w:color w:val="231F20"/>
                            <w:w w:val="105"/>
                            <w:sz w:val="13"/>
                          </w:rPr>
                          <w:t>BVT2</w:t>
                        </w:r>
                      </w:p>
                    </w:tc>
                    <w:tc>
                      <w:tcPr>
                        <w:tcW w:w="2103" w:type="dxa"/>
                      </w:tcPr>
                      <w:p>
                        <w:pPr>
                          <w:pStyle w:val="TableParagraph"/>
                          <w:spacing w:before="32"/>
                          <w:ind w:left="343" w:right="294"/>
                          <w:jc w:val="center"/>
                          <w:rPr>
                            <w:rFonts w:ascii="Tahoma"/>
                            <w:sz w:val="13"/>
                          </w:rPr>
                        </w:pPr>
                        <w:r>
                          <w:rPr>
                            <w:rFonts w:ascii="Tahoma"/>
                            <w:color w:val="231F20"/>
                            <w:w w:val="115"/>
                            <w:sz w:val="13"/>
                          </w:rPr>
                          <w:t>A1</w:t>
                        </w:r>
                      </w:p>
                    </w:tc>
                    <w:tc>
                      <w:tcPr>
                        <w:tcW w:w="3344" w:type="dxa"/>
                      </w:tcPr>
                      <w:p>
                        <w:pPr>
                          <w:pStyle w:val="TableParagraph"/>
                          <w:spacing w:before="32"/>
                          <w:ind w:right="1138"/>
                          <w:jc w:val="right"/>
                          <w:rPr>
                            <w:rFonts w:ascii="Tahoma" w:hAnsi="Tahoma"/>
                            <w:sz w:val="13"/>
                          </w:rPr>
                        </w:pPr>
                        <w:r>
                          <w:rPr>
                            <w:rFonts w:ascii="Tahoma" w:hAnsi="Tahoma"/>
                            <w:color w:val="231F20"/>
                            <w:sz w:val="13"/>
                          </w:rPr>
                          <w:t>36.42 ± 0.08</w:t>
                        </w:r>
                      </w:p>
                    </w:tc>
                  </w:tr>
                  <w:tr>
                    <w:trPr>
                      <w:trHeight w:val="250" w:hRule="exact"/>
                    </w:trPr>
                    <w:tc>
                      <w:tcPr>
                        <w:tcW w:w="906" w:type="dxa"/>
                        <w:tcBorders>
                          <w:bottom w:val="single" w:sz="3" w:space="0" w:color="231F20"/>
                        </w:tcBorders>
                      </w:tcPr>
                      <w:p>
                        <w:pPr>
                          <w:pStyle w:val="TableParagraph"/>
                          <w:spacing w:before="32"/>
                          <w:ind w:left="35"/>
                          <w:rPr>
                            <w:rFonts w:ascii="Tahoma"/>
                            <w:sz w:val="13"/>
                          </w:rPr>
                        </w:pPr>
                        <w:r>
                          <w:rPr>
                            <w:rFonts w:ascii="Tahoma"/>
                            <w:color w:val="231F20"/>
                            <w:sz w:val="13"/>
                          </w:rPr>
                          <w:t>RT2</w:t>
                        </w:r>
                      </w:p>
                    </w:tc>
                    <w:tc>
                      <w:tcPr>
                        <w:tcW w:w="2103" w:type="dxa"/>
                        <w:tcBorders>
                          <w:bottom w:val="single" w:sz="3" w:space="0" w:color="231F20"/>
                        </w:tcBorders>
                      </w:tcPr>
                      <w:p>
                        <w:pPr>
                          <w:pStyle w:val="TableParagraph"/>
                          <w:spacing w:before="32"/>
                          <w:ind w:left="343" w:right="294"/>
                          <w:jc w:val="center"/>
                          <w:rPr>
                            <w:rFonts w:ascii="Tahoma"/>
                            <w:sz w:val="13"/>
                          </w:rPr>
                        </w:pPr>
                        <w:r>
                          <w:rPr>
                            <w:rFonts w:ascii="Tahoma"/>
                            <w:color w:val="231F20"/>
                            <w:w w:val="115"/>
                            <w:sz w:val="13"/>
                          </w:rPr>
                          <w:t>A2</w:t>
                        </w:r>
                      </w:p>
                    </w:tc>
                    <w:tc>
                      <w:tcPr>
                        <w:tcW w:w="3344" w:type="dxa"/>
                        <w:tcBorders>
                          <w:bottom w:val="single" w:sz="3" w:space="0" w:color="231F20"/>
                        </w:tcBorders>
                      </w:tcPr>
                      <w:p>
                        <w:pPr>
                          <w:pStyle w:val="TableParagraph"/>
                          <w:spacing w:before="32"/>
                          <w:ind w:right="1138"/>
                          <w:jc w:val="right"/>
                          <w:rPr>
                            <w:rFonts w:ascii="Tahoma" w:hAnsi="Tahoma"/>
                            <w:sz w:val="13"/>
                          </w:rPr>
                        </w:pPr>
                        <w:r>
                          <w:rPr>
                            <w:rFonts w:ascii="Tahoma" w:hAnsi="Tahoma"/>
                            <w:color w:val="231F20"/>
                            <w:sz w:val="13"/>
                          </w:rPr>
                          <w:t>35.44 ± 0.14</w:t>
                        </w:r>
                      </w:p>
                    </w:tc>
                  </w:tr>
                </w:tbl>
                <w:p>
                  <w:pPr>
                    <w:pStyle w:val="BodyText"/>
                  </w:pPr>
                </w:p>
              </w:txbxContent>
            </v:textbox>
            <w10:wrap type="none"/>
          </v:shape>
        </w:pict>
      </w:r>
      <w:r>
        <w:rPr>
          <w:rFonts w:ascii="Tahoma" w:hAnsi="Tahoma"/>
          <w:color w:val="231F20"/>
          <w:w w:val="110"/>
          <w:position w:val="4"/>
          <w:sz w:val="9"/>
        </w:rPr>
        <w:t>a </w:t>
      </w:r>
      <w:r>
        <w:rPr>
          <w:rFonts w:ascii="Tahoma" w:hAnsi="Tahoma"/>
          <w:color w:val="231F20"/>
          <w:w w:val="110"/>
          <w:sz w:val="13"/>
        </w:rPr>
        <w:t>Listado en orden decreciente de crecimiento relativo a la presencia de 5.0 </w:t>
      </w:r>
      <w:r>
        <w:rPr>
          <w:rFonts w:ascii="Calibri" w:hAnsi="Calibri"/>
          <w:color w:val="231F20"/>
          <w:w w:val="110"/>
          <w:sz w:val="13"/>
        </w:rPr>
        <w:t>μ</w:t>
      </w:r>
      <w:r>
        <w:rPr>
          <w:rFonts w:ascii="Tahoma" w:hAnsi="Tahoma"/>
          <w:color w:val="231F20"/>
          <w:w w:val="110"/>
          <w:sz w:val="13"/>
        </w:rPr>
        <w:t>l de metalaxil por ml.</w:t>
      </w:r>
    </w:p>
    <w:p>
      <w:pPr>
        <w:spacing w:line="249" w:lineRule="auto" w:before="40"/>
        <w:ind w:left="1609" w:right="1457" w:hanging="91"/>
        <w:jc w:val="left"/>
        <w:rPr>
          <w:rFonts w:ascii="Tahoma" w:hAnsi="Tahoma"/>
          <w:sz w:val="13"/>
        </w:rPr>
      </w:pPr>
      <w:r>
        <w:rPr>
          <w:rFonts w:ascii="Tahoma" w:hAnsi="Tahoma"/>
          <w:color w:val="231F20"/>
          <w:w w:val="110"/>
          <w:position w:val="4"/>
          <w:sz w:val="9"/>
        </w:rPr>
        <w:t>b </w:t>
      </w:r>
      <w:r>
        <w:rPr>
          <w:rFonts w:ascii="Tahoma" w:hAnsi="Tahoma"/>
          <w:color w:val="231F20"/>
          <w:w w:val="110"/>
          <w:sz w:val="13"/>
        </w:rPr>
        <w:t>Determinado por un ensayo de crecimiento radial. El valor indicado es el promedio y desviación es- tándar de tres repeticiones.</w:t>
      </w:r>
    </w:p>
    <w:p>
      <w:pPr>
        <w:pStyle w:val="BodyText"/>
        <w:spacing w:before="11"/>
        <w:rPr>
          <w:rFonts w:ascii="Tahoma"/>
          <w:sz w:val="28"/>
        </w:rPr>
      </w:pPr>
    </w:p>
    <w:p>
      <w:pPr>
        <w:spacing w:after="0"/>
        <w:rPr>
          <w:rFonts w:ascii="Tahoma"/>
          <w:sz w:val="28"/>
        </w:rPr>
        <w:sectPr>
          <w:footerReference w:type="default" r:id="rId56"/>
          <w:pgSz w:w="12240" w:h="15840"/>
          <w:pgMar w:footer="740" w:header="719" w:top="1260" w:bottom="920" w:left="1460" w:right="1440"/>
          <w:pgNumType w:start="41"/>
        </w:sectPr>
      </w:pPr>
    </w:p>
    <w:p>
      <w:pPr>
        <w:spacing w:line="176" w:lineRule="exact" w:before="76"/>
        <w:ind w:left="1503" w:right="0" w:firstLine="0"/>
        <w:jc w:val="both"/>
        <w:rPr>
          <w:rFonts w:ascii="Tahoma" w:hAnsi="Tahoma"/>
          <w:sz w:val="15"/>
        </w:rPr>
      </w:pPr>
      <w:r>
        <w:rPr>
          <w:rFonts w:ascii="Tahoma" w:hAnsi="Tahoma"/>
          <w:color w:val="231F20"/>
          <w:w w:val="105"/>
          <w:sz w:val="15"/>
        </w:rPr>
        <w:t>nos sexuales (anteridios anfiginios y oogo- nios)</w:t>
      </w:r>
      <w:r>
        <w:rPr>
          <w:rFonts w:ascii="Tahoma" w:hAnsi="Tahoma"/>
          <w:color w:val="231F20"/>
          <w:spacing w:val="-28"/>
          <w:w w:val="105"/>
          <w:sz w:val="15"/>
        </w:rPr>
        <w:t> </w:t>
      </w:r>
      <w:r>
        <w:rPr>
          <w:rFonts w:ascii="Tahoma" w:hAnsi="Tahoma"/>
          <w:color w:val="231F20"/>
          <w:w w:val="105"/>
          <w:sz w:val="15"/>
        </w:rPr>
        <w:t>por</w:t>
      </w:r>
      <w:r>
        <w:rPr>
          <w:rFonts w:ascii="Tahoma" w:hAnsi="Tahoma"/>
          <w:color w:val="231F20"/>
          <w:spacing w:val="-28"/>
          <w:w w:val="105"/>
          <w:sz w:val="15"/>
        </w:rPr>
        <w:t> </w:t>
      </w:r>
      <w:r>
        <w:rPr>
          <w:rFonts w:ascii="Tahoma" w:hAnsi="Tahoma"/>
          <w:color w:val="231F20"/>
          <w:w w:val="105"/>
          <w:sz w:val="15"/>
        </w:rPr>
        <w:t>si</w:t>
      </w:r>
      <w:r>
        <w:rPr>
          <w:rFonts w:ascii="Tahoma" w:hAnsi="Tahoma"/>
          <w:color w:val="231F20"/>
          <w:spacing w:val="-28"/>
          <w:w w:val="105"/>
          <w:sz w:val="15"/>
        </w:rPr>
        <w:t> </w:t>
      </w:r>
      <w:r>
        <w:rPr>
          <w:rFonts w:ascii="Tahoma" w:hAnsi="Tahoma"/>
          <w:color w:val="231F20"/>
          <w:w w:val="105"/>
          <w:sz w:val="15"/>
        </w:rPr>
        <w:t>mismos</w:t>
      </w:r>
      <w:r>
        <w:rPr>
          <w:rFonts w:ascii="Tahoma" w:hAnsi="Tahoma"/>
          <w:color w:val="231F20"/>
          <w:spacing w:val="-28"/>
          <w:w w:val="105"/>
          <w:sz w:val="15"/>
        </w:rPr>
        <w:t> </w:t>
      </w:r>
      <w:r>
        <w:rPr>
          <w:rFonts w:ascii="Tahoma" w:hAnsi="Tahoma"/>
          <w:color w:val="231F20"/>
          <w:w w:val="105"/>
          <w:sz w:val="15"/>
        </w:rPr>
        <w:t>en</w:t>
      </w:r>
      <w:r>
        <w:rPr>
          <w:rFonts w:ascii="Tahoma" w:hAnsi="Tahoma"/>
          <w:color w:val="231F20"/>
          <w:spacing w:val="-28"/>
          <w:w w:val="105"/>
          <w:sz w:val="15"/>
        </w:rPr>
        <w:t> </w:t>
      </w:r>
      <w:r>
        <w:rPr>
          <w:rFonts w:ascii="Tahoma" w:hAnsi="Tahoma"/>
          <w:color w:val="231F20"/>
          <w:w w:val="105"/>
          <w:sz w:val="15"/>
        </w:rPr>
        <w:t>las</w:t>
      </w:r>
      <w:r>
        <w:rPr>
          <w:rFonts w:ascii="Tahoma" w:hAnsi="Tahoma"/>
          <w:color w:val="231F20"/>
          <w:spacing w:val="-28"/>
          <w:w w:val="105"/>
          <w:sz w:val="15"/>
        </w:rPr>
        <w:t> </w:t>
      </w:r>
      <w:r>
        <w:rPr>
          <w:rFonts w:ascii="Tahoma" w:hAnsi="Tahoma"/>
          <w:color w:val="231F20"/>
          <w:w w:val="105"/>
          <w:sz w:val="15"/>
        </w:rPr>
        <w:t>placas</w:t>
      </w:r>
      <w:r>
        <w:rPr>
          <w:rFonts w:ascii="Tahoma" w:hAnsi="Tahoma"/>
          <w:color w:val="231F20"/>
          <w:spacing w:val="-28"/>
          <w:w w:val="105"/>
          <w:sz w:val="15"/>
        </w:rPr>
        <w:t> </w:t>
      </w:r>
      <w:r>
        <w:rPr>
          <w:rFonts w:ascii="Tahoma" w:hAnsi="Tahoma"/>
          <w:color w:val="231F20"/>
          <w:w w:val="105"/>
          <w:sz w:val="15"/>
        </w:rPr>
        <w:t>donde</w:t>
      </w:r>
      <w:r>
        <w:rPr>
          <w:rFonts w:ascii="Tahoma" w:hAnsi="Tahoma"/>
          <w:color w:val="231F20"/>
          <w:spacing w:val="-28"/>
          <w:w w:val="105"/>
          <w:sz w:val="15"/>
        </w:rPr>
        <w:t> </w:t>
      </w:r>
      <w:r>
        <w:rPr>
          <w:rFonts w:ascii="Tahoma" w:hAnsi="Tahoma"/>
          <w:color w:val="231F20"/>
          <w:w w:val="105"/>
          <w:sz w:val="15"/>
        </w:rPr>
        <w:t>se</w:t>
      </w:r>
      <w:r>
        <w:rPr>
          <w:rFonts w:ascii="Tahoma" w:hAnsi="Tahoma"/>
          <w:color w:val="231F20"/>
          <w:spacing w:val="-28"/>
          <w:w w:val="105"/>
          <w:sz w:val="15"/>
        </w:rPr>
        <w:t> </w:t>
      </w:r>
      <w:r>
        <w:rPr>
          <w:rFonts w:ascii="Tahoma" w:hAnsi="Tahoma"/>
          <w:color w:val="231F20"/>
          <w:w w:val="105"/>
          <w:sz w:val="15"/>
        </w:rPr>
        <w:t>cul- </w:t>
      </w:r>
      <w:r>
        <w:rPr>
          <w:rFonts w:ascii="Tahoma" w:hAnsi="Tahoma"/>
          <w:color w:val="231F20"/>
          <w:spacing w:val="-3"/>
          <w:w w:val="105"/>
          <w:sz w:val="15"/>
        </w:rPr>
        <w:t>tivaron</w:t>
      </w:r>
      <w:r>
        <w:rPr>
          <w:rFonts w:ascii="Tahoma" w:hAnsi="Tahoma"/>
          <w:color w:val="231F20"/>
          <w:spacing w:val="-13"/>
          <w:w w:val="105"/>
          <w:sz w:val="15"/>
        </w:rPr>
        <w:t> </w:t>
      </w:r>
      <w:r>
        <w:rPr>
          <w:rFonts w:ascii="Tahoma" w:hAnsi="Tahoma"/>
          <w:color w:val="231F20"/>
          <w:spacing w:val="-3"/>
          <w:w w:val="105"/>
          <w:sz w:val="15"/>
        </w:rPr>
        <w:t>solos</w:t>
      </w:r>
      <w:r>
        <w:rPr>
          <w:rFonts w:ascii="Tahoma" w:hAnsi="Tahoma"/>
          <w:color w:val="231F20"/>
          <w:spacing w:val="-13"/>
          <w:w w:val="105"/>
          <w:sz w:val="15"/>
        </w:rPr>
        <w:t> </w:t>
      </w:r>
      <w:r>
        <w:rPr>
          <w:rFonts w:ascii="Tahoma" w:hAnsi="Tahoma"/>
          <w:color w:val="231F20"/>
          <w:w w:val="105"/>
          <w:sz w:val="15"/>
        </w:rPr>
        <w:t>y</w:t>
      </w:r>
      <w:r>
        <w:rPr>
          <w:rFonts w:ascii="Tahoma" w:hAnsi="Tahoma"/>
          <w:color w:val="231F20"/>
          <w:spacing w:val="-13"/>
          <w:w w:val="105"/>
          <w:sz w:val="15"/>
        </w:rPr>
        <w:t> </w:t>
      </w:r>
      <w:r>
        <w:rPr>
          <w:rFonts w:ascii="Tahoma" w:hAnsi="Tahoma"/>
          <w:color w:val="231F20"/>
          <w:spacing w:val="-3"/>
          <w:w w:val="105"/>
          <w:sz w:val="15"/>
        </w:rPr>
        <w:t>fueron</w:t>
      </w:r>
      <w:r>
        <w:rPr>
          <w:rFonts w:ascii="Tahoma" w:hAnsi="Tahoma"/>
          <w:color w:val="231F20"/>
          <w:spacing w:val="-13"/>
          <w:w w:val="105"/>
          <w:sz w:val="15"/>
        </w:rPr>
        <w:t> </w:t>
      </w:r>
      <w:r>
        <w:rPr>
          <w:rFonts w:ascii="Tahoma" w:hAnsi="Tahoma"/>
          <w:color w:val="231F20"/>
          <w:spacing w:val="-3"/>
          <w:w w:val="105"/>
          <w:sz w:val="15"/>
        </w:rPr>
        <w:t>capaces</w:t>
      </w:r>
      <w:r>
        <w:rPr>
          <w:rFonts w:ascii="Tahoma" w:hAnsi="Tahoma"/>
          <w:color w:val="231F20"/>
          <w:spacing w:val="-13"/>
          <w:w w:val="105"/>
          <w:sz w:val="15"/>
        </w:rPr>
        <w:t> </w:t>
      </w:r>
      <w:r>
        <w:rPr>
          <w:rFonts w:ascii="Tahoma" w:hAnsi="Tahoma"/>
          <w:color w:val="231F20"/>
          <w:w w:val="105"/>
          <w:sz w:val="15"/>
        </w:rPr>
        <w:t>de</w:t>
      </w:r>
      <w:r>
        <w:rPr>
          <w:rFonts w:ascii="Tahoma" w:hAnsi="Tahoma"/>
          <w:color w:val="231F20"/>
          <w:spacing w:val="-13"/>
          <w:w w:val="105"/>
          <w:sz w:val="15"/>
        </w:rPr>
        <w:t> </w:t>
      </w:r>
      <w:r>
        <w:rPr>
          <w:rFonts w:ascii="Tahoma" w:hAnsi="Tahoma"/>
          <w:color w:val="231F20"/>
          <w:spacing w:val="-3"/>
          <w:w w:val="105"/>
          <w:sz w:val="15"/>
        </w:rPr>
        <w:t>producir</w:t>
      </w:r>
      <w:r>
        <w:rPr>
          <w:rFonts w:ascii="Tahoma" w:hAnsi="Tahoma"/>
          <w:color w:val="231F20"/>
          <w:spacing w:val="-13"/>
          <w:w w:val="105"/>
          <w:sz w:val="15"/>
        </w:rPr>
        <w:t> </w:t>
      </w:r>
      <w:r>
        <w:rPr>
          <w:rFonts w:ascii="Tahoma" w:hAnsi="Tahoma"/>
          <w:color w:val="231F20"/>
          <w:spacing w:val="-3"/>
          <w:w w:val="105"/>
          <w:sz w:val="15"/>
        </w:rPr>
        <w:t>ór- </w:t>
      </w:r>
      <w:r>
        <w:rPr>
          <w:rFonts w:ascii="Tahoma" w:hAnsi="Tahoma"/>
          <w:color w:val="231F20"/>
          <w:w w:val="105"/>
          <w:sz w:val="15"/>
        </w:rPr>
        <w:t>ganos sexuales cuando se emparejaron</w:t>
      </w:r>
      <w:r>
        <w:rPr>
          <w:rFonts w:ascii="Tahoma" w:hAnsi="Tahoma"/>
          <w:color w:val="231F20"/>
          <w:spacing w:val="-9"/>
          <w:w w:val="105"/>
          <w:sz w:val="15"/>
        </w:rPr>
        <w:t> </w:t>
      </w:r>
      <w:r>
        <w:rPr>
          <w:rFonts w:ascii="Tahoma" w:hAnsi="Tahoma"/>
          <w:color w:val="231F20"/>
          <w:w w:val="105"/>
          <w:sz w:val="15"/>
        </w:rPr>
        <w:t>con los aislados de referencia. Dichos  </w:t>
      </w:r>
      <w:r>
        <w:rPr>
          <w:rFonts w:ascii="Tahoma" w:hAnsi="Tahoma"/>
          <w:color w:val="231F20"/>
          <w:spacing w:val="9"/>
          <w:w w:val="105"/>
          <w:sz w:val="15"/>
        </w:rPr>
        <w:t> </w:t>
      </w:r>
      <w:r>
        <w:rPr>
          <w:rFonts w:ascii="Tahoma" w:hAnsi="Tahoma"/>
          <w:color w:val="231F20"/>
          <w:w w:val="105"/>
          <w:sz w:val="15"/>
        </w:rPr>
        <w:t>aislados</w:t>
      </w:r>
    </w:p>
    <w:p>
      <w:pPr>
        <w:spacing w:line="176" w:lineRule="exact" w:before="76"/>
        <w:ind w:left="211" w:right="1519" w:firstLine="0"/>
        <w:jc w:val="both"/>
        <w:rPr>
          <w:rFonts w:ascii="Tahoma" w:hAnsi="Tahoma"/>
          <w:sz w:val="15"/>
        </w:rPr>
      </w:pPr>
      <w:r>
        <w:rPr/>
        <w:br w:type="column"/>
      </w:r>
      <w:r>
        <w:rPr>
          <w:rFonts w:ascii="Tahoma" w:hAnsi="Tahoma"/>
          <w:color w:val="231F20"/>
          <w:w w:val="105"/>
          <w:sz w:val="15"/>
        </w:rPr>
        <w:t>homotálicos fueron resistentes al metalaxil. Estos resultados difieren de los</w:t>
      </w:r>
      <w:r>
        <w:rPr>
          <w:rFonts w:ascii="Tahoma" w:hAnsi="Tahoma"/>
          <w:color w:val="231F20"/>
          <w:spacing w:val="-28"/>
          <w:w w:val="105"/>
          <w:sz w:val="15"/>
        </w:rPr>
        <w:t> </w:t>
      </w:r>
      <w:r>
        <w:rPr>
          <w:rFonts w:ascii="Tahoma" w:hAnsi="Tahoma"/>
          <w:color w:val="231F20"/>
          <w:w w:val="105"/>
          <w:sz w:val="15"/>
        </w:rPr>
        <w:t>encontrados por</w:t>
      </w:r>
      <w:r>
        <w:rPr>
          <w:rFonts w:ascii="Tahoma" w:hAnsi="Tahoma"/>
          <w:color w:val="231F20"/>
          <w:spacing w:val="-8"/>
          <w:w w:val="105"/>
          <w:sz w:val="15"/>
        </w:rPr>
        <w:t> </w:t>
      </w:r>
      <w:r>
        <w:rPr>
          <w:rFonts w:ascii="Tahoma" w:hAnsi="Tahoma"/>
          <w:color w:val="231F20"/>
          <w:w w:val="105"/>
          <w:sz w:val="15"/>
        </w:rPr>
        <w:t>Grünwald</w:t>
      </w:r>
      <w:r>
        <w:rPr>
          <w:rFonts w:ascii="Tahoma" w:hAnsi="Tahoma"/>
          <w:color w:val="231F20"/>
          <w:spacing w:val="-8"/>
          <w:w w:val="105"/>
          <w:sz w:val="15"/>
        </w:rPr>
        <w:t> </w:t>
      </w:r>
      <w:r>
        <w:rPr>
          <w:rFonts w:ascii="Trebuchet MS" w:hAnsi="Trebuchet MS"/>
          <w:i/>
          <w:color w:val="231F20"/>
          <w:w w:val="105"/>
          <w:sz w:val="15"/>
        </w:rPr>
        <w:t>et</w:t>
      </w:r>
      <w:r>
        <w:rPr>
          <w:rFonts w:ascii="Trebuchet MS" w:hAnsi="Trebuchet MS"/>
          <w:i/>
          <w:color w:val="231F20"/>
          <w:spacing w:val="-6"/>
          <w:w w:val="105"/>
          <w:sz w:val="15"/>
        </w:rPr>
        <w:t> </w:t>
      </w:r>
      <w:r>
        <w:rPr>
          <w:rFonts w:ascii="Trebuchet MS" w:hAnsi="Trebuchet MS"/>
          <w:i/>
          <w:color w:val="231F20"/>
          <w:w w:val="105"/>
          <w:sz w:val="15"/>
        </w:rPr>
        <w:t>al</w:t>
      </w:r>
      <w:r>
        <w:rPr>
          <w:rFonts w:ascii="Tahoma" w:hAnsi="Tahoma"/>
          <w:color w:val="231F20"/>
          <w:w w:val="105"/>
          <w:sz w:val="15"/>
        </w:rPr>
        <w:t>.</w:t>
      </w:r>
      <w:r>
        <w:rPr>
          <w:rFonts w:ascii="Tahoma" w:hAnsi="Tahoma"/>
          <w:color w:val="231F20"/>
          <w:spacing w:val="-8"/>
          <w:w w:val="105"/>
          <w:sz w:val="15"/>
        </w:rPr>
        <w:t> </w:t>
      </w:r>
      <w:r>
        <w:rPr>
          <w:rFonts w:ascii="Tahoma" w:hAnsi="Tahoma"/>
          <w:color w:val="231F20"/>
          <w:w w:val="105"/>
          <w:sz w:val="15"/>
        </w:rPr>
        <w:t>(2001),</w:t>
      </w:r>
      <w:r>
        <w:rPr>
          <w:rFonts w:ascii="Tahoma" w:hAnsi="Tahoma"/>
          <w:color w:val="231F20"/>
          <w:spacing w:val="-8"/>
          <w:w w:val="105"/>
          <w:sz w:val="15"/>
        </w:rPr>
        <w:t> </w:t>
      </w:r>
      <w:r>
        <w:rPr>
          <w:rFonts w:ascii="Tahoma" w:hAnsi="Tahoma"/>
          <w:color w:val="231F20"/>
          <w:w w:val="105"/>
          <w:sz w:val="15"/>
        </w:rPr>
        <w:t>quienes</w:t>
      </w:r>
      <w:r>
        <w:rPr>
          <w:rFonts w:ascii="Tahoma" w:hAnsi="Tahoma"/>
          <w:color w:val="231F20"/>
          <w:spacing w:val="-8"/>
          <w:w w:val="105"/>
          <w:sz w:val="15"/>
        </w:rPr>
        <w:t> </w:t>
      </w:r>
      <w:r>
        <w:rPr>
          <w:rFonts w:ascii="Tahoma" w:hAnsi="Tahoma"/>
          <w:color w:val="231F20"/>
          <w:w w:val="105"/>
          <w:sz w:val="15"/>
        </w:rPr>
        <w:t>realiza- ron</w:t>
      </w:r>
      <w:r>
        <w:rPr>
          <w:rFonts w:ascii="Tahoma" w:hAnsi="Tahoma"/>
          <w:color w:val="231F20"/>
          <w:spacing w:val="-20"/>
          <w:w w:val="105"/>
          <w:sz w:val="15"/>
        </w:rPr>
        <w:t> </w:t>
      </w:r>
      <w:r>
        <w:rPr>
          <w:rFonts w:ascii="Tahoma" w:hAnsi="Tahoma"/>
          <w:color w:val="231F20"/>
          <w:w w:val="105"/>
          <w:sz w:val="15"/>
        </w:rPr>
        <w:t>un</w:t>
      </w:r>
      <w:r>
        <w:rPr>
          <w:rFonts w:ascii="Tahoma" w:hAnsi="Tahoma"/>
          <w:color w:val="231F20"/>
          <w:spacing w:val="-20"/>
          <w:w w:val="105"/>
          <w:sz w:val="15"/>
        </w:rPr>
        <w:t> </w:t>
      </w:r>
      <w:r>
        <w:rPr>
          <w:rFonts w:ascii="Tahoma" w:hAnsi="Tahoma"/>
          <w:color w:val="231F20"/>
          <w:w w:val="105"/>
          <w:sz w:val="15"/>
        </w:rPr>
        <w:t>estudio</w:t>
      </w:r>
      <w:r>
        <w:rPr>
          <w:rFonts w:ascii="Tahoma" w:hAnsi="Tahoma"/>
          <w:color w:val="231F20"/>
          <w:spacing w:val="-20"/>
          <w:w w:val="105"/>
          <w:sz w:val="15"/>
        </w:rPr>
        <w:t> </w:t>
      </w:r>
      <w:r>
        <w:rPr>
          <w:rFonts w:ascii="Tahoma" w:hAnsi="Tahoma"/>
          <w:color w:val="231F20"/>
          <w:w w:val="105"/>
          <w:sz w:val="15"/>
        </w:rPr>
        <w:t>de</w:t>
      </w:r>
      <w:r>
        <w:rPr>
          <w:rFonts w:ascii="Tahoma" w:hAnsi="Tahoma"/>
          <w:color w:val="231F20"/>
          <w:spacing w:val="-20"/>
          <w:w w:val="105"/>
          <w:sz w:val="15"/>
        </w:rPr>
        <w:t> </w:t>
      </w:r>
      <w:r>
        <w:rPr>
          <w:rFonts w:ascii="Tahoma" w:hAnsi="Tahoma"/>
          <w:color w:val="231F20"/>
          <w:w w:val="105"/>
          <w:sz w:val="15"/>
        </w:rPr>
        <w:t>aislados</w:t>
      </w:r>
      <w:r>
        <w:rPr>
          <w:rFonts w:ascii="Tahoma" w:hAnsi="Tahoma"/>
          <w:color w:val="231F20"/>
          <w:spacing w:val="-20"/>
          <w:w w:val="105"/>
          <w:sz w:val="15"/>
        </w:rPr>
        <w:t> </w:t>
      </w:r>
      <w:r>
        <w:rPr>
          <w:rFonts w:ascii="Tahoma" w:hAnsi="Tahoma"/>
          <w:color w:val="231F20"/>
          <w:w w:val="105"/>
          <w:sz w:val="15"/>
        </w:rPr>
        <w:t>colectados</w:t>
      </w:r>
      <w:r>
        <w:rPr>
          <w:rFonts w:ascii="Tahoma" w:hAnsi="Tahoma"/>
          <w:color w:val="231F20"/>
          <w:spacing w:val="-20"/>
          <w:w w:val="105"/>
          <w:sz w:val="15"/>
        </w:rPr>
        <w:t> </w:t>
      </w:r>
      <w:r>
        <w:rPr>
          <w:rFonts w:ascii="Tahoma" w:hAnsi="Tahoma"/>
          <w:color w:val="231F20"/>
          <w:w w:val="105"/>
          <w:sz w:val="15"/>
        </w:rPr>
        <w:t>en</w:t>
      </w:r>
      <w:r>
        <w:rPr>
          <w:rFonts w:ascii="Tahoma" w:hAnsi="Tahoma"/>
          <w:color w:val="231F20"/>
          <w:spacing w:val="-20"/>
          <w:w w:val="105"/>
          <w:sz w:val="15"/>
        </w:rPr>
        <w:t> </w:t>
      </w:r>
      <w:r>
        <w:rPr>
          <w:rFonts w:ascii="Tahoma" w:hAnsi="Tahoma"/>
          <w:color w:val="231F20"/>
          <w:w w:val="105"/>
          <w:sz w:val="15"/>
        </w:rPr>
        <w:t>el</w:t>
      </w:r>
      <w:r>
        <w:rPr>
          <w:rFonts w:ascii="Tahoma" w:hAnsi="Tahoma"/>
          <w:color w:val="231F20"/>
          <w:spacing w:val="-20"/>
          <w:w w:val="105"/>
          <w:sz w:val="15"/>
        </w:rPr>
        <w:t> </w:t>
      </w:r>
      <w:r>
        <w:rPr>
          <w:rFonts w:ascii="Tahoma" w:hAnsi="Tahoma"/>
          <w:color w:val="231F20"/>
          <w:w w:val="105"/>
          <w:sz w:val="15"/>
        </w:rPr>
        <w:t>la región</w:t>
      </w:r>
      <w:r>
        <w:rPr>
          <w:rFonts w:ascii="Tahoma" w:hAnsi="Tahoma"/>
          <w:color w:val="231F20"/>
          <w:spacing w:val="-14"/>
          <w:w w:val="105"/>
          <w:sz w:val="15"/>
        </w:rPr>
        <w:t> </w:t>
      </w:r>
      <w:r>
        <w:rPr>
          <w:rFonts w:ascii="Tahoma" w:hAnsi="Tahoma"/>
          <w:color w:val="231F20"/>
          <w:w w:val="105"/>
          <w:sz w:val="15"/>
        </w:rPr>
        <w:t>del</w:t>
      </w:r>
      <w:r>
        <w:rPr>
          <w:rFonts w:ascii="Tahoma" w:hAnsi="Tahoma"/>
          <w:color w:val="231F20"/>
          <w:spacing w:val="-14"/>
          <w:w w:val="105"/>
          <w:sz w:val="15"/>
        </w:rPr>
        <w:t> </w:t>
      </w:r>
      <w:r>
        <w:rPr>
          <w:rFonts w:ascii="Tahoma" w:hAnsi="Tahoma"/>
          <w:color w:val="231F20"/>
          <w:spacing w:val="-3"/>
          <w:w w:val="105"/>
          <w:sz w:val="15"/>
        </w:rPr>
        <w:t>Valle</w:t>
      </w:r>
      <w:r>
        <w:rPr>
          <w:rFonts w:ascii="Tahoma" w:hAnsi="Tahoma"/>
          <w:color w:val="231F20"/>
          <w:spacing w:val="-14"/>
          <w:w w:val="105"/>
          <w:sz w:val="15"/>
        </w:rPr>
        <w:t> </w:t>
      </w:r>
      <w:r>
        <w:rPr>
          <w:rFonts w:ascii="Tahoma" w:hAnsi="Tahoma"/>
          <w:color w:val="231F20"/>
          <w:w w:val="105"/>
          <w:sz w:val="15"/>
        </w:rPr>
        <w:t>de</w:t>
      </w:r>
      <w:r>
        <w:rPr>
          <w:rFonts w:ascii="Tahoma" w:hAnsi="Tahoma"/>
          <w:color w:val="231F20"/>
          <w:spacing w:val="-14"/>
          <w:w w:val="105"/>
          <w:sz w:val="15"/>
        </w:rPr>
        <w:t> </w:t>
      </w:r>
      <w:r>
        <w:rPr>
          <w:rFonts w:ascii="Tahoma" w:hAnsi="Tahoma"/>
          <w:color w:val="231F20"/>
          <w:spacing w:val="-3"/>
          <w:w w:val="105"/>
          <w:sz w:val="15"/>
        </w:rPr>
        <w:t>Toluca</w:t>
      </w:r>
      <w:r>
        <w:rPr>
          <w:rFonts w:ascii="Tahoma" w:hAnsi="Tahoma"/>
          <w:color w:val="231F20"/>
          <w:spacing w:val="-14"/>
          <w:w w:val="105"/>
          <w:sz w:val="15"/>
        </w:rPr>
        <w:t> </w:t>
      </w:r>
      <w:r>
        <w:rPr>
          <w:rFonts w:ascii="Tahoma" w:hAnsi="Tahoma"/>
          <w:color w:val="231F20"/>
          <w:w w:val="105"/>
          <w:sz w:val="15"/>
        </w:rPr>
        <w:t>en</w:t>
      </w:r>
      <w:r>
        <w:rPr>
          <w:rFonts w:ascii="Tahoma" w:hAnsi="Tahoma"/>
          <w:color w:val="231F20"/>
          <w:spacing w:val="-14"/>
          <w:w w:val="105"/>
          <w:sz w:val="15"/>
        </w:rPr>
        <w:t> </w:t>
      </w:r>
      <w:r>
        <w:rPr>
          <w:rFonts w:ascii="Tahoma" w:hAnsi="Tahoma"/>
          <w:color w:val="231F20"/>
          <w:w w:val="105"/>
          <w:sz w:val="15"/>
        </w:rPr>
        <w:t>los</w:t>
      </w:r>
      <w:r>
        <w:rPr>
          <w:rFonts w:ascii="Tahoma" w:hAnsi="Tahoma"/>
          <w:color w:val="231F20"/>
          <w:spacing w:val="-14"/>
          <w:w w:val="105"/>
          <w:sz w:val="15"/>
        </w:rPr>
        <w:t> </w:t>
      </w:r>
      <w:r>
        <w:rPr>
          <w:rFonts w:ascii="Tahoma" w:hAnsi="Tahoma"/>
          <w:color w:val="231F20"/>
          <w:w w:val="105"/>
          <w:sz w:val="15"/>
        </w:rPr>
        <w:t>años</w:t>
      </w:r>
      <w:r>
        <w:rPr>
          <w:rFonts w:ascii="Tahoma" w:hAnsi="Tahoma"/>
          <w:color w:val="231F20"/>
          <w:spacing w:val="-14"/>
          <w:w w:val="105"/>
          <w:sz w:val="15"/>
        </w:rPr>
        <w:t> </w:t>
      </w:r>
      <w:r>
        <w:rPr>
          <w:rFonts w:ascii="Tahoma" w:hAnsi="Tahoma"/>
          <w:color w:val="231F20"/>
          <w:w w:val="105"/>
          <w:sz w:val="15"/>
        </w:rPr>
        <w:t>1997</w:t>
      </w:r>
      <w:r>
        <w:rPr>
          <w:rFonts w:ascii="Tahoma" w:hAnsi="Tahoma"/>
          <w:color w:val="231F20"/>
          <w:spacing w:val="-14"/>
          <w:w w:val="105"/>
          <w:sz w:val="15"/>
        </w:rPr>
        <w:t> </w:t>
      </w:r>
      <w:r>
        <w:rPr>
          <w:rFonts w:ascii="Tahoma" w:hAnsi="Tahoma"/>
          <w:color w:val="231F20"/>
          <w:w w:val="105"/>
          <w:sz w:val="15"/>
        </w:rPr>
        <w:t>y</w:t>
      </w:r>
    </w:p>
    <w:p>
      <w:pPr>
        <w:spacing w:after="0" w:line="176" w:lineRule="exact"/>
        <w:jc w:val="both"/>
        <w:rPr>
          <w:rFonts w:ascii="Tahoma" w:hAnsi="Tahoma"/>
          <w:sz w:val="15"/>
        </w:rPr>
        <w:sectPr>
          <w:type w:val="continuous"/>
          <w:pgSz w:w="12240" w:h="15840"/>
          <w:pgMar w:top="1500" w:bottom="1820" w:left="1460" w:right="1440"/>
          <w:cols w:num="2" w:equalWidth="0">
            <w:col w:w="4535" w:space="40"/>
            <w:col w:w="4765"/>
          </w:cols>
        </w:sectPr>
      </w:pPr>
    </w:p>
    <w:p>
      <w:pPr>
        <w:pStyle w:val="BodyText"/>
        <w:rPr>
          <w:rFonts w:ascii="Tahoma"/>
          <w:sz w:val="20"/>
        </w:rPr>
      </w:pPr>
    </w:p>
    <w:p>
      <w:pPr>
        <w:pStyle w:val="BodyText"/>
        <w:rPr>
          <w:rFonts w:ascii="Tahoma"/>
          <w:sz w:val="20"/>
        </w:rPr>
      </w:pPr>
    </w:p>
    <w:p>
      <w:pPr>
        <w:pStyle w:val="BodyText"/>
        <w:rPr>
          <w:rFonts w:ascii="Tahoma"/>
          <w:sz w:val="20"/>
        </w:rPr>
      </w:pPr>
    </w:p>
    <w:p>
      <w:pPr>
        <w:pStyle w:val="BodyText"/>
        <w:spacing w:before="3"/>
        <w:rPr>
          <w:rFonts w:ascii="Tahoma"/>
          <w:sz w:val="20"/>
        </w:rPr>
      </w:pPr>
    </w:p>
    <w:p>
      <w:pPr>
        <w:tabs>
          <w:tab w:pos="7816" w:val="right" w:leader="none"/>
        </w:tabs>
        <w:spacing w:before="82"/>
        <w:ind w:left="1503" w:right="0" w:firstLine="0"/>
        <w:jc w:val="left"/>
        <w:rPr>
          <w:rFonts w:ascii="Calibri" w:hAnsi="Calibri"/>
          <w:sz w:val="13"/>
        </w:rPr>
      </w:pPr>
      <w:r>
        <w:rPr>
          <w:rFonts w:ascii="Trebuchet MS" w:hAnsi="Trebuchet MS"/>
          <w:i/>
          <w:color w:val="231F20"/>
          <w:w w:val="105"/>
          <w:sz w:val="13"/>
        </w:rPr>
        <w:t>López-Orona</w:t>
      </w:r>
      <w:r>
        <w:rPr>
          <w:rFonts w:ascii="Trebuchet MS" w:hAnsi="Trebuchet MS"/>
          <w:i/>
          <w:color w:val="231F20"/>
          <w:spacing w:val="-6"/>
          <w:w w:val="105"/>
          <w:sz w:val="13"/>
        </w:rPr>
        <w:t> </w:t>
      </w:r>
      <w:r>
        <w:rPr>
          <w:rFonts w:ascii="Trebuchet MS" w:hAnsi="Trebuchet MS"/>
          <w:i/>
          <w:color w:val="231F20"/>
          <w:w w:val="105"/>
          <w:sz w:val="13"/>
        </w:rPr>
        <w:t>et</w:t>
      </w:r>
      <w:r>
        <w:rPr>
          <w:rFonts w:ascii="Trebuchet MS" w:hAnsi="Trebuchet MS"/>
          <w:i/>
          <w:color w:val="231F20"/>
          <w:spacing w:val="-6"/>
          <w:w w:val="105"/>
          <w:sz w:val="13"/>
        </w:rPr>
        <w:t> </w:t>
      </w:r>
      <w:r>
        <w:rPr>
          <w:rFonts w:ascii="Trebuchet MS" w:hAnsi="Trebuchet MS"/>
          <w:i/>
          <w:color w:val="231F20"/>
          <w:w w:val="105"/>
          <w:sz w:val="13"/>
        </w:rPr>
        <w:t>al.</w:t>
      </w:r>
      <w:r>
        <w:rPr>
          <w:rFonts w:ascii="Trebuchet MS" w:hAnsi="Trebuchet MS"/>
          <w:i/>
          <w:color w:val="231F20"/>
          <w:spacing w:val="-6"/>
          <w:w w:val="105"/>
          <w:sz w:val="13"/>
        </w:rPr>
        <w:t> </w:t>
      </w:r>
      <w:r>
        <w:rPr>
          <w:rFonts w:ascii="Trebuchet MS" w:hAnsi="Trebuchet MS"/>
          <w:i/>
          <w:color w:val="231F20"/>
          <w:w w:val="105"/>
          <w:sz w:val="13"/>
        </w:rPr>
        <w:t>ITEA</w:t>
      </w:r>
      <w:r>
        <w:rPr>
          <w:rFonts w:ascii="Trebuchet MS" w:hAnsi="Trebuchet MS"/>
          <w:i/>
          <w:color w:val="231F20"/>
          <w:spacing w:val="-10"/>
          <w:w w:val="105"/>
          <w:sz w:val="13"/>
        </w:rPr>
        <w:t> </w:t>
      </w:r>
      <w:r>
        <w:rPr>
          <w:rFonts w:ascii="Trebuchet MS" w:hAnsi="Trebuchet MS"/>
          <w:i/>
          <w:color w:val="231F20"/>
          <w:w w:val="105"/>
          <w:sz w:val="12"/>
        </w:rPr>
        <w:t>(2013),</w:t>
      </w:r>
      <w:r>
        <w:rPr>
          <w:rFonts w:ascii="Trebuchet MS" w:hAnsi="Trebuchet MS"/>
          <w:i/>
          <w:color w:val="231F20"/>
          <w:spacing w:val="-6"/>
          <w:w w:val="105"/>
          <w:sz w:val="12"/>
        </w:rPr>
        <w:t> </w:t>
      </w:r>
      <w:r>
        <w:rPr>
          <w:rFonts w:ascii="Trebuchet MS" w:hAnsi="Trebuchet MS"/>
          <w:i/>
          <w:color w:val="231F20"/>
          <w:w w:val="105"/>
          <w:sz w:val="12"/>
        </w:rPr>
        <w:t>109</w:t>
      </w:r>
      <w:r>
        <w:rPr>
          <w:rFonts w:ascii="Trebuchet MS" w:hAnsi="Trebuchet MS"/>
          <w:i/>
          <w:color w:val="231F20"/>
          <w:spacing w:val="-6"/>
          <w:w w:val="105"/>
          <w:sz w:val="12"/>
        </w:rPr>
        <w:t> </w:t>
      </w:r>
      <w:r>
        <w:rPr>
          <w:rFonts w:ascii="Trebuchet MS" w:hAnsi="Trebuchet MS"/>
          <w:i/>
          <w:color w:val="231F20"/>
          <w:w w:val="105"/>
          <w:sz w:val="12"/>
        </w:rPr>
        <w:t>(4),</w:t>
      </w:r>
      <w:r>
        <w:rPr>
          <w:rFonts w:ascii="Trebuchet MS" w:hAnsi="Trebuchet MS"/>
          <w:i/>
          <w:color w:val="231F20"/>
          <w:spacing w:val="-6"/>
          <w:w w:val="105"/>
          <w:sz w:val="12"/>
        </w:rPr>
        <w:t> </w:t>
      </w:r>
      <w:r>
        <w:rPr>
          <w:rFonts w:ascii="Trebuchet MS" w:hAnsi="Trebuchet MS"/>
          <w:i/>
          <w:color w:val="231F20"/>
          <w:w w:val="105"/>
          <w:sz w:val="12"/>
        </w:rPr>
        <w:t>408-414</w:t>
      </w:r>
      <w:r>
        <w:rPr>
          <w:rFonts w:ascii="Calibri" w:hAnsi="Calibri"/>
          <w:color w:val="231F20"/>
          <w:w w:val="105"/>
          <w:sz w:val="13"/>
        </w:rPr>
        <w:tab/>
        <w:t>413</w:t>
      </w:r>
    </w:p>
    <w:p>
      <w:pPr>
        <w:spacing w:after="0"/>
        <w:jc w:val="left"/>
        <w:rPr>
          <w:rFonts w:ascii="Calibri" w:hAnsi="Calibri"/>
          <w:sz w:val="13"/>
        </w:rPr>
        <w:sectPr>
          <w:pgSz w:w="12240" w:h="15840"/>
          <w:pgMar w:header="719" w:footer="740" w:top="1260" w:bottom="920" w:left="1460" w:right="1440"/>
        </w:sect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spacing w:before="7"/>
        <w:rPr>
          <w:rFonts w:ascii="Calibri"/>
          <w:sz w:val="13"/>
        </w:rPr>
      </w:pPr>
    </w:p>
    <w:p>
      <w:pPr>
        <w:spacing w:line="176" w:lineRule="exact" w:before="0"/>
        <w:ind w:left="1503" w:right="0" w:firstLine="0"/>
        <w:jc w:val="both"/>
        <w:rPr>
          <w:rFonts w:ascii="Calibri" w:hAnsi="Calibri"/>
          <w:sz w:val="15"/>
        </w:rPr>
      </w:pPr>
      <w:r>
        <w:rPr>
          <w:rFonts w:ascii="Calibri" w:hAnsi="Calibri"/>
          <w:color w:val="231F20"/>
          <w:w w:val="115"/>
          <w:sz w:val="15"/>
        </w:rPr>
        <w:t>1998, encontrando una frecuencia equita- tiva 1:1 de los tipos de compatibilidad A1 y A2,</w:t>
      </w:r>
      <w:r>
        <w:rPr>
          <w:rFonts w:ascii="Calibri" w:hAnsi="Calibri"/>
          <w:color w:val="231F20"/>
          <w:spacing w:val="-10"/>
          <w:w w:val="115"/>
          <w:sz w:val="15"/>
        </w:rPr>
        <w:t> </w:t>
      </w:r>
      <w:r>
        <w:rPr>
          <w:rFonts w:ascii="Calibri" w:hAnsi="Calibri"/>
          <w:color w:val="231F20"/>
          <w:w w:val="115"/>
          <w:sz w:val="15"/>
        </w:rPr>
        <w:t>pero</w:t>
      </w:r>
      <w:r>
        <w:rPr>
          <w:rFonts w:ascii="Calibri" w:hAnsi="Calibri"/>
          <w:color w:val="231F20"/>
          <w:spacing w:val="-10"/>
          <w:w w:val="115"/>
          <w:sz w:val="15"/>
        </w:rPr>
        <w:t> </w:t>
      </w:r>
      <w:r>
        <w:rPr>
          <w:rFonts w:ascii="Calibri" w:hAnsi="Calibri"/>
          <w:color w:val="231F20"/>
          <w:w w:val="115"/>
          <w:sz w:val="15"/>
        </w:rPr>
        <w:t>no</w:t>
      </w:r>
      <w:r>
        <w:rPr>
          <w:rFonts w:ascii="Calibri" w:hAnsi="Calibri"/>
          <w:color w:val="231F20"/>
          <w:spacing w:val="-10"/>
          <w:w w:val="115"/>
          <w:sz w:val="15"/>
        </w:rPr>
        <w:t> </w:t>
      </w:r>
      <w:r>
        <w:rPr>
          <w:rFonts w:ascii="Calibri" w:hAnsi="Calibri"/>
          <w:color w:val="231F20"/>
          <w:w w:val="115"/>
          <w:sz w:val="15"/>
        </w:rPr>
        <w:t>relataron</w:t>
      </w:r>
      <w:r>
        <w:rPr>
          <w:rFonts w:ascii="Calibri" w:hAnsi="Calibri"/>
          <w:color w:val="231F20"/>
          <w:spacing w:val="-10"/>
          <w:w w:val="115"/>
          <w:sz w:val="15"/>
        </w:rPr>
        <w:t> </w:t>
      </w:r>
      <w:r>
        <w:rPr>
          <w:rFonts w:ascii="Calibri" w:hAnsi="Calibri"/>
          <w:color w:val="231F20"/>
          <w:w w:val="115"/>
          <w:sz w:val="15"/>
        </w:rPr>
        <w:t>haber</w:t>
      </w:r>
      <w:r>
        <w:rPr>
          <w:rFonts w:ascii="Calibri" w:hAnsi="Calibri"/>
          <w:color w:val="231F20"/>
          <w:spacing w:val="-10"/>
          <w:w w:val="115"/>
          <w:sz w:val="15"/>
        </w:rPr>
        <w:t> </w:t>
      </w:r>
      <w:r>
        <w:rPr>
          <w:rFonts w:ascii="Calibri" w:hAnsi="Calibri"/>
          <w:color w:val="231F20"/>
          <w:w w:val="115"/>
          <w:sz w:val="15"/>
        </w:rPr>
        <w:t>encontrado</w:t>
      </w:r>
      <w:r>
        <w:rPr>
          <w:rFonts w:ascii="Calibri" w:hAnsi="Calibri"/>
          <w:color w:val="231F20"/>
          <w:spacing w:val="-10"/>
          <w:w w:val="115"/>
          <w:sz w:val="15"/>
        </w:rPr>
        <w:t> </w:t>
      </w:r>
      <w:r>
        <w:rPr>
          <w:rFonts w:ascii="Calibri" w:hAnsi="Calibri"/>
          <w:color w:val="231F20"/>
          <w:w w:val="115"/>
          <w:sz w:val="15"/>
        </w:rPr>
        <w:t>ais- lamientos homotálicos. No obstante, Fer- nández</w:t>
      </w:r>
      <w:r>
        <w:rPr>
          <w:rFonts w:ascii="Calibri" w:hAnsi="Calibri"/>
          <w:color w:val="231F20"/>
          <w:spacing w:val="-11"/>
          <w:w w:val="115"/>
          <w:sz w:val="15"/>
        </w:rPr>
        <w:t> </w:t>
      </w:r>
      <w:r>
        <w:rPr>
          <w:rFonts w:ascii="Trebuchet MS" w:hAnsi="Trebuchet MS"/>
          <w:i/>
          <w:color w:val="231F20"/>
          <w:w w:val="115"/>
          <w:sz w:val="15"/>
        </w:rPr>
        <w:t>et.</w:t>
      </w:r>
      <w:r>
        <w:rPr>
          <w:rFonts w:ascii="Trebuchet MS" w:hAnsi="Trebuchet MS"/>
          <w:i/>
          <w:color w:val="231F20"/>
          <w:spacing w:val="-24"/>
          <w:w w:val="115"/>
          <w:sz w:val="15"/>
        </w:rPr>
        <w:t> </w:t>
      </w:r>
      <w:r>
        <w:rPr>
          <w:rFonts w:ascii="Trebuchet MS" w:hAnsi="Trebuchet MS"/>
          <w:i/>
          <w:color w:val="231F20"/>
          <w:w w:val="115"/>
          <w:sz w:val="15"/>
        </w:rPr>
        <w:t>al</w:t>
      </w:r>
      <w:r>
        <w:rPr>
          <w:rFonts w:ascii="Calibri" w:hAnsi="Calibri"/>
          <w:color w:val="231F20"/>
          <w:w w:val="115"/>
          <w:sz w:val="15"/>
        </w:rPr>
        <w:t>.</w:t>
      </w:r>
      <w:r>
        <w:rPr>
          <w:rFonts w:ascii="Calibri" w:hAnsi="Calibri"/>
          <w:color w:val="231F20"/>
          <w:spacing w:val="-11"/>
          <w:w w:val="115"/>
          <w:sz w:val="15"/>
        </w:rPr>
        <w:t> </w:t>
      </w:r>
      <w:r>
        <w:rPr>
          <w:rFonts w:ascii="Calibri" w:hAnsi="Calibri"/>
          <w:color w:val="231F20"/>
          <w:w w:val="115"/>
          <w:sz w:val="15"/>
        </w:rPr>
        <w:t>(2005)</w:t>
      </w:r>
      <w:r>
        <w:rPr>
          <w:rFonts w:ascii="Calibri" w:hAnsi="Calibri"/>
          <w:color w:val="231F20"/>
          <w:spacing w:val="-11"/>
          <w:w w:val="115"/>
          <w:sz w:val="15"/>
        </w:rPr>
        <w:t> </w:t>
      </w:r>
      <w:r>
        <w:rPr>
          <w:rFonts w:ascii="Calibri" w:hAnsi="Calibri"/>
          <w:color w:val="231F20"/>
          <w:w w:val="115"/>
          <w:sz w:val="15"/>
        </w:rPr>
        <w:t>estudiaron</w:t>
      </w:r>
      <w:r>
        <w:rPr>
          <w:rFonts w:ascii="Calibri" w:hAnsi="Calibri"/>
          <w:color w:val="231F20"/>
          <w:spacing w:val="-11"/>
          <w:w w:val="115"/>
          <w:sz w:val="15"/>
        </w:rPr>
        <w:t> </w:t>
      </w:r>
      <w:r>
        <w:rPr>
          <w:rFonts w:ascii="Calibri" w:hAnsi="Calibri"/>
          <w:color w:val="231F20"/>
          <w:w w:val="115"/>
          <w:sz w:val="15"/>
        </w:rPr>
        <w:t>una</w:t>
      </w:r>
      <w:r>
        <w:rPr>
          <w:rFonts w:ascii="Calibri" w:hAnsi="Calibri"/>
          <w:color w:val="231F20"/>
          <w:spacing w:val="-11"/>
          <w:w w:val="115"/>
          <w:sz w:val="15"/>
        </w:rPr>
        <w:t> </w:t>
      </w:r>
      <w:r>
        <w:rPr>
          <w:rFonts w:ascii="Calibri" w:hAnsi="Calibri"/>
          <w:color w:val="231F20"/>
          <w:w w:val="115"/>
          <w:sz w:val="15"/>
        </w:rPr>
        <w:t>pobla- ción de 27 aislados obtenidos de cultivo de papa en el Estado de Michoacán (México), donde</w:t>
      </w:r>
      <w:r>
        <w:rPr>
          <w:rFonts w:ascii="Calibri" w:hAnsi="Calibri"/>
          <w:color w:val="231F20"/>
          <w:spacing w:val="-24"/>
          <w:w w:val="115"/>
          <w:sz w:val="15"/>
        </w:rPr>
        <w:t> </w:t>
      </w:r>
      <w:r>
        <w:rPr>
          <w:rFonts w:ascii="Calibri" w:hAnsi="Calibri"/>
          <w:color w:val="231F20"/>
          <w:w w:val="115"/>
          <w:sz w:val="15"/>
        </w:rPr>
        <w:t>encontraron</w:t>
      </w:r>
      <w:r>
        <w:rPr>
          <w:rFonts w:ascii="Calibri" w:hAnsi="Calibri"/>
          <w:color w:val="231F20"/>
          <w:spacing w:val="-24"/>
          <w:w w:val="115"/>
          <w:sz w:val="15"/>
        </w:rPr>
        <w:t> </w:t>
      </w:r>
      <w:r>
        <w:rPr>
          <w:rFonts w:ascii="Calibri" w:hAnsi="Calibri"/>
          <w:color w:val="231F20"/>
          <w:w w:val="115"/>
          <w:sz w:val="15"/>
        </w:rPr>
        <w:t>2</w:t>
      </w:r>
      <w:r>
        <w:rPr>
          <w:rFonts w:ascii="Calibri" w:hAnsi="Calibri"/>
          <w:color w:val="231F20"/>
          <w:spacing w:val="-24"/>
          <w:w w:val="115"/>
          <w:sz w:val="15"/>
        </w:rPr>
        <w:t> </w:t>
      </w:r>
      <w:r>
        <w:rPr>
          <w:rFonts w:ascii="Calibri" w:hAnsi="Calibri"/>
          <w:color w:val="231F20"/>
          <w:w w:val="115"/>
          <w:sz w:val="15"/>
        </w:rPr>
        <w:t>aislados</w:t>
      </w:r>
      <w:r>
        <w:rPr>
          <w:rFonts w:ascii="Calibri" w:hAnsi="Calibri"/>
          <w:color w:val="231F20"/>
          <w:spacing w:val="-24"/>
          <w:w w:val="115"/>
          <w:sz w:val="15"/>
        </w:rPr>
        <w:t> </w:t>
      </w:r>
      <w:r>
        <w:rPr>
          <w:rFonts w:ascii="Calibri" w:hAnsi="Calibri"/>
          <w:color w:val="231F20"/>
          <w:w w:val="115"/>
          <w:sz w:val="15"/>
        </w:rPr>
        <w:t>homotálicos,</w:t>
      </w:r>
      <w:r>
        <w:rPr>
          <w:rFonts w:ascii="Calibri" w:hAnsi="Calibri"/>
          <w:color w:val="231F20"/>
          <w:spacing w:val="-24"/>
          <w:w w:val="115"/>
          <w:sz w:val="15"/>
        </w:rPr>
        <w:t> </w:t>
      </w:r>
      <w:r>
        <w:rPr>
          <w:rFonts w:ascii="Calibri" w:hAnsi="Calibri"/>
          <w:color w:val="231F20"/>
          <w:w w:val="115"/>
          <w:sz w:val="15"/>
        </w:rPr>
        <w:t>y una proporción 1:1 en los tipos A1 y A2. La presencia</w:t>
      </w:r>
      <w:r>
        <w:rPr>
          <w:rFonts w:ascii="Calibri" w:hAnsi="Calibri"/>
          <w:color w:val="231F20"/>
          <w:spacing w:val="-20"/>
          <w:w w:val="115"/>
          <w:sz w:val="15"/>
        </w:rPr>
        <w:t> </w:t>
      </w:r>
      <w:r>
        <w:rPr>
          <w:rFonts w:ascii="Calibri" w:hAnsi="Calibri"/>
          <w:color w:val="231F20"/>
          <w:w w:val="115"/>
          <w:sz w:val="15"/>
        </w:rPr>
        <w:t>de</w:t>
      </w:r>
      <w:r>
        <w:rPr>
          <w:rFonts w:ascii="Calibri" w:hAnsi="Calibri"/>
          <w:color w:val="231F20"/>
          <w:spacing w:val="-20"/>
          <w:w w:val="115"/>
          <w:sz w:val="15"/>
        </w:rPr>
        <w:t> </w:t>
      </w:r>
      <w:r>
        <w:rPr>
          <w:rFonts w:ascii="Calibri" w:hAnsi="Calibri"/>
          <w:color w:val="231F20"/>
          <w:w w:val="115"/>
          <w:sz w:val="15"/>
        </w:rPr>
        <w:t>aislados</w:t>
      </w:r>
      <w:r>
        <w:rPr>
          <w:rFonts w:ascii="Calibri" w:hAnsi="Calibri"/>
          <w:color w:val="231F20"/>
          <w:spacing w:val="-20"/>
          <w:w w:val="115"/>
          <w:sz w:val="15"/>
        </w:rPr>
        <w:t> </w:t>
      </w:r>
      <w:r>
        <w:rPr>
          <w:rFonts w:ascii="Calibri" w:hAnsi="Calibri"/>
          <w:color w:val="231F20"/>
          <w:w w:val="115"/>
          <w:sz w:val="15"/>
        </w:rPr>
        <w:t>homotálicos</w:t>
      </w:r>
      <w:r>
        <w:rPr>
          <w:rFonts w:ascii="Calibri" w:hAnsi="Calibri"/>
          <w:color w:val="231F20"/>
          <w:spacing w:val="-20"/>
          <w:w w:val="115"/>
          <w:sz w:val="15"/>
        </w:rPr>
        <w:t> </w:t>
      </w:r>
      <w:r>
        <w:rPr>
          <w:rFonts w:ascii="Calibri" w:hAnsi="Calibri"/>
          <w:color w:val="231F20"/>
          <w:w w:val="115"/>
          <w:sz w:val="15"/>
        </w:rPr>
        <w:t>podría</w:t>
      </w:r>
      <w:r>
        <w:rPr>
          <w:rFonts w:ascii="Calibri" w:hAnsi="Calibri"/>
          <w:color w:val="231F20"/>
          <w:spacing w:val="-20"/>
          <w:w w:val="115"/>
          <w:sz w:val="15"/>
        </w:rPr>
        <w:t> </w:t>
      </w:r>
      <w:r>
        <w:rPr>
          <w:rFonts w:ascii="Calibri" w:hAnsi="Calibri"/>
          <w:color w:val="231F20"/>
          <w:w w:val="115"/>
          <w:sz w:val="15"/>
        </w:rPr>
        <w:t>es- tar ligada al uso de metalaxil, Groves y Ris- taino</w:t>
      </w:r>
      <w:r>
        <w:rPr>
          <w:rFonts w:ascii="Calibri" w:hAnsi="Calibri"/>
          <w:color w:val="231F20"/>
          <w:spacing w:val="-13"/>
          <w:w w:val="115"/>
          <w:sz w:val="15"/>
        </w:rPr>
        <w:t> </w:t>
      </w:r>
      <w:r>
        <w:rPr>
          <w:rFonts w:ascii="Calibri" w:hAnsi="Calibri"/>
          <w:color w:val="231F20"/>
          <w:w w:val="115"/>
          <w:sz w:val="15"/>
        </w:rPr>
        <w:t>(2000),</w:t>
      </w:r>
      <w:r>
        <w:rPr>
          <w:rFonts w:ascii="Calibri" w:hAnsi="Calibri"/>
          <w:color w:val="231F20"/>
          <w:spacing w:val="-13"/>
          <w:w w:val="115"/>
          <w:sz w:val="15"/>
        </w:rPr>
        <w:t> </w:t>
      </w:r>
      <w:r>
        <w:rPr>
          <w:rFonts w:ascii="Calibri" w:hAnsi="Calibri"/>
          <w:color w:val="231F20"/>
          <w:w w:val="115"/>
          <w:sz w:val="15"/>
        </w:rPr>
        <w:t>demostraron</w:t>
      </w:r>
      <w:r>
        <w:rPr>
          <w:rFonts w:ascii="Calibri" w:hAnsi="Calibri"/>
          <w:color w:val="231F20"/>
          <w:spacing w:val="-13"/>
          <w:w w:val="115"/>
          <w:sz w:val="15"/>
        </w:rPr>
        <w:t> </w:t>
      </w:r>
      <w:r>
        <w:rPr>
          <w:rFonts w:ascii="Calibri" w:hAnsi="Calibri"/>
          <w:color w:val="231F20"/>
          <w:w w:val="115"/>
          <w:sz w:val="15"/>
        </w:rPr>
        <w:t>que</w:t>
      </w:r>
      <w:r>
        <w:rPr>
          <w:rFonts w:ascii="Calibri" w:hAnsi="Calibri"/>
          <w:color w:val="231F20"/>
          <w:spacing w:val="-13"/>
          <w:w w:val="115"/>
          <w:sz w:val="15"/>
        </w:rPr>
        <w:t> </w:t>
      </w:r>
      <w:r>
        <w:rPr>
          <w:rFonts w:ascii="Calibri" w:hAnsi="Calibri"/>
          <w:color w:val="231F20"/>
          <w:w w:val="115"/>
          <w:sz w:val="15"/>
        </w:rPr>
        <w:t>ciertos</w:t>
      </w:r>
      <w:r>
        <w:rPr>
          <w:rFonts w:ascii="Calibri" w:hAnsi="Calibri"/>
          <w:color w:val="231F20"/>
          <w:spacing w:val="-13"/>
          <w:w w:val="115"/>
          <w:sz w:val="15"/>
        </w:rPr>
        <w:t> </w:t>
      </w:r>
      <w:r>
        <w:rPr>
          <w:rFonts w:ascii="Calibri" w:hAnsi="Calibri"/>
          <w:color w:val="231F20"/>
          <w:w w:val="115"/>
          <w:sz w:val="15"/>
        </w:rPr>
        <w:t>aisla- </w:t>
      </w:r>
      <w:r>
        <w:rPr>
          <w:rFonts w:ascii="Calibri" w:hAnsi="Calibri"/>
          <w:color w:val="231F20"/>
          <w:w w:val="110"/>
          <w:sz w:val="15"/>
        </w:rPr>
        <w:t>dos heterotálicos fueron capaces de producir </w:t>
      </w:r>
      <w:r>
        <w:rPr>
          <w:rFonts w:ascii="Calibri" w:hAnsi="Calibri"/>
          <w:color w:val="231F20"/>
          <w:w w:val="115"/>
          <w:sz w:val="15"/>
        </w:rPr>
        <w:t>oosporas</w:t>
      </w:r>
      <w:r>
        <w:rPr>
          <w:rFonts w:ascii="Calibri" w:hAnsi="Calibri"/>
          <w:color w:val="231F20"/>
          <w:spacing w:val="-25"/>
          <w:w w:val="115"/>
          <w:sz w:val="15"/>
        </w:rPr>
        <w:t> </w:t>
      </w:r>
      <w:r>
        <w:rPr>
          <w:rFonts w:ascii="Calibri" w:hAnsi="Calibri"/>
          <w:color w:val="231F20"/>
          <w:w w:val="115"/>
          <w:sz w:val="15"/>
        </w:rPr>
        <w:t>al</w:t>
      </w:r>
      <w:r>
        <w:rPr>
          <w:rFonts w:ascii="Calibri" w:hAnsi="Calibri"/>
          <w:color w:val="231F20"/>
          <w:spacing w:val="-25"/>
          <w:w w:val="115"/>
          <w:sz w:val="15"/>
        </w:rPr>
        <w:t> </w:t>
      </w:r>
      <w:r>
        <w:rPr>
          <w:rFonts w:ascii="Calibri" w:hAnsi="Calibri"/>
          <w:color w:val="231F20"/>
          <w:w w:val="115"/>
          <w:sz w:val="15"/>
        </w:rPr>
        <w:t>exponerlos</w:t>
      </w:r>
      <w:r>
        <w:rPr>
          <w:rFonts w:ascii="Calibri" w:hAnsi="Calibri"/>
          <w:color w:val="231F20"/>
          <w:spacing w:val="-25"/>
          <w:w w:val="115"/>
          <w:sz w:val="15"/>
        </w:rPr>
        <w:t> </w:t>
      </w:r>
      <w:r>
        <w:rPr>
          <w:rFonts w:ascii="Calibri" w:hAnsi="Calibri"/>
          <w:color w:val="231F20"/>
          <w:w w:val="115"/>
          <w:sz w:val="15"/>
        </w:rPr>
        <w:t>a</w:t>
      </w:r>
      <w:r>
        <w:rPr>
          <w:rFonts w:ascii="Calibri" w:hAnsi="Calibri"/>
          <w:color w:val="231F20"/>
          <w:spacing w:val="-25"/>
          <w:w w:val="115"/>
          <w:sz w:val="15"/>
        </w:rPr>
        <w:t> </w:t>
      </w:r>
      <w:r>
        <w:rPr>
          <w:rFonts w:ascii="Calibri" w:hAnsi="Calibri"/>
          <w:color w:val="231F20"/>
          <w:w w:val="115"/>
          <w:sz w:val="15"/>
        </w:rPr>
        <w:t>diversos</w:t>
      </w:r>
      <w:r>
        <w:rPr>
          <w:rFonts w:ascii="Calibri" w:hAnsi="Calibri"/>
          <w:color w:val="231F20"/>
          <w:spacing w:val="-25"/>
          <w:w w:val="115"/>
          <w:sz w:val="15"/>
        </w:rPr>
        <w:t> </w:t>
      </w:r>
      <w:r>
        <w:rPr>
          <w:rFonts w:ascii="Calibri" w:hAnsi="Calibri"/>
          <w:color w:val="231F20"/>
          <w:w w:val="115"/>
          <w:sz w:val="15"/>
        </w:rPr>
        <w:t>fungicidas, así los aislamientos resistentes a metalaxil produjeron</w:t>
      </w:r>
      <w:r>
        <w:rPr>
          <w:rFonts w:ascii="Calibri" w:hAnsi="Calibri"/>
          <w:color w:val="231F20"/>
          <w:spacing w:val="-11"/>
          <w:w w:val="115"/>
          <w:sz w:val="15"/>
        </w:rPr>
        <w:t> </w:t>
      </w:r>
      <w:r>
        <w:rPr>
          <w:rFonts w:ascii="Calibri" w:hAnsi="Calibri"/>
          <w:color w:val="231F20"/>
          <w:w w:val="115"/>
          <w:sz w:val="15"/>
        </w:rPr>
        <w:t>mayor</w:t>
      </w:r>
      <w:r>
        <w:rPr>
          <w:rFonts w:ascii="Calibri" w:hAnsi="Calibri"/>
          <w:color w:val="231F20"/>
          <w:spacing w:val="-11"/>
          <w:w w:val="115"/>
          <w:sz w:val="15"/>
        </w:rPr>
        <w:t> </w:t>
      </w:r>
      <w:r>
        <w:rPr>
          <w:rFonts w:ascii="Calibri" w:hAnsi="Calibri"/>
          <w:color w:val="231F20"/>
          <w:w w:val="115"/>
          <w:sz w:val="15"/>
        </w:rPr>
        <w:t>número</w:t>
      </w:r>
      <w:r>
        <w:rPr>
          <w:rFonts w:ascii="Calibri" w:hAnsi="Calibri"/>
          <w:color w:val="231F20"/>
          <w:spacing w:val="-11"/>
          <w:w w:val="115"/>
          <w:sz w:val="15"/>
        </w:rPr>
        <w:t> </w:t>
      </w:r>
      <w:r>
        <w:rPr>
          <w:rFonts w:ascii="Calibri" w:hAnsi="Calibri"/>
          <w:color w:val="231F20"/>
          <w:w w:val="115"/>
          <w:sz w:val="15"/>
        </w:rPr>
        <w:t>de</w:t>
      </w:r>
      <w:r>
        <w:rPr>
          <w:rFonts w:ascii="Calibri" w:hAnsi="Calibri"/>
          <w:color w:val="231F20"/>
          <w:spacing w:val="-11"/>
          <w:w w:val="115"/>
          <w:sz w:val="15"/>
        </w:rPr>
        <w:t> </w:t>
      </w:r>
      <w:r>
        <w:rPr>
          <w:rFonts w:ascii="Calibri" w:hAnsi="Calibri"/>
          <w:color w:val="231F20"/>
          <w:w w:val="115"/>
          <w:sz w:val="15"/>
        </w:rPr>
        <w:t>oosporas</w:t>
      </w:r>
      <w:r>
        <w:rPr>
          <w:rFonts w:ascii="Calibri" w:hAnsi="Calibri"/>
          <w:color w:val="231F20"/>
          <w:spacing w:val="-11"/>
          <w:w w:val="115"/>
          <w:sz w:val="15"/>
        </w:rPr>
        <w:t> </w:t>
      </w:r>
      <w:r>
        <w:rPr>
          <w:rFonts w:ascii="Calibri" w:hAnsi="Calibri"/>
          <w:color w:val="231F20"/>
          <w:w w:val="115"/>
          <w:sz w:val="15"/>
        </w:rPr>
        <w:t>que los</w:t>
      </w:r>
      <w:r>
        <w:rPr>
          <w:rFonts w:ascii="Calibri" w:hAnsi="Calibri"/>
          <w:color w:val="231F20"/>
          <w:spacing w:val="-16"/>
          <w:w w:val="115"/>
          <w:sz w:val="15"/>
        </w:rPr>
        <w:t> </w:t>
      </w:r>
      <w:r>
        <w:rPr>
          <w:rFonts w:ascii="Calibri" w:hAnsi="Calibri"/>
          <w:color w:val="231F20"/>
          <w:spacing w:val="-3"/>
          <w:w w:val="115"/>
          <w:sz w:val="15"/>
        </w:rPr>
        <w:t>sensibles</w:t>
      </w:r>
      <w:r>
        <w:rPr>
          <w:rFonts w:ascii="Calibri" w:hAnsi="Calibri"/>
          <w:color w:val="231F20"/>
          <w:spacing w:val="-16"/>
          <w:w w:val="115"/>
          <w:sz w:val="15"/>
        </w:rPr>
        <w:t> </w:t>
      </w:r>
      <w:r>
        <w:rPr>
          <w:rFonts w:ascii="Calibri" w:hAnsi="Calibri"/>
          <w:color w:val="231F20"/>
          <w:w w:val="115"/>
          <w:sz w:val="15"/>
        </w:rPr>
        <w:t>a</w:t>
      </w:r>
      <w:r>
        <w:rPr>
          <w:rFonts w:ascii="Calibri" w:hAnsi="Calibri"/>
          <w:color w:val="231F20"/>
          <w:spacing w:val="-16"/>
          <w:w w:val="115"/>
          <w:sz w:val="15"/>
        </w:rPr>
        <w:t> </w:t>
      </w:r>
      <w:r>
        <w:rPr>
          <w:rFonts w:ascii="Calibri" w:hAnsi="Calibri"/>
          <w:color w:val="231F20"/>
          <w:spacing w:val="-3"/>
          <w:w w:val="115"/>
          <w:sz w:val="15"/>
        </w:rPr>
        <w:t>metalaxil.</w:t>
      </w:r>
      <w:r>
        <w:rPr>
          <w:rFonts w:ascii="Calibri" w:hAnsi="Calibri"/>
          <w:color w:val="231F20"/>
          <w:spacing w:val="-16"/>
          <w:w w:val="115"/>
          <w:sz w:val="15"/>
        </w:rPr>
        <w:t> </w:t>
      </w:r>
      <w:r>
        <w:rPr>
          <w:rFonts w:ascii="Calibri" w:hAnsi="Calibri"/>
          <w:color w:val="231F20"/>
          <w:w w:val="115"/>
          <w:sz w:val="15"/>
        </w:rPr>
        <w:t>En</w:t>
      </w:r>
      <w:r>
        <w:rPr>
          <w:rFonts w:ascii="Calibri" w:hAnsi="Calibri"/>
          <w:color w:val="231F20"/>
          <w:spacing w:val="-16"/>
          <w:w w:val="115"/>
          <w:sz w:val="15"/>
        </w:rPr>
        <w:t> </w:t>
      </w:r>
      <w:r>
        <w:rPr>
          <w:rFonts w:ascii="Calibri" w:hAnsi="Calibri"/>
          <w:color w:val="231F20"/>
          <w:spacing w:val="-3"/>
          <w:w w:val="115"/>
          <w:sz w:val="15"/>
        </w:rPr>
        <w:t>Israel</w:t>
      </w:r>
      <w:r>
        <w:rPr>
          <w:rFonts w:ascii="Calibri" w:hAnsi="Calibri"/>
          <w:color w:val="231F20"/>
          <w:spacing w:val="-16"/>
          <w:w w:val="115"/>
          <w:sz w:val="15"/>
        </w:rPr>
        <w:t> </w:t>
      </w:r>
      <w:r>
        <w:rPr>
          <w:rFonts w:ascii="Calibri" w:hAnsi="Calibri"/>
          <w:color w:val="231F20"/>
          <w:spacing w:val="-3"/>
          <w:w w:val="115"/>
          <w:sz w:val="15"/>
        </w:rPr>
        <w:t>(Rubin</w:t>
      </w:r>
      <w:r>
        <w:rPr>
          <w:rFonts w:ascii="Calibri" w:hAnsi="Calibri"/>
          <w:color w:val="231F20"/>
          <w:spacing w:val="-16"/>
          <w:w w:val="115"/>
          <w:sz w:val="15"/>
        </w:rPr>
        <w:t> </w:t>
      </w:r>
      <w:r>
        <w:rPr>
          <w:rFonts w:ascii="Calibri" w:hAnsi="Calibri"/>
          <w:color w:val="231F20"/>
          <w:w w:val="115"/>
          <w:sz w:val="15"/>
        </w:rPr>
        <w:t>y</w:t>
      </w:r>
      <w:r>
        <w:rPr>
          <w:rFonts w:ascii="Calibri" w:hAnsi="Calibri"/>
          <w:color w:val="231F20"/>
          <w:spacing w:val="-16"/>
          <w:w w:val="115"/>
          <w:sz w:val="15"/>
        </w:rPr>
        <w:t> </w:t>
      </w:r>
      <w:r>
        <w:rPr>
          <w:rFonts w:ascii="Calibri" w:hAnsi="Calibri"/>
          <w:color w:val="231F20"/>
          <w:spacing w:val="-3"/>
          <w:w w:val="115"/>
          <w:sz w:val="15"/>
        </w:rPr>
        <w:t>Co- hen,</w:t>
      </w:r>
      <w:r>
        <w:rPr>
          <w:rFonts w:ascii="Calibri" w:hAnsi="Calibri"/>
          <w:color w:val="231F20"/>
          <w:spacing w:val="-23"/>
          <w:w w:val="115"/>
          <w:sz w:val="15"/>
        </w:rPr>
        <w:t> </w:t>
      </w:r>
      <w:r>
        <w:rPr>
          <w:rFonts w:ascii="Calibri" w:hAnsi="Calibri"/>
          <w:color w:val="231F20"/>
          <w:spacing w:val="-4"/>
          <w:w w:val="115"/>
          <w:sz w:val="15"/>
        </w:rPr>
        <w:t>2004</w:t>
      </w:r>
      <w:r>
        <w:rPr>
          <w:rFonts w:ascii="Calibri" w:hAnsi="Calibri"/>
          <w:color w:val="231F20"/>
          <w:spacing w:val="-25"/>
          <w:w w:val="115"/>
          <w:sz w:val="15"/>
        </w:rPr>
        <w:t> </w:t>
      </w:r>
      <w:r>
        <w:rPr>
          <w:rFonts w:ascii="Calibri" w:hAnsi="Calibri"/>
          <w:color w:val="231F20"/>
          <w:w w:val="115"/>
          <w:sz w:val="15"/>
        </w:rPr>
        <w:t>y</w:t>
      </w:r>
      <w:r>
        <w:rPr>
          <w:rFonts w:ascii="Calibri" w:hAnsi="Calibri"/>
          <w:color w:val="231F20"/>
          <w:spacing w:val="-25"/>
          <w:w w:val="115"/>
          <w:sz w:val="15"/>
        </w:rPr>
        <w:t> </w:t>
      </w:r>
      <w:r>
        <w:rPr>
          <w:rFonts w:ascii="Calibri" w:hAnsi="Calibri"/>
          <w:color w:val="231F20"/>
          <w:spacing w:val="-4"/>
          <w:w w:val="115"/>
          <w:sz w:val="15"/>
        </w:rPr>
        <w:t>2006)</w:t>
      </w:r>
      <w:r>
        <w:rPr>
          <w:rFonts w:ascii="Calibri" w:hAnsi="Calibri"/>
          <w:color w:val="231F20"/>
          <w:spacing w:val="-25"/>
          <w:w w:val="115"/>
          <w:sz w:val="15"/>
        </w:rPr>
        <w:t> </w:t>
      </w:r>
      <w:r>
        <w:rPr>
          <w:rFonts w:ascii="Calibri" w:hAnsi="Calibri"/>
          <w:color w:val="231F20"/>
          <w:w w:val="115"/>
          <w:sz w:val="15"/>
        </w:rPr>
        <w:t>y</w:t>
      </w:r>
      <w:r>
        <w:rPr>
          <w:rFonts w:ascii="Calibri" w:hAnsi="Calibri"/>
          <w:color w:val="231F20"/>
          <w:spacing w:val="-25"/>
          <w:w w:val="115"/>
          <w:sz w:val="15"/>
        </w:rPr>
        <w:t> </w:t>
      </w:r>
      <w:r>
        <w:rPr>
          <w:rFonts w:ascii="Calibri" w:hAnsi="Calibri"/>
          <w:color w:val="231F20"/>
          <w:spacing w:val="-5"/>
          <w:w w:val="115"/>
          <w:sz w:val="15"/>
        </w:rPr>
        <w:t>España</w:t>
      </w:r>
      <w:r>
        <w:rPr>
          <w:rFonts w:ascii="Calibri" w:hAnsi="Calibri"/>
          <w:color w:val="231F20"/>
          <w:spacing w:val="-25"/>
          <w:w w:val="115"/>
          <w:sz w:val="15"/>
        </w:rPr>
        <w:t> </w:t>
      </w:r>
      <w:r>
        <w:rPr>
          <w:rFonts w:ascii="Calibri" w:hAnsi="Calibri"/>
          <w:color w:val="231F20"/>
          <w:spacing w:val="-5"/>
          <w:w w:val="115"/>
          <w:sz w:val="15"/>
        </w:rPr>
        <w:t>(Segura</w:t>
      </w:r>
      <w:r>
        <w:rPr>
          <w:rFonts w:ascii="Calibri" w:hAnsi="Calibri"/>
          <w:color w:val="231F20"/>
          <w:spacing w:val="-25"/>
          <w:w w:val="115"/>
          <w:sz w:val="15"/>
        </w:rPr>
        <w:t> </w:t>
      </w:r>
      <w:r>
        <w:rPr>
          <w:rFonts w:ascii="Trebuchet MS" w:hAnsi="Trebuchet MS"/>
          <w:i/>
          <w:color w:val="231F20"/>
          <w:spacing w:val="-3"/>
          <w:w w:val="115"/>
          <w:sz w:val="15"/>
        </w:rPr>
        <w:t>et</w:t>
      </w:r>
      <w:r>
        <w:rPr>
          <w:rFonts w:ascii="Trebuchet MS" w:hAnsi="Trebuchet MS"/>
          <w:i/>
          <w:color w:val="231F20"/>
          <w:spacing w:val="-38"/>
          <w:w w:val="115"/>
          <w:sz w:val="15"/>
        </w:rPr>
        <w:t> </w:t>
      </w:r>
      <w:r>
        <w:rPr>
          <w:rFonts w:ascii="Trebuchet MS" w:hAnsi="Trebuchet MS"/>
          <w:i/>
          <w:color w:val="231F20"/>
          <w:spacing w:val="-4"/>
          <w:w w:val="115"/>
          <w:sz w:val="15"/>
        </w:rPr>
        <w:t>al</w:t>
      </w:r>
      <w:r>
        <w:rPr>
          <w:rFonts w:ascii="Calibri" w:hAnsi="Calibri"/>
          <w:color w:val="231F20"/>
          <w:spacing w:val="-4"/>
          <w:w w:val="115"/>
          <w:sz w:val="15"/>
        </w:rPr>
        <w:t>.,</w:t>
      </w:r>
      <w:r>
        <w:rPr>
          <w:rFonts w:ascii="Calibri" w:hAnsi="Calibri"/>
          <w:color w:val="231F20"/>
          <w:spacing w:val="-25"/>
          <w:w w:val="115"/>
          <w:sz w:val="15"/>
        </w:rPr>
        <w:t> </w:t>
      </w:r>
      <w:r>
        <w:rPr>
          <w:rFonts w:ascii="Calibri" w:hAnsi="Calibri"/>
          <w:color w:val="231F20"/>
          <w:spacing w:val="-5"/>
          <w:w w:val="115"/>
          <w:sz w:val="15"/>
        </w:rPr>
        <w:t>2007) </w:t>
      </w:r>
      <w:r>
        <w:rPr>
          <w:rFonts w:ascii="Calibri" w:hAnsi="Calibri"/>
          <w:color w:val="231F20"/>
          <w:w w:val="110"/>
          <w:sz w:val="15"/>
        </w:rPr>
        <w:t>se</w:t>
      </w:r>
      <w:r>
        <w:rPr>
          <w:rFonts w:ascii="Calibri" w:hAnsi="Calibri"/>
          <w:color w:val="231F20"/>
          <w:spacing w:val="-9"/>
          <w:w w:val="110"/>
          <w:sz w:val="15"/>
        </w:rPr>
        <w:t> </w:t>
      </w:r>
      <w:r>
        <w:rPr>
          <w:rFonts w:ascii="Calibri" w:hAnsi="Calibri"/>
          <w:color w:val="231F20"/>
          <w:w w:val="110"/>
          <w:sz w:val="15"/>
        </w:rPr>
        <w:t>han</w:t>
      </w:r>
      <w:r>
        <w:rPr>
          <w:rFonts w:ascii="Calibri" w:hAnsi="Calibri"/>
          <w:color w:val="231F20"/>
          <w:spacing w:val="-9"/>
          <w:w w:val="110"/>
          <w:sz w:val="15"/>
        </w:rPr>
        <w:t> </w:t>
      </w:r>
      <w:r>
        <w:rPr>
          <w:rFonts w:ascii="Calibri" w:hAnsi="Calibri"/>
          <w:color w:val="231F20"/>
          <w:w w:val="110"/>
          <w:sz w:val="15"/>
        </w:rPr>
        <w:t>descrito</w:t>
      </w:r>
      <w:r>
        <w:rPr>
          <w:rFonts w:ascii="Calibri" w:hAnsi="Calibri"/>
          <w:color w:val="231F20"/>
          <w:spacing w:val="-9"/>
          <w:w w:val="110"/>
          <w:sz w:val="15"/>
        </w:rPr>
        <w:t> </w:t>
      </w:r>
      <w:r>
        <w:rPr>
          <w:rFonts w:ascii="Calibri" w:hAnsi="Calibri"/>
          <w:color w:val="231F20"/>
          <w:w w:val="110"/>
          <w:sz w:val="15"/>
        </w:rPr>
        <w:t>aislados</w:t>
      </w:r>
      <w:r>
        <w:rPr>
          <w:rFonts w:ascii="Calibri" w:hAnsi="Calibri"/>
          <w:color w:val="231F20"/>
          <w:spacing w:val="-9"/>
          <w:w w:val="110"/>
          <w:sz w:val="15"/>
        </w:rPr>
        <w:t> </w:t>
      </w:r>
      <w:r>
        <w:rPr>
          <w:rFonts w:ascii="Calibri" w:hAnsi="Calibri"/>
          <w:color w:val="231F20"/>
          <w:w w:val="110"/>
          <w:sz w:val="15"/>
        </w:rPr>
        <w:t>de</w:t>
      </w:r>
      <w:r>
        <w:rPr>
          <w:rFonts w:ascii="Calibri" w:hAnsi="Calibri"/>
          <w:color w:val="231F20"/>
          <w:spacing w:val="-10"/>
          <w:w w:val="110"/>
          <w:sz w:val="15"/>
        </w:rPr>
        <w:t> </w:t>
      </w:r>
      <w:r>
        <w:rPr>
          <w:rFonts w:ascii="Trebuchet MS" w:hAnsi="Trebuchet MS"/>
          <w:i/>
          <w:color w:val="231F20"/>
          <w:w w:val="110"/>
          <w:sz w:val="15"/>
        </w:rPr>
        <w:t>Phytophthora</w:t>
      </w:r>
      <w:r>
        <w:rPr>
          <w:rFonts w:ascii="Trebuchet MS" w:hAnsi="Trebuchet MS"/>
          <w:i/>
          <w:color w:val="231F20"/>
          <w:spacing w:val="-22"/>
          <w:w w:val="110"/>
          <w:sz w:val="15"/>
        </w:rPr>
        <w:t> </w:t>
      </w:r>
      <w:r>
        <w:rPr>
          <w:rFonts w:ascii="Trebuchet MS" w:hAnsi="Trebuchet MS"/>
          <w:i/>
          <w:color w:val="231F20"/>
          <w:w w:val="110"/>
          <w:sz w:val="15"/>
        </w:rPr>
        <w:t>in- </w:t>
      </w:r>
      <w:r>
        <w:rPr>
          <w:rFonts w:ascii="Trebuchet MS" w:hAnsi="Trebuchet MS"/>
          <w:i/>
          <w:color w:val="231F20"/>
          <w:w w:val="110"/>
          <w:sz w:val="15"/>
        </w:rPr>
        <w:t>festans</w:t>
      </w:r>
      <w:r>
        <w:rPr>
          <w:rFonts w:ascii="Trebuchet MS" w:hAnsi="Trebuchet MS"/>
          <w:i/>
          <w:color w:val="231F20"/>
          <w:spacing w:val="-32"/>
          <w:w w:val="110"/>
          <w:sz w:val="15"/>
        </w:rPr>
        <w:t> </w:t>
      </w:r>
      <w:r>
        <w:rPr>
          <w:rFonts w:ascii="Calibri" w:hAnsi="Calibri"/>
          <w:color w:val="231F20"/>
          <w:w w:val="110"/>
          <w:sz w:val="15"/>
        </w:rPr>
        <w:t>que,</w:t>
      </w:r>
      <w:r>
        <w:rPr>
          <w:rFonts w:ascii="Calibri" w:hAnsi="Calibri"/>
          <w:color w:val="231F20"/>
          <w:spacing w:val="-20"/>
          <w:w w:val="110"/>
          <w:sz w:val="15"/>
        </w:rPr>
        <w:t> </w:t>
      </w:r>
      <w:r>
        <w:rPr>
          <w:rFonts w:ascii="Calibri" w:hAnsi="Calibri"/>
          <w:color w:val="231F20"/>
          <w:w w:val="110"/>
          <w:sz w:val="15"/>
        </w:rPr>
        <w:t>sin</w:t>
      </w:r>
      <w:r>
        <w:rPr>
          <w:rFonts w:ascii="Calibri" w:hAnsi="Calibri"/>
          <w:color w:val="231F20"/>
          <w:spacing w:val="-20"/>
          <w:w w:val="110"/>
          <w:sz w:val="15"/>
        </w:rPr>
        <w:t> </w:t>
      </w:r>
      <w:r>
        <w:rPr>
          <w:rFonts w:ascii="Calibri" w:hAnsi="Calibri"/>
          <w:color w:val="231F20"/>
          <w:w w:val="110"/>
          <w:sz w:val="15"/>
        </w:rPr>
        <w:t>ser</w:t>
      </w:r>
      <w:r>
        <w:rPr>
          <w:rFonts w:ascii="Calibri" w:hAnsi="Calibri"/>
          <w:color w:val="231F20"/>
          <w:spacing w:val="-20"/>
          <w:w w:val="110"/>
          <w:sz w:val="15"/>
        </w:rPr>
        <w:t> </w:t>
      </w:r>
      <w:r>
        <w:rPr>
          <w:rFonts w:ascii="Calibri" w:hAnsi="Calibri"/>
          <w:color w:val="231F20"/>
          <w:w w:val="110"/>
          <w:sz w:val="15"/>
        </w:rPr>
        <w:t>homotálicos,</w:t>
      </w:r>
      <w:r>
        <w:rPr>
          <w:rFonts w:ascii="Calibri" w:hAnsi="Calibri"/>
          <w:color w:val="231F20"/>
          <w:spacing w:val="-20"/>
          <w:w w:val="110"/>
          <w:sz w:val="15"/>
        </w:rPr>
        <w:t> </w:t>
      </w:r>
      <w:r>
        <w:rPr>
          <w:rFonts w:ascii="Calibri" w:hAnsi="Calibri"/>
          <w:color w:val="231F20"/>
          <w:w w:val="110"/>
          <w:sz w:val="15"/>
        </w:rPr>
        <w:t>presentaban </w:t>
      </w:r>
      <w:r>
        <w:rPr>
          <w:rFonts w:ascii="Calibri" w:hAnsi="Calibri"/>
          <w:color w:val="231F20"/>
          <w:w w:val="115"/>
          <w:sz w:val="15"/>
        </w:rPr>
        <w:t>los</w:t>
      </w:r>
      <w:r>
        <w:rPr>
          <w:rFonts w:ascii="Calibri" w:hAnsi="Calibri"/>
          <w:color w:val="231F20"/>
          <w:spacing w:val="-19"/>
          <w:w w:val="115"/>
          <w:sz w:val="15"/>
        </w:rPr>
        <w:t> </w:t>
      </w:r>
      <w:r>
        <w:rPr>
          <w:rFonts w:ascii="Calibri" w:hAnsi="Calibri"/>
          <w:color w:val="231F20"/>
          <w:w w:val="115"/>
          <w:sz w:val="15"/>
        </w:rPr>
        <w:t>dos</w:t>
      </w:r>
      <w:r>
        <w:rPr>
          <w:rFonts w:ascii="Calibri" w:hAnsi="Calibri"/>
          <w:color w:val="231F20"/>
          <w:spacing w:val="-19"/>
          <w:w w:val="115"/>
          <w:sz w:val="15"/>
        </w:rPr>
        <w:t> </w:t>
      </w:r>
      <w:r>
        <w:rPr>
          <w:rFonts w:ascii="Calibri" w:hAnsi="Calibri"/>
          <w:color w:val="231F20"/>
          <w:spacing w:val="-3"/>
          <w:w w:val="115"/>
          <w:sz w:val="15"/>
        </w:rPr>
        <w:t>tipos</w:t>
      </w:r>
      <w:r>
        <w:rPr>
          <w:rFonts w:ascii="Calibri" w:hAnsi="Calibri"/>
          <w:color w:val="231F20"/>
          <w:spacing w:val="-19"/>
          <w:w w:val="115"/>
          <w:sz w:val="15"/>
        </w:rPr>
        <w:t> </w:t>
      </w:r>
      <w:r>
        <w:rPr>
          <w:rFonts w:ascii="Calibri" w:hAnsi="Calibri"/>
          <w:color w:val="231F20"/>
          <w:w w:val="115"/>
          <w:sz w:val="15"/>
        </w:rPr>
        <w:t>de</w:t>
      </w:r>
      <w:r>
        <w:rPr>
          <w:rFonts w:ascii="Calibri" w:hAnsi="Calibri"/>
          <w:color w:val="231F20"/>
          <w:spacing w:val="-19"/>
          <w:w w:val="115"/>
          <w:sz w:val="15"/>
        </w:rPr>
        <w:t> </w:t>
      </w:r>
      <w:r>
        <w:rPr>
          <w:rFonts w:ascii="Calibri" w:hAnsi="Calibri"/>
          <w:color w:val="231F20"/>
          <w:spacing w:val="-3"/>
          <w:w w:val="115"/>
          <w:sz w:val="15"/>
        </w:rPr>
        <w:t>compatibilidad.</w:t>
      </w:r>
      <w:r>
        <w:rPr>
          <w:rFonts w:ascii="Calibri" w:hAnsi="Calibri"/>
          <w:color w:val="231F20"/>
          <w:spacing w:val="-19"/>
          <w:w w:val="115"/>
          <w:sz w:val="15"/>
        </w:rPr>
        <w:t> </w:t>
      </w:r>
      <w:r>
        <w:rPr>
          <w:rFonts w:ascii="Calibri" w:hAnsi="Calibri"/>
          <w:color w:val="231F20"/>
          <w:spacing w:val="-4"/>
          <w:w w:val="115"/>
          <w:sz w:val="15"/>
        </w:rPr>
        <w:t>Teniendo</w:t>
      </w:r>
      <w:r>
        <w:rPr>
          <w:rFonts w:ascii="Calibri" w:hAnsi="Calibri"/>
          <w:color w:val="231F20"/>
          <w:spacing w:val="-19"/>
          <w:w w:val="115"/>
          <w:sz w:val="15"/>
        </w:rPr>
        <w:t> </w:t>
      </w:r>
      <w:r>
        <w:rPr>
          <w:rFonts w:ascii="Calibri" w:hAnsi="Calibri"/>
          <w:color w:val="231F20"/>
          <w:spacing w:val="-3"/>
          <w:w w:val="115"/>
          <w:sz w:val="15"/>
        </w:rPr>
        <w:t>pre- </w:t>
      </w:r>
      <w:r>
        <w:rPr>
          <w:rFonts w:ascii="Calibri" w:hAnsi="Calibri"/>
          <w:color w:val="231F20"/>
          <w:spacing w:val="-4"/>
          <w:w w:val="115"/>
          <w:sz w:val="15"/>
        </w:rPr>
        <w:t>sente</w:t>
      </w:r>
      <w:r>
        <w:rPr>
          <w:rFonts w:ascii="Calibri" w:hAnsi="Calibri"/>
          <w:color w:val="231F20"/>
          <w:spacing w:val="-20"/>
          <w:w w:val="115"/>
          <w:sz w:val="15"/>
        </w:rPr>
        <w:t> </w:t>
      </w:r>
      <w:r>
        <w:rPr>
          <w:rFonts w:ascii="Calibri" w:hAnsi="Calibri"/>
          <w:color w:val="231F20"/>
          <w:spacing w:val="-3"/>
          <w:w w:val="115"/>
          <w:sz w:val="15"/>
        </w:rPr>
        <w:t>que</w:t>
      </w:r>
      <w:r>
        <w:rPr>
          <w:rFonts w:ascii="Calibri" w:hAnsi="Calibri"/>
          <w:color w:val="231F20"/>
          <w:spacing w:val="-20"/>
          <w:w w:val="115"/>
          <w:sz w:val="15"/>
        </w:rPr>
        <w:t> </w:t>
      </w:r>
      <w:r>
        <w:rPr>
          <w:rFonts w:ascii="Calibri" w:hAnsi="Calibri"/>
          <w:color w:val="231F20"/>
          <w:spacing w:val="-3"/>
          <w:w w:val="115"/>
          <w:sz w:val="15"/>
        </w:rPr>
        <w:t>los</w:t>
      </w:r>
      <w:r>
        <w:rPr>
          <w:rFonts w:ascii="Calibri" w:hAnsi="Calibri"/>
          <w:color w:val="231F20"/>
          <w:spacing w:val="-20"/>
          <w:w w:val="115"/>
          <w:sz w:val="15"/>
        </w:rPr>
        <w:t> </w:t>
      </w:r>
      <w:r>
        <w:rPr>
          <w:rFonts w:ascii="Calibri" w:hAnsi="Calibri"/>
          <w:color w:val="231F20"/>
          <w:spacing w:val="-4"/>
          <w:w w:val="115"/>
          <w:sz w:val="15"/>
        </w:rPr>
        <w:t>aislados</w:t>
      </w:r>
      <w:r>
        <w:rPr>
          <w:rFonts w:ascii="Calibri" w:hAnsi="Calibri"/>
          <w:color w:val="231F20"/>
          <w:spacing w:val="-20"/>
          <w:w w:val="115"/>
          <w:sz w:val="15"/>
        </w:rPr>
        <w:t> </w:t>
      </w:r>
      <w:r>
        <w:rPr>
          <w:rFonts w:ascii="Calibri" w:hAnsi="Calibri"/>
          <w:color w:val="231F20"/>
          <w:spacing w:val="-4"/>
          <w:w w:val="115"/>
          <w:sz w:val="15"/>
        </w:rPr>
        <w:t>estudiados</w:t>
      </w:r>
      <w:r>
        <w:rPr>
          <w:rFonts w:ascii="Calibri" w:hAnsi="Calibri"/>
          <w:color w:val="231F20"/>
          <w:spacing w:val="-20"/>
          <w:w w:val="115"/>
          <w:sz w:val="15"/>
        </w:rPr>
        <w:t> </w:t>
      </w:r>
      <w:r>
        <w:rPr>
          <w:rFonts w:ascii="Calibri" w:hAnsi="Calibri"/>
          <w:color w:val="231F20"/>
          <w:spacing w:val="-4"/>
          <w:w w:val="115"/>
          <w:sz w:val="15"/>
        </w:rPr>
        <w:t>procedían</w:t>
      </w:r>
      <w:r>
        <w:rPr>
          <w:rFonts w:ascii="Calibri" w:hAnsi="Calibri"/>
          <w:color w:val="231F20"/>
          <w:spacing w:val="-20"/>
          <w:w w:val="115"/>
          <w:sz w:val="15"/>
        </w:rPr>
        <w:t> </w:t>
      </w:r>
      <w:r>
        <w:rPr>
          <w:rFonts w:ascii="Calibri" w:hAnsi="Calibri"/>
          <w:color w:val="231F20"/>
          <w:spacing w:val="-4"/>
          <w:w w:val="115"/>
          <w:sz w:val="15"/>
        </w:rPr>
        <w:t>de </w:t>
      </w:r>
      <w:r>
        <w:rPr>
          <w:rFonts w:ascii="Calibri" w:hAnsi="Calibri"/>
          <w:color w:val="231F20"/>
          <w:w w:val="115"/>
          <w:sz w:val="15"/>
        </w:rPr>
        <w:t>cultivos de papa que recibían </w:t>
      </w:r>
      <w:r>
        <w:rPr>
          <w:rFonts w:ascii="Calibri" w:hAnsi="Calibri"/>
          <w:color w:val="231F20"/>
          <w:spacing w:val="-2"/>
          <w:w w:val="115"/>
          <w:sz w:val="15"/>
        </w:rPr>
        <w:t>tratamientos </w:t>
      </w:r>
      <w:r>
        <w:rPr>
          <w:rFonts w:ascii="Calibri" w:hAnsi="Calibri"/>
          <w:color w:val="231F20"/>
          <w:w w:val="115"/>
          <w:sz w:val="15"/>
        </w:rPr>
        <w:t>con metalaxil y que mostraron resistencia</w:t>
      </w:r>
      <w:r>
        <w:rPr>
          <w:rFonts w:ascii="Calibri" w:hAnsi="Calibri"/>
          <w:color w:val="231F20"/>
          <w:spacing w:val="-24"/>
          <w:w w:val="115"/>
          <w:sz w:val="15"/>
        </w:rPr>
        <w:t> </w:t>
      </w:r>
      <w:r>
        <w:rPr>
          <w:rFonts w:ascii="Calibri" w:hAnsi="Calibri"/>
          <w:color w:val="231F20"/>
          <w:w w:val="115"/>
          <w:sz w:val="15"/>
        </w:rPr>
        <w:t>a este</w:t>
      </w:r>
      <w:r>
        <w:rPr>
          <w:rFonts w:ascii="Calibri" w:hAnsi="Calibri"/>
          <w:color w:val="231F20"/>
          <w:spacing w:val="-10"/>
          <w:w w:val="115"/>
          <w:sz w:val="15"/>
        </w:rPr>
        <w:t> </w:t>
      </w:r>
      <w:r>
        <w:rPr>
          <w:rFonts w:ascii="Calibri" w:hAnsi="Calibri"/>
          <w:color w:val="231F20"/>
          <w:w w:val="115"/>
          <w:sz w:val="15"/>
        </w:rPr>
        <w:t>fungicida,</w:t>
      </w:r>
      <w:r>
        <w:rPr>
          <w:rFonts w:ascii="Calibri" w:hAnsi="Calibri"/>
          <w:color w:val="231F20"/>
          <w:spacing w:val="-10"/>
          <w:w w:val="115"/>
          <w:sz w:val="15"/>
        </w:rPr>
        <w:t> </w:t>
      </w:r>
      <w:r>
        <w:rPr>
          <w:rFonts w:ascii="Calibri" w:hAnsi="Calibri"/>
          <w:color w:val="231F20"/>
          <w:w w:val="115"/>
          <w:sz w:val="15"/>
        </w:rPr>
        <w:t>los</w:t>
      </w:r>
      <w:r>
        <w:rPr>
          <w:rFonts w:ascii="Calibri" w:hAnsi="Calibri"/>
          <w:color w:val="231F20"/>
          <w:spacing w:val="-10"/>
          <w:w w:val="115"/>
          <w:sz w:val="15"/>
        </w:rPr>
        <w:t> </w:t>
      </w:r>
      <w:r>
        <w:rPr>
          <w:rFonts w:ascii="Calibri" w:hAnsi="Calibri"/>
          <w:color w:val="231F20"/>
          <w:w w:val="115"/>
          <w:sz w:val="15"/>
        </w:rPr>
        <w:t>resultados</w:t>
      </w:r>
      <w:r>
        <w:rPr>
          <w:rFonts w:ascii="Calibri" w:hAnsi="Calibri"/>
          <w:color w:val="231F20"/>
          <w:spacing w:val="-10"/>
          <w:w w:val="115"/>
          <w:sz w:val="15"/>
        </w:rPr>
        <w:t> </w:t>
      </w:r>
      <w:r>
        <w:rPr>
          <w:rFonts w:ascii="Calibri" w:hAnsi="Calibri"/>
          <w:color w:val="231F20"/>
          <w:w w:val="115"/>
          <w:sz w:val="15"/>
        </w:rPr>
        <w:t>obtenidos</w:t>
      </w:r>
      <w:r>
        <w:rPr>
          <w:rFonts w:ascii="Calibri" w:hAnsi="Calibri"/>
          <w:color w:val="231F20"/>
          <w:spacing w:val="-10"/>
          <w:w w:val="115"/>
          <w:sz w:val="15"/>
        </w:rPr>
        <w:t> </w:t>
      </w:r>
      <w:r>
        <w:rPr>
          <w:rFonts w:ascii="Calibri" w:hAnsi="Calibri"/>
          <w:color w:val="231F20"/>
          <w:w w:val="115"/>
          <w:sz w:val="15"/>
        </w:rPr>
        <w:t>res- pecto al homotalismo sugieren una posible </w:t>
      </w:r>
      <w:r>
        <w:rPr>
          <w:rFonts w:ascii="Calibri" w:hAnsi="Calibri"/>
          <w:color w:val="231F20"/>
          <w:spacing w:val="-3"/>
          <w:w w:val="115"/>
          <w:sz w:val="15"/>
        </w:rPr>
        <w:t>relación</w:t>
      </w:r>
      <w:r>
        <w:rPr>
          <w:rFonts w:ascii="Calibri" w:hAnsi="Calibri"/>
          <w:color w:val="231F20"/>
          <w:spacing w:val="-19"/>
          <w:w w:val="115"/>
          <w:sz w:val="15"/>
        </w:rPr>
        <w:t> </w:t>
      </w:r>
      <w:r>
        <w:rPr>
          <w:rFonts w:ascii="Calibri" w:hAnsi="Calibri"/>
          <w:color w:val="231F20"/>
          <w:w w:val="115"/>
          <w:sz w:val="15"/>
        </w:rPr>
        <w:t>con</w:t>
      </w:r>
      <w:r>
        <w:rPr>
          <w:rFonts w:ascii="Calibri" w:hAnsi="Calibri"/>
          <w:color w:val="231F20"/>
          <w:spacing w:val="-19"/>
          <w:w w:val="115"/>
          <w:sz w:val="15"/>
        </w:rPr>
        <w:t> </w:t>
      </w:r>
      <w:r>
        <w:rPr>
          <w:rFonts w:ascii="Calibri" w:hAnsi="Calibri"/>
          <w:color w:val="231F20"/>
          <w:w w:val="115"/>
          <w:sz w:val="15"/>
        </w:rPr>
        <w:t>el</w:t>
      </w:r>
      <w:r>
        <w:rPr>
          <w:rFonts w:ascii="Calibri" w:hAnsi="Calibri"/>
          <w:color w:val="231F20"/>
          <w:spacing w:val="-19"/>
          <w:w w:val="115"/>
          <w:sz w:val="15"/>
        </w:rPr>
        <w:t> </w:t>
      </w:r>
      <w:r>
        <w:rPr>
          <w:rFonts w:ascii="Calibri" w:hAnsi="Calibri"/>
          <w:color w:val="231F20"/>
          <w:w w:val="115"/>
          <w:sz w:val="15"/>
        </w:rPr>
        <w:t>uso</w:t>
      </w:r>
      <w:r>
        <w:rPr>
          <w:rFonts w:ascii="Calibri" w:hAnsi="Calibri"/>
          <w:color w:val="231F20"/>
          <w:spacing w:val="-19"/>
          <w:w w:val="115"/>
          <w:sz w:val="15"/>
        </w:rPr>
        <w:t> </w:t>
      </w:r>
      <w:r>
        <w:rPr>
          <w:rFonts w:ascii="Calibri" w:hAnsi="Calibri"/>
          <w:color w:val="231F20"/>
          <w:w w:val="115"/>
          <w:sz w:val="15"/>
        </w:rPr>
        <w:t>del</w:t>
      </w:r>
      <w:r>
        <w:rPr>
          <w:rFonts w:ascii="Calibri" w:hAnsi="Calibri"/>
          <w:color w:val="231F20"/>
          <w:spacing w:val="-19"/>
          <w:w w:val="115"/>
          <w:sz w:val="15"/>
        </w:rPr>
        <w:t> </w:t>
      </w:r>
      <w:r>
        <w:rPr>
          <w:rFonts w:ascii="Calibri" w:hAnsi="Calibri"/>
          <w:color w:val="231F20"/>
          <w:spacing w:val="-3"/>
          <w:w w:val="115"/>
          <w:sz w:val="15"/>
        </w:rPr>
        <w:t>metalaxil.</w:t>
      </w:r>
      <w:r>
        <w:rPr>
          <w:rFonts w:ascii="Calibri" w:hAnsi="Calibri"/>
          <w:color w:val="231F20"/>
          <w:spacing w:val="-19"/>
          <w:w w:val="115"/>
          <w:sz w:val="15"/>
        </w:rPr>
        <w:t> </w:t>
      </w:r>
      <w:r>
        <w:rPr>
          <w:rFonts w:ascii="Calibri" w:hAnsi="Calibri"/>
          <w:color w:val="231F20"/>
          <w:spacing w:val="-5"/>
          <w:w w:val="115"/>
          <w:sz w:val="15"/>
        </w:rPr>
        <w:t>Todos</w:t>
      </w:r>
      <w:r>
        <w:rPr>
          <w:rFonts w:ascii="Calibri" w:hAnsi="Calibri"/>
          <w:color w:val="231F20"/>
          <w:spacing w:val="-19"/>
          <w:w w:val="115"/>
          <w:sz w:val="15"/>
        </w:rPr>
        <w:t> </w:t>
      </w:r>
      <w:r>
        <w:rPr>
          <w:rFonts w:ascii="Calibri" w:hAnsi="Calibri"/>
          <w:color w:val="231F20"/>
          <w:w w:val="115"/>
          <w:sz w:val="15"/>
        </w:rPr>
        <w:t>los</w:t>
      </w:r>
      <w:r>
        <w:rPr>
          <w:rFonts w:ascii="Calibri" w:hAnsi="Calibri"/>
          <w:color w:val="231F20"/>
          <w:spacing w:val="-19"/>
          <w:w w:val="115"/>
          <w:sz w:val="15"/>
        </w:rPr>
        <w:t> </w:t>
      </w:r>
      <w:r>
        <w:rPr>
          <w:rFonts w:ascii="Calibri" w:hAnsi="Calibri"/>
          <w:color w:val="231F20"/>
          <w:spacing w:val="-3"/>
          <w:w w:val="115"/>
          <w:sz w:val="15"/>
        </w:rPr>
        <w:t>ais- </w:t>
      </w:r>
      <w:r>
        <w:rPr>
          <w:rFonts w:ascii="Calibri" w:hAnsi="Calibri"/>
          <w:color w:val="231F20"/>
          <w:w w:val="110"/>
          <w:sz w:val="15"/>
        </w:rPr>
        <w:t>lamientos homotálicos mostraron resistencia </w:t>
      </w:r>
      <w:r>
        <w:rPr>
          <w:rFonts w:ascii="Calibri" w:hAnsi="Calibri"/>
          <w:color w:val="231F20"/>
          <w:w w:val="115"/>
          <w:sz w:val="15"/>
        </w:rPr>
        <w:t>al</w:t>
      </w:r>
      <w:r>
        <w:rPr>
          <w:rFonts w:ascii="Calibri" w:hAnsi="Calibri"/>
          <w:color w:val="231F20"/>
          <w:spacing w:val="-9"/>
          <w:w w:val="115"/>
          <w:sz w:val="15"/>
        </w:rPr>
        <w:t> </w:t>
      </w:r>
      <w:r>
        <w:rPr>
          <w:rFonts w:ascii="Calibri" w:hAnsi="Calibri"/>
          <w:color w:val="231F20"/>
          <w:w w:val="115"/>
          <w:sz w:val="15"/>
        </w:rPr>
        <w:t>metalaxil</w:t>
      </w:r>
      <w:r>
        <w:rPr>
          <w:rFonts w:ascii="Calibri" w:hAnsi="Calibri"/>
          <w:color w:val="231F20"/>
          <w:spacing w:val="-9"/>
          <w:w w:val="115"/>
          <w:sz w:val="15"/>
        </w:rPr>
        <w:t> </w:t>
      </w:r>
      <w:r>
        <w:rPr>
          <w:rFonts w:ascii="Calibri" w:hAnsi="Calibri"/>
          <w:color w:val="231F20"/>
          <w:w w:val="115"/>
          <w:sz w:val="15"/>
        </w:rPr>
        <w:t>“</w:t>
      </w:r>
      <w:r>
        <w:rPr>
          <w:rFonts w:ascii="Trebuchet MS" w:hAnsi="Trebuchet MS"/>
          <w:i/>
          <w:color w:val="231F20"/>
          <w:w w:val="115"/>
          <w:sz w:val="15"/>
        </w:rPr>
        <w:t>in</w:t>
      </w:r>
      <w:r>
        <w:rPr>
          <w:rFonts w:ascii="Trebuchet MS" w:hAnsi="Trebuchet MS"/>
          <w:i/>
          <w:color w:val="231F20"/>
          <w:spacing w:val="-22"/>
          <w:w w:val="115"/>
          <w:sz w:val="15"/>
        </w:rPr>
        <w:t> </w:t>
      </w:r>
      <w:r>
        <w:rPr>
          <w:rFonts w:ascii="Trebuchet MS" w:hAnsi="Trebuchet MS"/>
          <w:i/>
          <w:color w:val="231F20"/>
          <w:w w:val="115"/>
          <w:sz w:val="15"/>
        </w:rPr>
        <w:t>vitro</w:t>
      </w:r>
      <w:r>
        <w:rPr>
          <w:rFonts w:ascii="Calibri" w:hAnsi="Calibri"/>
          <w:color w:val="231F20"/>
          <w:w w:val="115"/>
          <w:sz w:val="15"/>
        </w:rPr>
        <w:t>”</w:t>
      </w:r>
      <w:r>
        <w:rPr>
          <w:rFonts w:ascii="Calibri" w:hAnsi="Calibri"/>
          <w:color w:val="231F20"/>
          <w:spacing w:val="-9"/>
          <w:w w:val="115"/>
          <w:sz w:val="15"/>
        </w:rPr>
        <w:t> </w:t>
      </w:r>
      <w:r>
        <w:rPr>
          <w:rFonts w:ascii="Calibri" w:hAnsi="Calibri"/>
          <w:color w:val="231F20"/>
          <w:spacing w:val="-3"/>
          <w:w w:val="115"/>
          <w:sz w:val="15"/>
        </w:rPr>
        <w:t>(Tabla</w:t>
      </w:r>
      <w:r>
        <w:rPr>
          <w:rFonts w:ascii="Calibri" w:hAnsi="Calibri"/>
          <w:color w:val="231F20"/>
          <w:spacing w:val="-9"/>
          <w:w w:val="115"/>
          <w:sz w:val="15"/>
        </w:rPr>
        <w:t> </w:t>
      </w:r>
      <w:r>
        <w:rPr>
          <w:rFonts w:ascii="Calibri" w:hAnsi="Calibri"/>
          <w:color w:val="231F20"/>
          <w:w w:val="115"/>
          <w:sz w:val="15"/>
        </w:rPr>
        <w:t>2).</w:t>
      </w:r>
      <w:r>
        <w:rPr>
          <w:rFonts w:ascii="Calibri" w:hAnsi="Calibri"/>
          <w:color w:val="231F20"/>
          <w:spacing w:val="-9"/>
          <w:w w:val="115"/>
          <w:sz w:val="15"/>
        </w:rPr>
        <w:t> </w:t>
      </w:r>
      <w:r>
        <w:rPr>
          <w:rFonts w:ascii="Calibri" w:hAnsi="Calibri"/>
          <w:color w:val="231F20"/>
          <w:w w:val="115"/>
          <w:sz w:val="15"/>
        </w:rPr>
        <w:t>Una</w:t>
      </w:r>
      <w:r>
        <w:rPr>
          <w:rFonts w:ascii="Calibri" w:hAnsi="Calibri"/>
          <w:color w:val="231F20"/>
          <w:spacing w:val="-9"/>
          <w:w w:val="115"/>
          <w:sz w:val="15"/>
        </w:rPr>
        <w:t> </w:t>
      </w:r>
      <w:r>
        <w:rPr>
          <w:rFonts w:ascii="Calibri" w:hAnsi="Calibri"/>
          <w:color w:val="231F20"/>
          <w:w w:val="115"/>
          <w:sz w:val="15"/>
        </w:rPr>
        <w:t>posible </w:t>
      </w:r>
      <w:r>
        <w:rPr>
          <w:rFonts w:ascii="Calibri" w:hAnsi="Calibri"/>
          <w:color w:val="231F20"/>
          <w:spacing w:val="-3"/>
          <w:w w:val="115"/>
          <w:sz w:val="15"/>
        </w:rPr>
        <w:t>interpretación</w:t>
      </w:r>
      <w:r>
        <w:rPr>
          <w:rFonts w:ascii="Calibri" w:hAnsi="Calibri"/>
          <w:color w:val="231F20"/>
          <w:spacing w:val="-18"/>
          <w:w w:val="115"/>
          <w:sz w:val="15"/>
        </w:rPr>
        <w:t> </w:t>
      </w:r>
      <w:r>
        <w:rPr>
          <w:rFonts w:ascii="Calibri" w:hAnsi="Calibri"/>
          <w:color w:val="231F20"/>
          <w:w w:val="115"/>
          <w:sz w:val="15"/>
        </w:rPr>
        <w:t>es</w:t>
      </w:r>
      <w:r>
        <w:rPr>
          <w:rFonts w:ascii="Calibri" w:hAnsi="Calibri"/>
          <w:color w:val="231F20"/>
          <w:spacing w:val="-18"/>
          <w:w w:val="115"/>
          <w:sz w:val="15"/>
        </w:rPr>
        <w:t> </w:t>
      </w:r>
      <w:r>
        <w:rPr>
          <w:rFonts w:ascii="Calibri" w:hAnsi="Calibri"/>
          <w:color w:val="231F20"/>
          <w:w w:val="115"/>
          <w:sz w:val="15"/>
        </w:rPr>
        <w:t>que</w:t>
      </w:r>
      <w:r>
        <w:rPr>
          <w:rFonts w:ascii="Calibri" w:hAnsi="Calibri"/>
          <w:color w:val="231F20"/>
          <w:spacing w:val="-18"/>
          <w:w w:val="115"/>
          <w:sz w:val="15"/>
        </w:rPr>
        <w:t> </w:t>
      </w:r>
      <w:r>
        <w:rPr>
          <w:rFonts w:ascii="Calibri" w:hAnsi="Calibri"/>
          <w:color w:val="231F20"/>
          <w:w w:val="115"/>
          <w:sz w:val="15"/>
        </w:rPr>
        <w:t>el</w:t>
      </w:r>
      <w:r>
        <w:rPr>
          <w:rFonts w:ascii="Calibri" w:hAnsi="Calibri"/>
          <w:color w:val="231F20"/>
          <w:spacing w:val="-18"/>
          <w:w w:val="115"/>
          <w:sz w:val="15"/>
        </w:rPr>
        <w:t> </w:t>
      </w:r>
      <w:r>
        <w:rPr>
          <w:rFonts w:ascii="Calibri" w:hAnsi="Calibri"/>
          <w:color w:val="231F20"/>
          <w:spacing w:val="-3"/>
          <w:w w:val="115"/>
          <w:sz w:val="15"/>
        </w:rPr>
        <w:t>metalaxil</w:t>
      </w:r>
      <w:r>
        <w:rPr>
          <w:rFonts w:ascii="Calibri" w:hAnsi="Calibri"/>
          <w:color w:val="231F20"/>
          <w:spacing w:val="-18"/>
          <w:w w:val="115"/>
          <w:sz w:val="15"/>
        </w:rPr>
        <w:t> </w:t>
      </w:r>
      <w:r>
        <w:rPr>
          <w:rFonts w:ascii="Calibri" w:hAnsi="Calibri"/>
          <w:color w:val="231F20"/>
          <w:spacing w:val="-3"/>
          <w:w w:val="115"/>
          <w:sz w:val="15"/>
        </w:rPr>
        <w:t>puede</w:t>
      </w:r>
      <w:r>
        <w:rPr>
          <w:rFonts w:ascii="Calibri" w:hAnsi="Calibri"/>
          <w:color w:val="231F20"/>
          <w:spacing w:val="-18"/>
          <w:w w:val="115"/>
          <w:sz w:val="15"/>
        </w:rPr>
        <w:t> </w:t>
      </w:r>
      <w:r>
        <w:rPr>
          <w:rFonts w:ascii="Calibri" w:hAnsi="Calibri"/>
          <w:color w:val="231F20"/>
          <w:spacing w:val="-3"/>
          <w:w w:val="115"/>
          <w:sz w:val="15"/>
        </w:rPr>
        <w:t>estar </w:t>
      </w:r>
      <w:r>
        <w:rPr>
          <w:rFonts w:ascii="Calibri" w:hAnsi="Calibri"/>
          <w:color w:val="231F20"/>
          <w:w w:val="115"/>
          <w:sz w:val="15"/>
        </w:rPr>
        <w:t>influenciando en el homotalismo, pero tal vez</w:t>
      </w:r>
      <w:r>
        <w:rPr>
          <w:rFonts w:ascii="Calibri" w:hAnsi="Calibri"/>
          <w:color w:val="231F20"/>
          <w:spacing w:val="-8"/>
          <w:w w:val="115"/>
          <w:sz w:val="15"/>
        </w:rPr>
        <w:t> </w:t>
      </w:r>
      <w:r>
        <w:rPr>
          <w:rFonts w:ascii="Calibri" w:hAnsi="Calibri"/>
          <w:color w:val="231F20"/>
          <w:w w:val="115"/>
          <w:sz w:val="15"/>
        </w:rPr>
        <w:t>no</w:t>
      </w:r>
      <w:r>
        <w:rPr>
          <w:rFonts w:ascii="Calibri" w:hAnsi="Calibri"/>
          <w:color w:val="231F20"/>
          <w:spacing w:val="-8"/>
          <w:w w:val="115"/>
          <w:sz w:val="15"/>
        </w:rPr>
        <w:t> </w:t>
      </w:r>
      <w:r>
        <w:rPr>
          <w:rFonts w:ascii="Calibri" w:hAnsi="Calibri"/>
          <w:color w:val="231F20"/>
          <w:w w:val="115"/>
          <w:sz w:val="15"/>
        </w:rPr>
        <w:t>sea</w:t>
      </w:r>
      <w:r>
        <w:rPr>
          <w:rFonts w:ascii="Calibri" w:hAnsi="Calibri"/>
          <w:color w:val="231F20"/>
          <w:spacing w:val="-8"/>
          <w:w w:val="115"/>
          <w:sz w:val="15"/>
        </w:rPr>
        <w:t> </w:t>
      </w:r>
      <w:r>
        <w:rPr>
          <w:rFonts w:ascii="Calibri" w:hAnsi="Calibri"/>
          <w:color w:val="231F20"/>
          <w:w w:val="115"/>
          <w:sz w:val="15"/>
        </w:rPr>
        <w:t>el</w:t>
      </w:r>
      <w:r>
        <w:rPr>
          <w:rFonts w:ascii="Calibri" w:hAnsi="Calibri"/>
          <w:color w:val="231F20"/>
          <w:spacing w:val="-8"/>
          <w:w w:val="115"/>
          <w:sz w:val="15"/>
        </w:rPr>
        <w:t> </w:t>
      </w:r>
      <w:r>
        <w:rPr>
          <w:rFonts w:ascii="Calibri" w:hAnsi="Calibri"/>
          <w:color w:val="231F20"/>
          <w:w w:val="115"/>
          <w:sz w:val="15"/>
        </w:rPr>
        <w:t>único</w:t>
      </w:r>
      <w:r>
        <w:rPr>
          <w:rFonts w:ascii="Calibri" w:hAnsi="Calibri"/>
          <w:color w:val="231F20"/>
          <w:spacing w:val="-8"/>
          <w:w w:val="115"/>
          <w:sz w:val="15"/>
        </w:rPr>
        <w:t> </w:t>
      </w:r>
      <w:r>
        <w:rPr>
          <w:rFonts w:ascii="Calibri" w:hAnsi="Calibri"/>
          <w:color w:val="231F20"/>
          <w:spacing w:val="-3"/>
          <w:w w:val="115"/>
          <w:sz w:val="15"/>
        </w:rPr>
        <w:t>factor.</w:t>
      </w:r>
    </w:p>
    <w:p>
      <w:pPr>
        <w:pStyle w:val="BodyText"/>
        <w:rPr>
          <w:rFonts w:ascii="Calibri"/>
          <w:sz w:val="14"/>
        </w:rPr>
      </w:pPr>
    </w:p>
    <w:p>
      <w:pPr>
        <w:pStyle w:val="BodyText"/>
        <w:rPr>
          <w:rFonts w:ascii="Calibri"/>
          <w:sz w:val="14"/>
        </w:rPr>
      </w:pPr>
    </w:p>
    <w:p>
      <w:pPr>
        <w:pStyle w:val="BodyText"/>
        <w:spacing w:before="6"/>
        <w:rPr>
          <w:rFonts w:ascii="Calibri"/>
          <w:sz w:val="10"/>
        </w:rPr>
      </w:pPr>
    </w:p>
    <w:p>
      <w:pPr>
        <w:spacing w:before="0"/>
        <w:ind w:left="1503" w:right="0" w:firstLine="0"/>
        <w:jc w:val="both"/>
        <w:rPr>
          <w:rFonts w:ascii="Trebuchet MS"/>
          <w:b/>
          <w:sz w:val="15"/>
        </w:rPr>
      </w:pPr>
      <w:r>
        <w:rPr>
          <w:rFonts w:ascii="Trebuchet MS"/>
          <w:b/>
          <w:color w:val="231F20"/>
          <w:sz w:val="15"/>
        </w:rPr>
        <w:t>Agradecimientos</w:t>
      </w:r>
    </w:p>
    <w:p>
      <w:pPr>
        <w:pStyle w:val="BodyText"/>
        <w:spacing w:before="2"/>
        <w:rPr>
          <w:rFonts w:ascii="Trebuchet MS"/>
          <w:b/>
          <w:sz w:val="15"/>
        </w:rPr>
      </w:pPr>
    </w:p>
    <w:p>
      <w:pPr>
        <w:spacing w:line="176" w:lineRule="exact" w:before="1"/>
        <w:ind w:left="1503" w:right="0" w:firstLine="0"/>
        <w:jc w:val="both"/>
        <w:rPr>
          <w:rFonts w:ascii="Calibri" w:hAnsi="Calibri"/>
          <w:sz w:val="15"/>
        </w:rPr>
      </w:pPr>
      <w:r>
        <w:rPr>
          <w:rFonts w:ascii="Calibri" w:hAnsi="Calibri"/>
          <w:color w:val="231F20"/>
          <w:w w:val="115"/>
          <w:sz w:val="15"/>
        </w:rPr>
        <w:t>Los</w:t>
      </w:r>
      <w:r>
        <w:rPr>
          <w:rFonts w:ascii="Calibri" w:hAnsi="Calibri"/>
          <w:color w:val="231F20"/>
          <w:spacing w:val="-15"/>
          <w:w w:val="115"/>
          <w:sz w:val="15"/>
        </w:rPr>
        <w:t> </w:t>
      </w:r>
      <w:r>
        <w:rPr>
          <w:rFonts w:ascii="Calibri" w:hAnsi="Calibri"/>
          <w:color w:val="231F20"/>
          <w:spacing w:val="-3"/>
          <w:w w:val="115"/>
          <w:sz w:val="15"/>
        </w:rPr>
        <w:t>autores</w:t>
      </w:r>
      <w:r>
        <w:rPr>
          <w:rFonts w:ascii="Calibri" w:hAnsi="Calibri"/>
          <w:color w:val="231F20"/>
          <w:spacing w:val="-15"/>
          <w:w w:val="115"/>
          <w:sz w:val="15"/>
        </w:rPr>
        <w:t> </w:t>
      </w:r>
      <w:r>
        <w:rPr>
          <w:rFonts w:ascii="Calibri" w:hAnsi="Calibri"/>
          <w:color w:val="231F20"/>
          <w:spacing w:val="-3"/>
          <w:w w:val="115"/>
          <w:sz w:val="15"/>
        </w:rPr>
        <w:t>agradecemos</w:t>
      </w:r>
      <w:r>
        <w:rPr>
          <w:rFonts w:ascii="Calibri" w:hAnsi="Calibri"/>
          <w:color w:val="231F20"/>
          <w:spacing w:val="-15"/>
          <w:w w:val="115"/>
          <w:sz w:val="15"/>
        </w:rPr>
        <w:t> </w:t>
      </w:r>
      <w:r>
        <w:rPr>
          <w:rFonts w:ascii="Calibri" w:hAnsi="Calibri"/>
          <w:color w:val="231F20"/>
          <w:w w:val="115"/>
          <w:sz w:val="15"/>
        </w:rPr>
        <w:t>al</w:t>
      </w:r>
      <w:r>
        <w:rPr>
          <w:rFonts w:ascii="Calibri" w:hAnsi="Calibri"/>
          <w:color w:val="231F20"/>
          <w:spacing w:val="-15"/>
          <w:w w:val="115"/>
          <w:sz w:val="15"/>
        </w:rPr>
        <w:t> </w:t>
      </w:r>
      <w:r>
        <w:rPr>
          <w:rFonts w:ascii="Calibri" w:hAnsi="Calibri"/>
          <w:color w:val="231F20"/>
          <w:spacing w:val="-3"/>
          <w:w w:val="115"/>
          <w:sz w:val="15"/>
        </w:rPr>
        <w:t>Consejo</w:t>
      </w:r>
      <w:r>
        <w:rPr>
          <w:rFonts w:ascii="Calibri" w:hAnsi="Calibri"/>
          <w:color w:val="231F20"/>
          <w:spacing w:val="-15"/>
          <w:w w:val="115"/>
          <w:sz w:val="15"/>
        </w:rPr>
        <w:t> </w:t>
      </w:r>
      <w:r>
        <w:rPr>
          <w:rFonts w:ascii="Calibri" w:hAnsi="Calibri"/>
          <w:color w:val="231F20"/>
          <w:spacing w:val="-3"/>
          <w:w w:val="115"/>
          <w:sz w:val="15"/>
        </w:rPr>
        <w:t>Nacional </w:t>
      </w:r>
      <w:r>
        <w:rPr>
          <w:rFonts w:ascii="Calibri" w:hAnsi="Calibri"/>
          <w:color w:val="231F20"/>
          <w:w w:val="115"/>
          <w:sz w:val="15"/>
        </w:rPr>
        <w:t>de</w:t>
      </w:r>
      <w:r>
        <w:rPr>
          <w:rFonts w:ascii="Calibri" w:hAnsi="Calibri"/>
          <w:color w:val="231F20"/>
          <w:spacing w:val="-16"/>
          <w:w w:val="115"/>
          <w:sz w:val="15"/>
        </w:rPr>
        <w:t> </w:t>
      </w:r>
      <w:r>
        <w:rPr>
          <w:rFonts w:ascii="Calibri" w:hAnsi="Calibri"/>
          <w:color w:val="231F20"/>
          <w:spacing w:val="-4"/>
          <w:w w:val="115"/>
          <w:sz w:val="15"/>
        </w:rPr>
        <w:t>Ciencia</w:t>
      </w:r>
      <w:r>
        <w:rPr>
          <w:rFonts w:ascii="Calibri" w:hAnsi="Calibri"/>
          <w:color w:val="231F20"/>
          <w:spacing w:val="-16"/>
          <w:w w:val="115"/>
          <w:sz w:val="15"/>
        </w:rPr>
        <w:t> </w:t>
      </w:r>
      <w:r>
        <w:rPr>
          <w:rFonts w:ascii="Calibri" w:hAnsi="Calibri"/>
          <w:color w:val="231F20"/>
          <w:w w:val="115"/>
          <w:sz w:val="15"/>
        </w:rPr>
        <w:t>y</w:t>
      </w:r>
      <w:r>
        <w:rPr>
          <w:rFonts w:ascii="Calibri" w:hAnsi="Calibri"/>
          <w:color w:val="231F20"/>
          <w:spacing w:val="-16"/>
          <w:w w:val="115"/>
          <w:sz w:val="15"/>
        </w:rPr>
        <w:t> </w:t>
      </w:r>
      <w:r>
        <w:rPr>
          <w:rFonts w:ascii="Calibri" w:hAnsi="Calibri"/>
          <w:color w:val="231F20"/>
          <w:spacing w:val="-5"/>
          <w:w w:val="115"/>
          <w:sz w:val="15"/>
        </w:rPr>
        <w:t>Tecnología</w:t>
      </w:r>
      <w:r>
        <w:rPr>
          <w:rFonts w:ascii="Calibri" w:hAnsi="Calibri"/>
          <w:color w:val="231F20"/>
          <w:spacing w:val="-16"/>
          <w:w w:val="115"/>
          <w:sz w:val="15"/>
        </w:rPr>
        <w:t> </w:t>
      </w:r>
      <w:r>
        <w:rPr>
          <w:rFonts w:ascii="Calibri" w:hAnsi="Calibri"/>
          <w:color w:val="231F20"/>
          <w:spacing w:val="-4"/>
          <w:w w:val="115"/>
          <w:sz w:val="15"/>
        </w:rPr>
        <w:t>(CONACyT)</w:t>
      </w:r>
      <w:r>
        <w:rPr>
          <w:rFonts w:ascii="Calibri" w:hAnsi="Calibri"/>
          <w:color w:val="231F20"/>
          <w:spacing w:val="-16"/>
          <w:w w:val="115"/>
          <w:sz w:val="15"/>
        </w:rPr>
        <w:t> </w:t>
      </w:r>
      <w:r>
        <w:rPr>
          <w:rFonts w:ascii="Calibri" w:hAnsi="Calibri"/>
          <w:color w:val="231F20"/>
          <w:spacing w:val="-3"/>
          <w:w w:val="115"/>
          <w:sz w:val="15"/>
        </w:rPr>
        <w:t>por</w:t>
      </w:r>
      <w:r>
        <w:rPr>
          <w:rFonts w:ascii="Calibri" w:hAnsi="Calibri"/>
          <w:color w:val="231F20"/>
          <w:spacing w:val="-16"/>
          <w:w w:val="115"/>
          <w:sz w:val="15"/>
        </w:rPr>
        <w:t> </w:t>
      </w:r>
      <w:r>
        <w:rPr>
          <w:rFonts w:ascii="Calibri" w:hAnsi="Calibri"/>
          <w:color w:val="231F20"/>
          <w:w w:val="115"/>
          <w:sz w:val="15"/>
        </w:rPr>
        <w:t>la</w:t>
      </w:r>
      <w:r>
        <w:rPr>
          <w:rFonts w:ascii="Calibri" w:hAnsi="Calibri"/>
          <w:color w:val="231F20"/>
          <w:spacing w:val="-16"/>
          <w:w w:val="115"/>
          <w:sz w:val="15"/>
        </w:rPr>
        <w:t> </w:t>
      </w:r>
      <w:r>
        <w:rPr>
          <w:rFonts w:ascii="Calibri" w:hAnsi="Calibri"/>
          <w:color w:val="231F20"/>
          <w:spacing w:val="-4"/>
          <w:w w:val="115"/>
          <w:sz w:val="15"/>
        </w:rPr>
        <w:t>beca </w:t>
      </w:r>
      <w:r>
        <w:rPr>
          <w:rFonts w:ascii="Calibri" w:hAnsi="Calibri"/>
          <w:color w:val="231F20"/>
          <w:spacing w:val="-3"/>
          <w:w w:val="115"/>
          <w:sz w:val="15"/>
        </w:rPr>
        <w:t>de</w:t>
      </w:r>
      <w:r>
        <w:rPr>
          <w:rFonts w:ascii="Calibri" w:hAnsi="Calibri"/>
          <w:color w:val="231F20"/>
          <w:spacing w:val="-12"/>
          <w:w w:val="115"/>
          <w:sz w:val="15"/>
        </w:rPr>
        <w:t> </w:t>
      </w:r>
      <w:r>
        <w:rPr>
          <w:rFonts w:ascii="Calibri" w:hAnsi="Calibri"/>
          <w:color w:val="231F20"/>
          <w:spacing w:val="-5"/>
          <w:w w:val="115"/>
          <w:sz w:val="15"/>
        </w:rPr>
        <w:t>manutención</w:t>
      </w:r>
      <w:r>
        <w:rPr>
          <w:rFonts w:ascii="Calibri" w:hAnsi="Calibri"/>
          <w:color w:val="231F20"/>
          <w:spacing w:val="-12"/>
          <w:w w:val="115"/>
          <w:sz w:val="15"/>
        </w:rPr>
        <w:t> </w:t>
      </w:r>
      <w:r>
        <w:rPr>
          <w:rFonts w:ascii="Calibri" w:hAnsi="Calibri"/>
          <w:color w:val="231F20"/>
          <w:spacing w:val="-5"/>
          <w:w w:val="115"/>
          <w:sz w:val="15"/>
        </w:rPr>
        <w:t>otorgada</w:t>
      </w:r>
      <w:r>
        <w:rPr>
          <w:rFonts w:ascii="Calibri" w:hAnsi="Calibri"/>
          <w:color w:val="231F20"/>
          <w:spacing w:val="-12"/>
          <w:w w:val="115"/>
          <w:sz w:val="15"/>
        </w:rPr>
        <w:t> </w:t>
      </w:r>
      <w:r>
        <w:rPr>
          <w:rFonts w:ascii="Calibri" w:hAnsi="Calibri"/>
          <w:color w:val="231F20"/>
          <w:w w:val="115"/>
          <w:sz w:val="15"/>
        </w:rPr>
        <w:t>a</w:t>
      </w:r>
      <w:r>
        <w:rPr>
          <w:rFonts w:ascii="Calibri" w:hAnsi="Calibri"/>
          <w:color w:val="231F20"/>
          <w:spacing w:val="-12"/>
          <w:w w:val="115"/>
          <w:sz w:val="15"/>
        </w:rPr>
        <w:t> </w:t>
      </w:r>
      <w:r>
        <w:rPr>
          <w:rFonts w:ascii="Calibri" w:hAnsi="Calibri"/>
          <w:color w:val="231F20"/>
          <w:spacing w:val="-4"/>
          <w:w w:val="115"/>
          <w:sz w:val="15"/>
        </w:rPr>
        <w:t>López</w:t>
      </w:r>
      <w:r>
        <w:rPr>
          <w:rFonts w:ascii="Calibri" w:hAnsi="Calibri"/>
          <w:color w:val="231F20"/>
          <w:spacing w:val="-12"/>
          <w:w w:val="115"/>
          <w:sz w:val="15"/>
        </w:rPr>
        <w:t> </w:t>
      </w:r>
      <w:r>
        <w:rPr>
          <w:rFonts w:ascii="Calibri" w:hAnsi="Calibri"/>
          <w:color w:val="231F20"/>
          <w:spacing w:val="-4"/>
          <w:w w:val="115"/>
          <w:sz w:val="15"/>
        </w:rPr>
        <w:t>Orona</w:t>
      </w:r>
      <w:r>
        <w:rPr>
          <w:rFonts w:ascii="Calibri" w:hAnsi="Calibri"/>
          <w:color w:val="231F20"/>
          <w:spacing w:val="-10"/>
          <w:w w:val="115"/>
          <w:sz w:val="15"/>
        </w:rPr>
        <w:t> </w:t>
      </w:r>
      <w:r>
        <w:rPr>
          <w:rFonts w:ascii="Calibri" w:hAnsi="Calibri"/>
          <w:color w:val="231F20"/>
          <w:w w:val="115"/>
          <w:sz w:val="15"/>
        </w:rPr>
        <w:t>para la</w:t>
      </w:r>
      <w:r>
        <w:rPr>
          <w:rFonts w:ascii="Calibri" w:hAnsi="Calibri"/>
          <w:color w:val="231F20"/>
          <w:spacing w:val="-6"/>
          <w:w w:val="115"/>
          <w:sz w:val="15"/>
        </w:rPr>
        <w:t> </w:t>
      </w:r>
      <w:r>
        <w:rPr>
          <w:rFonts w:ascii="Calibri" w:hAnsi="Calibri"/>
          <w:color w:val="231F20"/>
          <w:w w:val="115"/>
          <w:sz w:val="15"/>
        </w:rPr>
        <w:t>realización</w:t>
      </w:r>
      <w:r>
        <w:rPr>
          <w:rFonts w:ascii="Calibri" w:hAnsi="Calibri"/>
          <w:color w:val="231F20"/>
          <w:spacing w:val="-6"/>
          <w:w w:val="115"/>
          <w:sz w:val="15"/>
        </w:rPr>
        <w:t> </w:t>
      </w:r>
      <w:r>
        <w:rPr>
          <w:rFonts w:ascii="Calibri" w:hAnsi="Calibri"/>
          <w:color w:val="231F20"/>
          <w:w w:val="115"/>
          <w:sz w:val="15"/>
        </w:rPr>
        <w:t>de</w:t>
      </w:r>
      <w:r>
        <w:rPr>
          <w:rFonts w:ascii="Calibri" w:hAnsi="Calibri"/>
          <w:color w:val="231F20"/>
          <w:spacing w:val="-6"/>
          <w:w w:val="115"/>
          <w:sz w:val="15"/>
        </w:rPr>
        <w:t> </w:t>
      </w:r>
      <w:r>
        <w:rPr>
          <w:rFonts w:ascii="Calibri" w:hAnsi="Calibri"/>
          <w:color w:val="231F20"/>
          <w:w w:val="115"/>
          <w:sz w:val="15"/>
        </w:rPr>
        <w:t>sus</w:t>
      </w:r>
      <w:r>
        <w:rPr>
          <w:rFonts w:ascii="Calibri" w:hAnsi="Calibri"/>
          <w:color w:val="231F20"/>
          <w:spacing w:val="-6"/>
          <w:w w:val="115"/>
          <w:sz w:val="15"/>
        </w:rPr>
        <w:t> </w:t>
      </w:r>
      <w:r>
        <w:rPr>
          <w:rFonts w:ascii="Calibri" w:hAnsi="Calibri"/>
          <w:color w:val="231F20"/>
          <w:w w:val="115"/>
          <w:sz w:val="15"/>
        </w:rPr>
        <w:t>estudios</w:t>
      </w:r>
      <w:r>
        <w:rPr>
          <w:rFonts w:ascii="Calibri" w:hAnsi="Calibri"/>
          <w:color w:val="231F20"/>
          <w:spacing w:val="-6"/>
          <w:w w:val="115"/>
          <w:sz w:val="15"/>
        </w:rPr>
        <w:t> </w:t>
      </w:r>
      <w:r>
        <w:rPr>
          <w:rFonts w:ascii="Calibri" w:hAnsi="Calibri"/>
          <w:color w:val="231F20"/>
          <w:w w:val="115"/>
          <w:sz w:val="15"/>
        </w:rPr>
        <w:t>de</w:t>
      </w:r>
      <w:r>
        <w:rPr>
          <w:rFonts w:ascii="Calibri" w:hAnsi="Calibri"/>
          <w:color w:val="231F20"/>
          <w:spacing w:val="-6"/>
          <w:w w:val="115"/>
          <w:sz w:val="15"/>
        </w:rPr>
        <w:t> </w:t>
      </w:r>
      <w:r>
        <w:rPr>
          <w:rFonts w:ascii="Calibri" w:hAnsi="Calibri"/>
          <w:color w:val="231F20"/>
          <w:w w:val="115"/>
          <w:sz w:val="15"/>
        </w:rPr>
        <w:t>Doctorado, y a la Universidad Autónoma del Estado de México por la financiación de este</w:t>
      </w:r>
      <w:r>
        <w:rPr>
          <w:rFonts w:ascii="Calibri" w:hAnsi="Calibri"/>
          <w:color w:val="231F20"/>
          <w:spacing w:val="-28"/>
          <w:w w:val="115"/>
          <w:sz w:val="15"/>
        </w:rPr>
        <w:t> </w:t>
      </w:r>
      <w:r>
        <w:rPr>
          <w:rFonts w:ascii="Calibri" w:hAnsi="Calibri"/>
          <w:color w:val="231F20"/>
          <w:w w:val="115"/>
          <w:sz w:val="15"/>
        </w:rPr>
        <w:t>proyecto de</w:t>
      </w:r>
      <w:r>
        <w:rPr>
          <w:rFonts w:ascii="Calibri" w:hAnsi="Calibri"/>
          <w:color w:val="231F20"/>
          <w:spacing w:val="-6"/>
          <w:w w:val="115"/>
          <w:sz w:val="15"/>
        </w:rPr>
        <w:t> </w:t>
      </w:r>
      <w:r>
        <w:rPr>
          <w:rFonts w:ascii="Calibri" w:hAnsi="Calibri"/>
          <w:color w:val="231F20"/>
          <w:w w:val="115"/>
          <w:sz w:val="15"/>
        </w:rPr>
        <w:t>investigación.</w:t>
      </w:r>
      <w:r>
        <w:rPr>
          <w:rFonts w:ascii="Calibri" w:hAnsi="Calibri"/>
          <w:color w:val="231F20"/>
          <w:spacing w:val="-6"/>
          <w:w w:val="115"/>
          <w:sz w:val="15"/>
        </w:rPr>
        <w:t> </w:t>
      </w:r>
      <w:r>
        <w:rPr>
          <w:rFonts w:ascii="Calibri" w:hAnsi="Calibri"/>
          <w:color w:val="231F20"/>
          <w:w w:val="115"/>
          <w:sz w:val="15"/>
        </w:rPr>
        <w:t>López</w:t>
      </w:r>
      <w:r>
        <w:rPr>
          <w:rFonts w:ascii="Calibri" w:hAnsi="Calibri"/>
          <w:color w:val="231F20"/>
          <w:spacing w:val="-6"/>
          <w:w w:val="115"/>
          <w:sz w:val="15"/>
        </w:rPr>
        <w:t> </w:t>
      </w:r>
      <w:r>
        <w:rPr>
          <w:rFonts w:ascii="Calibri" w:hAnsi="Calibri"/>
          <w:color w:val="231F20"/>
          <w:w w:val="115"/>
          <w:sz w:val="15"/>
        </w:rPr>
        <w:t>Orona</w:t>
      </w:r>
      <w:r>
        <w:rPr>
          <w:rFonts w:ascii="Calibri" w:hAnsi="Calibri"/>
          <w:color w:val="231F20"/>
          <w:spacing w:val="-6"/>
          <w:w w:val="115"/>
          <w:sz w:val="15"/>
        </w:rPr>
        <w:t> </w:t>
      </w:r>
      <w:r>
        <w:rPr>
          <w:rFonts w:ascii="Calibri" w:hAnsi="Calibri"/>
          <w:color w:val="231F20"/>
          <w:w w:val="115"/>
          <w:sz w:val="15"/>
        </w:rPr>
        <w:t>agradece</w:t>
      </w:r>
      <w:r>
        <w:rPr>
          <w:rFonts w:ascii="Calibri" w:hAnsi="Calibri"/>
          <w:color w:val="231F20"/>
          <w:spacing w:val="-6"/>
          <w:w w:val="115"/>
          <w:sz w:val="15"/>
        </w:rPr>
        <w:t> </w:t>
      </w:r>
      <w:r>
        <w:rPr>
          <w:rFonts w:ascii="Calibri" w:hAnsi="Calibri"/>
          <w:color w:val="231F20"/>
          <w:w w:val="115"/>
          <w:sz w:val="15"/>
        </w:rPr>
        <w:t>a</w:t>
      </w:r>
      <w:r>
        <w:rPr>
          <w:rFonts w:ascii="Calibri" w:hAnsi="Calibri"/>
          <w:color w:val="231F20"/>
          <w:spacing w:val="-6"/>
          <w:w w:val="115"/>
          <w:sz w:val="15"/>
        </w:rPr>
        <w:t> </w:t>
      </w:r>
      <w:r>
        <w:rPr>
          <w:rFonts w:ascii="Calibri" w:hAnsi="Calibri"/>
          <w:color w:val="231F20"/>
          <w:w w:val="115"/>
          <w:sz w:val="15"/>
        </w:rPr>
        <w:t>la Universidad Autónoma de Sinaloa el apoyo otorgado por parte del Programa de</w:t>
      </w:r>
      <w:r>
        <w:rPr>
          <w:rFonts w:ascii="Calibri" w:hAnsi="Calibri"/>
          <w:color w:val="231F20"/>
          <w:spacing w:val="-19"/>
          <w:w w:val="115"/>
          <w:sz w:val="15"/>
        </w:rPr>
        <w:t> </w:t>
      </w:r>
      <w:r>
        <w:rPr>
          <w:rFonts w:ascii="Calibri" w:hAnsi="Calibri"/>
          <w:color w:val="231F20"/>
          <w:w w:val="115"/>
          <w:sz w:val="15"/>
        </w:rPr>
        <w:t>Docto- </w:t>
      </w:r>
      <w:r>
        <w:rPr>
          <w:rFonts w:ascii="Calibri" w:hAnsi="Calibri"/>
          <w:color w:val="231F20"/>
          <w:w w:val="110"/>
          <w:sz w:val="15"/>
        </w:rPr>
        <w:t>res</w:t>
      </w:r>
      <w:r>
        <w:rPr>
          <w:rFonts w:ascii="Calibri" w:hAnsi="Calibri"/>
          <w:color w:val="231F20"/>
          <w:spacing w:val="3"/>
          <w:w w:val="110"/>
          <w:sz w:val="15"/>
        </w:rPr>
        <w:t> </w:t>
      </w:r>
      <w:r>
        <w:rPr>
          <w:rFonts w:ascii="Calibri" w:hAnsi="Calibri"/>
          <w:color w:val="231F20"/>
          <w:w w:val="110"/>
          <w:sz w:val="15"/>
        </w:rPr>
        <w:t>Jóvenes.</w:t>
      </w:r>
    </w:p>
    <w:p>
      <w:pPr>
        <w:pStyle w:val="BodyText"/>
        <w:rPr>
          <w:rFonts w:ascii="Calibri"/>
          <w:sz w:val="14"/>
        </w:rPr>
      </w:pPr>
      <w:r>
        <w:rPr/>
        <w:br w:type="column"/>
      </w:r>
      <w:r>
        <w:rPr>
          <w:rFonts w:ascii="Calibri"/>
          <w:sz w:val="14"/>
        </w:rPr>
      </w:r>
    </w:p>
    <w:p>
      <w:pPr>
        <w:pStyle w:val="BodyText"/>
        <w:rPr>
          <w:rFonts w:ascii="Calibri"/>
          <w:sz w:val="14"/>
        </w:rPr>
      </w:pPr>
    </w:p>
    <w:p>
      <w:pPr>
        <w:pStyle w:val="BodyText"/>
        <w:rPr>
          <w:rFonts w:ascii="Calibri"/>
          <w:sz w:val="14"/>
        </w:rPr>
      </w:pPr>
    </w:p>
    <w:p>
      <w:pPr>
        <w:pStyle w:val="BodyText"/>
        <w:spacing w:before="7"/>
        <w:rPr>
          <w:rFonts w:ascii="Calibri"/>
          <w:sz w:val="13"/>
        </w:rPr>
      </w:pPr>
    </w:p>
    <w:p>
      <w:pPr>
        <w:spacing w:before="0"/>
        <w:ind w:left="209" w:right="0" w:firstLine="0"/>
        <w:jc w:val="left"/>
        <w:rPr>
          <w:rFonts w:ascii="Trebuchet MS" w:hAnsi="Trebuchet MS"/>
          <w:b/>
          <w:sz w:val="15"/>
        </w:rPr>
      </w:pPr>
      <w:r>
        <w:rPr>
          <w:rFonts w:ascii="Trebuchet MS" w:hAnsi="Trebuchet MS"/>
          <w:b/>
          <w:color w:val="231F20"/>
          <w:sz w:val="15"/>
        </w:rPr>
        <w:t>Bibliografía</w:t>
      </w:r>
    </w:p>
    <w:p>
      <w:pPr>
        <w:pStyle w:val="BodyText"/>
        <w:spacing w:before="10"/>
        <w:rPr>
          <w:rFonts w:ascii="Trebuchet MS"/>
          <w:b/>
          <w:sz w:val="14"/>
        </w:rPr>
      </w:pPr>
    </w:p>
    <w:p>
      <w:pPr>
        <w:spacing w:before="0"/>
        <w:ind w:left="209" w:right="1521" w:firstLine="0"/>
        <w:jc w:val="right"/>
        <w:rPr>
          <w:rFonts w:ascii="Calibri" w:hAnsi="Calibri"/>
          <w:sz w:val="13"/>
        </w:rPr>
      </w:pPr>
      <w:r>
        <w:rPr>
          <w:rFonts w:ascii="Calibri" w:hAnsi="Calibri"/>
          <w:color w:val="231F20"/>
          <w:w w:val="115"/>
          <w:sz w:val="13"/>
        </w:rPr>
        <w:t>Fernández Pavia </w:t>
      </w:r>
      <w:r>
        <w:rPr>
          <w:rFonts w:ascii="Calibri" w:hAnsi="Calibri"/>
          <w:color w:val="231F20"/>
          <w:spacing w:val="-6"/>
          <w:w w:val="115"/>
          <w:sz w:val="13"/>
        </w:rPr>
        <w:t>SP, </w:t>
      </w:r>
      <w:r>
        <w:rPr>
          <w:rFonts w:ascii="Calibri" w:hAnsi="Calibri"/>
          <w:color w:val="231F20"/>
          <w:w w:val="115"/>
          <w:sz w:val="13"/>
        </w:rPr>
        <w:t>Rodríguez Alvarado</w:t>
      </w:r>
      <w:r>
        <w:rPr>
          <w:rFonts w:ascii="Calibri" w:hAnsi="Calibri"/>
          <w:color w:val="231F20"/>
          <w:spacing w:val="32"/>
          <w:w w:val="115"/>
          <w:sz w:val="13"/>
        </w:rPr>
        <w:t> </w:t>
      </w:r>
      <w:r>
        <w:rPr>
          <w:rFonts w:ascii="Calibri" w:hAnsi="Calibri"/>
          <w:color w:val="231F20"/>
          <w:w w:val="115"/>
          <w:sz w:val="13"/>
        </w:rPr>
        <w:t>G,</w:t>
      </w:r>
      <w:r>
        <w:rPr>
          <w:rFonts w:ascii="Calibri" w:hAnsi="Calibri"/>
          <w:color w:val="231F20"/>
          <w:spacing w:val="10"/>
          <w:w w:val="115"/>
          <w:sz w:val="13"/>
        </w:rPr>
        <w:t> </w:t>
      </w:r>
      <w:r>
        <w:rPr>
          <w:rFonts w:ascii="Calibri" w:hAnsi="Calibri"/>
          <w:color w:val="231F20"/>
          <w:w w:val="115"/>
          <w:sz w:val="13"/>
        </w:rPr>
        <w:t>Garay</w:t>
      </w:r>
      <w:r>
        <w:rPr>
          <w:rFonts w:ascii="Calibri" w:hAnsi="Calibri"/>
          <w:color w:val="231F20"/>
          <w:w w:val="117"/>
          <w:sz w:val="13"/>
        </w:rPr>
        <w:t> </w:t>
      </w:r>
      <w:r>
        <w:rPr>
          <w:rFonts w:ascii="Calibri" w:hAnsi="Calibri"/>
          <w:color w:val="231F20"/>
          <w:w w:val="115"/>
          <w:sz w:val="13"/>
        </w:rPr>
        <w:t>Serrano E, Belmar Díaz CR, Sturbaum</w:t>
      </w:r>
      <w:r>
        <w:rPr>
          <w:rFonts w:ascii="Calibri" w:hAnsi="Calibri"/>
          <w:color w:val="231F20"/>
          <w:spacing w:val="13"/>
          <w:w w:val="115"/>
          <w:sz w:val="13"/>
        </w:rPr>
        <w:t> </w:t>
      </w:r>
      <w:r>
        <w:rPr>
          <w:rFonts w:ascii="Calibri" w:hAnsi="Calibri"/>
          <w:color w:val="231F20"/>
          <w:w w:val="115"/>
          <w:sz w:val="13"/>
        </w:rPr>
        <w:t>AK,</w:t>
      </w:r>
      <w:r>
        <w:rPr>
          <w:rFonts w:ascii="Calibri" w:hAnsi="Calibri"/>
          <w:color w:val="231F20"/>
          <w:spacing w:val="7"/>
          <w:w w:val="115"/>
          <w:sz w:val="13"/>
        </w:rPr>
        <w:t> </w:t>
      </w:r>
      <w:r>
        <w:rPr>
          <w:rFonts w:ascii="Calibri" w:hAnsi="Calibri"/>
          <w:color w:val="231F20"/>
          <w:w w:val="115"/>
          <w:sz w:val="13"/>
        </w:rPr>
        <w:t>Flier</w:t>
      </w:r>
      <w:r>
        <w:rPr>
          <w:rFonts w:ascii="Calibri" w:hAnsi="Calibri"/>
          <w:color w:val="231F20"/>
          <w:spacing w:val="-1"/>
          <w:w w:val="116"/>
          <w:sz w:val="13"/>
        </w:rPr>
        <w:t> </w:t>
      </w:r>
      <w:r>
        <w:rPr>
          <w:rFonts w:ascii="Calibri" w:hAnsi="Calibri"/>
          <w:color w:val="231F20"/>
          <w:w w:val="115"/>
          <w:sz w:val="13"/>
        </w:rPr>
        <w:t>  </w:t>
      </w:r>
      <w:r>
        <w:rPr>
          <w:rFonts w:ascii="Calibri" w:hAnsi="Calibri"/>
          <w:color w:val="231F20"/>
          <w:w w:val="115"/>
          <w:sz w:val="13"/>
        </w:rPr>
        <w:t>W</w:t>
      </w:r>
      <w:r>
        <w:rPr>
          <w:rFonts w:ascii="Calibri" w:hAnsi="Calibri"/>
          <w:color w:val="231F20"/>
          <w:spacing w:val="-6"/>
          <w:w w:val="115"/>
          <w:sz w:val="13"/>
        </w:rPr>
        <w:t> </w:t>
      </w:r>
      <w:r>
        <w:rPr>
          <w:rFonts w:ascii="Calibri" w:hAnsi="Calibri"/>
          <w:color w:val="231F20"/>
          <w:w w:val="115"/>
          <w:sz w:val="13"/>
        </w:rPr>
        <w:t>y</w:t>
      </w:r>
      <w:r>
        <w:rPr>
          <w:rFonts w:ascii="Calibri" w:hAnsi="Calibri"/>
          <w:color w:val="231F20"/>
          <w:spacing w:val="-6"/>
          <w:w w:val="115"/>
          <w:sz w:val="13"/>
        </w:rPr>
        <w:t> </w:t>
      </w:r>
      <w:r>
        <w:rPr>
          <w:rFonts w:ascii="Calibri" w:hAnsi="Calibri"/>
          <w:color w:val="231F20"/>
          <w:w w:val="115"/>
          <w:sz w:val="13"/>
        </w:rPr>
        <w:t>Lozoya</w:t>
      </w:r>
      <w:r>
        <w:rPr>
          <w:rFonts w:ascii="Calibri" w:hAnsi="Calibri"/>
          <w:color w:val="231F20"/>
          <w:spacing w:val="-6"/>
          <w:w w:val="115"/>
          <w:sz w:val="13"/>
        </w:rPr>
        <w:t> </w:t>
      </w:r>
      <w:r>
        <w:rPr>
          <w:rFonts w:ascii="Calibri" w:hAnsi="Calibri"/>
          <w:color w:val="231F20"/>
          <w:w w:val="115"/>
          <w:sz w:val="13"/>
        </w:rPr>
        <w:t>Saldaña</w:t>
      </w:r>
      <w:r>
        <w:rPr>
          <w:rFonts w:ascii="Calibri" w:hAnsi="Calibri"/>
          <w:color w:val="231F20"/>
          <w:spacing w:val="-6"/>
          <w:w w:val="115"/>
          <w:sz w:val="13"/>
        </w:rPr>
        <w:t> </w:t>
      </w:r>
      <w:r>
        <w:rPr>
          <w:rFonts w:ascii="Calibri" w:hAnsi="Calibri"/>
          <w:color w:val="231F20"/>
          <w:w w:val="115"/>
          <w:sz w:val="13"/>
        </w:rPr>
        <w:t>H,</w:t>
      </w:r>
      <w:r>
        <w:rPr>
          <w:rFonts w:ascii="Calibri" w:hAnsi="Calibri"/>
          <w:color w:val="231F20"/>
          <w:spacing w:val="-6"/>
          <w:w w:val="115"/>
          <w:sz w:val="13"/>
        </w:rPr>
        <w:t> </w:t>
      </w:r>
      <w:r>
        <w:rPr>
          <w:rFonts w:ascii="Calibri" w:hAnsi="Calibri"/>
          <w:color w:val="231F20"/>
          <w:w w:val="115"/>
          <w:sz w:val="13"/>
        </w:rPr>
        <w:t>2005.</w:t>
      </w:r>
      <w:r>
        <w:rPr>
          <w:rFonts w:ascii="Calibri" w:hAnsi="Calibri"/>
          <w:color w:val="231F20"/>
          <w:spacing w:val="-6"/>
          <w:w w:val="115"/>
          <w:sz w:val="13"/>
        </w:rPr>
        <w:t> </w:t>
      </w:r>
      <w:r>
        <w:rPr>
          <w:rFonts w:ascii="Calibri" w:hAnsi="Calibri"/>
          <w:color w:val="231F20"/>
          <w:w w:val="115"/>
          <w:sz w:val="13"/>
        </w:rPr>
        <w:t>Caracterización</w:t>
      </w:r>
      <w:r>
        <w:rPr>
          <w:rFonts w:ascii="Calibri" w:hAnsi="Calibri"/>
          <w:color w:val="231F20"/>
          <w:spacing w:val="-6"/>
          <w:w w:val="115"/>
          <w:sz w:val="13"/>
        </w:rPr>
        <w:t> </w:t>
      </w:r>
      <w:r>
        <w:rPr>
          <w:rFonts w:ascii="Calibri" w:hAnsi="Calibri"/>
          <w:color w:val="231F20"/>
          <w:w w:val="115"/>
          <w:sz w:val="13"/>
        </w:rPr>
        <w:t>de</w:t>
      </w:r>
      <w:r>
        <w:rPr>
          <w:rFonts w:ascii="Calibri" w:hAnsi="Calibri"/>
          <w:color w:val="231F20"/>
          <w:spacing w:val="-2"/>
          <w:w w:val="117"/>
          <w:sz w:val="13"/>
        </w:rPr>
        <w:t> </w:t>
      </w:r>
      <w:r>
        <w:rPr>
          <w:rFonts w:ascii="Calibri" w:hAnsi="Calibri"/>
          <w:color w:val="231F20"/>
          <w:w w:val="110"/>
          <w:sz w:val="13"/>
        </w:rPr>
        <w:t>aislamientos</w:t>
      </w:r>
      <w:r>
        <w:rPr>
          <w:rFonts w:ascii="Calibri" w:hAnsi="Calibri"/>
          <w:color w:val="231F20"/>
          <w:spacing w:val="-14"/>
          <w:w w:val="110"/>
          <w:sz w:val="13"/>
        </w:rPr>
        <w:t> </w:t>
      </w:r>
      <w:r>
        <w:rPr>
          <w:rFonts w:ascii="Calibri" w:hAnsi="Calibri"/>
          <w:color w:val="231F20"/>
          <w:w w:val="110"/>
          <w:sz w:val="13"/>
        </w:rPr>
        <w:t>de</w:t>
      </w:r>
      <w:r>
        <w:rPr>
          <w:rFonts w:ascii="Calibri" w:hAnsi="Calibri"/>
          <w:color w:val="231F20"/>
          <w:spacing w:val="-14"/>
          <w:w w:val="110"/>
          <w:sz w:val="13"/>
        </w:rPr>
        <w:t> </w:t>
      </w:r>
      <w:r>
        <w:rPr>
          <w:rFonts w:ascii="Trebuchet MS" w:hAnsi="Trebuchet MS"/>
          <w:i/>
          <w:color w:val="231F20"/>
          <w:w w:val="110"/>
          <w:sz w:val="13"/>
        </w:rPr>
        <w:t>Phytophthora</w:t>
      </w:r>
      <w:r>
        <w:rPr>
          <w:rFonts w:ascii="Trebuchet MS" w:hAnsi="Trebuchet MS"/>
          <w:i/>
          <w:color w:val="231F20"/>
          <w:spacing w:val="-25"/>
          <w:w w:val="110"/>
          <w:sz w:val="13"/>
        </w:rPr>
        <w:t> </w:t>
      </w:r>
      <w:r>
        <w:rPr>
          <w:rFonts w:ascii="Trebuchet MS" w:hAnsi="Trebuchet MS"/>
          <w:i/>
          <w:color w:val="231F20"/>
          <w:w w:val="110"/>
          <w:sz w:val="13"/>
        </w:rPr>
        <w:t>infestans</w:t>
      </w:r>
      <w:r>
        <w:rPr>
          <w:rFonts w:ascii="Trebuchet MS" w:hAnsi="Trebuchet MS"/>
          <w:i/>
          <w:color w:val="231F20"/>
          <w:spacing w:val="-25"/>
          <w:w w:val="110"/>
          <w:sz w:val="13"/>
        </w:rPr>
        <w:t> </w:t>
      </w:r>
      <w:r>
        <w:rPr>
          <w:rFonts w:ascii="Calibri" w:hAnsi="Calibri"/>
          <w:color w:val="231F20"/>
          <w:w w:val="110"/>
          <w:sz w:val="13"/>
        </w:rPr>
        <w:t>(Mont.)</w:t>
      </w:r>
      <w:r>
        <w:rPr>
          <w:rFonts w:ascii="Calibri" w:hAnsi="Calibri"/>
          <w:color w:val="231F20"/>
          <w:spacing w:val="-2"/>
          <w:w w:val="115"/>
          <w:sz w:val="13"/>
        </w:rPr>
        <w:t> </w:t>
      </w:r>
      <w:r>
        <w:rPr>
          <w:rFonts w:ascii="Calibri" w:hAnsi="Calibri"/>
          <w:color w:val="231F20"/>
          <w:w w:val="115"/>
          <w:sz w:val="13"/>
        </w:rPr>
        <w:t>de Bary provenientes de</w:t>
      </w:r>
      <w:r>
        <w:rPr>
          <w:rFonts w:ascii="Calibri" w:hAnsi="Calibri"/>
          <w:color w:val="231F20"/>
          <w:spacing w:val="-1"/>
          <w:w w:val="115"/>
          <w:sz w:val="13"/>
        </w:rPr>
        <w:t> </w:t>
      </w:r>
      <w:r>
        <w:rPr>
          <w:rFonts w:ascii="Calibri" w:hAnsi="Calibri"/>
          <w:color w:val="231F20"/>
          <w:w w:val="115"/>
          <w:sz w:val="13"/>
        </w:rPr>
        <w:t>Michoacán,</w:t>
      </w:r>
      <w:r>
        <w:rPr>
          <w:rFonts w:ascii="Calibri" w:hAnsi="Calibri"/>
          <w:color w:val="231F20"/>
          <w:spacing w:val="25"/>
          <w:w w:val="115"/>
          <w:sz w:val="13"/>
        </w:rPr>
        <w:t> </w:t>
      </w:r>
      <w:r>
        <w:rPr>
          <w:rFonts w:ascii="Calibri" w:hAnsi="Calibri"/>
          <w:color w:val="231F20"/>
          <w:w w:val="115"/>
          <w:sz w:val="13"/>
        </w:rPr>
        <w:t>México.</w:t>
      </w:r>
      <w:r>
        <w:rPr>
          <w:rFonts w:ascii="Calibri" w:hAnsi="Calibri"/>
          <w:color w:val="231F20"/>
          <w:w w:val="115"/>
          <w:sz w:val="13"/>
        </w:rPr>
        <w:t> </w:t>
      </w:r>
      <w:r>
        <w:rPr>
          <w:rFonts w:ascii="Calibri" w:hAnsi="Calibri"/>
          <w:color w:val="231F20"/>
          <w:w w:val="115"/>
          <w:sz w:val="13"/>
        </w:rPr>
        <w:t>Revista Mexicana de Fitopatología 23:</w:t>
      </w:r>
      <w:r>
        <w:rPr>
          <w:rFonts w:ascii="Calibri" w:hAnsi="Calibri"/>
          <w:color w:val="231F20"/>
          <w:spacing w:val="-20"/>
          <w:w w:val="115"/>
          <w:sz w:val="13"/>
        </w:rPr>
        <w:t> </w:t>
      </w:r>
      <w:r>
        <w:rPr>
          <w:rFonts w:ascii="Calibri" w:hAnsi="Calibri"/>
          <w:color w:val="231F20"/>
          <w:w w:val="115"/>
          <w:sz w:val="13"/>
        </w:rPr>
        <w:t>191-197.</w:t>
      </w:r>
    </w:p>
    <w:p>
      <w:pPr>
        <w:spacing w:before="87"/>
        <w:ind w:left="377" w:right="1521" w:hanging="169"/>
        <w:jc w:val="both"/>
        <w:rPr>
          <w:rFonts w:ascii="Calibri"/>
          <w:sz w:val="13"/>
        </w:rPr>
      </w:pPr>
      <w:r>
        <w:rPr>
          <w:rFonts w:ascii="Calibri"/>
          <w:color w:val="231F20"/>
          <w:w w:val="120"/>
          <w:sz w:val="13"/>
        </w:rPr>
        <w:t>FRAC, 1992. FRAC methods for monitoring the sensitivity</w:t>
      </w:r>
      <w:r>
        <w:rPr>
          <w:rFonts w:ascii="Calibri"/>
          <w:color w:val="231F20"/>
          <w:spacing w:val="-23"/>
          <w:w w:val="120"/>
          <w:sz w:val="13"/>
        </w:rPr>
        <w:t> </w:t>
      </w:r>
      <w:r>
        <w:rPr>
          <w:rFonts w:ascii="Calibri"/>
          <w:color w:val="231F20"/>
          <w:w w:val="120"/>
          <w:sz w:val="13"/>
        </w:rPr>
        <w:t>of</w:t>
      </w:r>
      <w:r>
        <w:rPr>
          <w:rFonts w:ascii="Calibri"/>
          <w:color w:val="231F20"/>
          <w:spacing w:val="-23"/>
          <w:w w:val="120"/>
          <w:sz w:val="13"/>
        </w:rPr>
        <w:t> </w:t>
      </w:r>
      <w:r>
        <w:rPr>
          <w:rFonts w:ascii="Calibri"/>
          <w:color w:val="231F20"/>
          <w:w w:val="120"/>
          <w:sz w:val="13"/>
        </w:rPr>
        <w:t>fungal</w:t>
      </w:r>
      <w:r>
        <w:rPr>
          <w:rFonts w:ascii="Calibri"/>
          <w:color w:val="231F20"/>
          <w:spacing w:val="-23"/>
          <w:w w:val="120"/>
          <w:sz w:val="13"/>
        </w:rPr>
        <w:t> </w:t>
      </w:r>
      <w:r>
        <w:rPr>
          <w:rFonts w:ascii="Calibri"/>
          <w:color w:val="231F20"/>
          <w:w w:val="120"/>
          <w:sz w:val="13"/>
        </w:rPr>
        <w:t>pathogens</w:t>
      </w:r>
      <w:r>
        <w:rPr>
          <w:rFonts w:ascii="Calibri"/>
          <w:color w:val="231F20"/>
          <w:spacing w:val="-23"/>
          <w:w w:val="120"/>
          <w:sz w:val="13"/>
        </w:rPr>
        <w:t> </w:t>
      </w:r>
      <w:r>
        <w:rPr>
          <w:rFonts w:ascii="Calibri"/>
          <w:color w:val="231F20"/>
          <w:w w:val="120"/>
          <w:sz w:val="13"/>
        </w:rPr>
        <w:t>to</w:t>
      </w:r>
      <w:r>
        <w:rPr>
          <w:rFonts w:ascii="Calibri"/>
          <w:color w:val="231F20"/>
          <w:spacing w:val="-23"/>
          <w:w w:val="120"/>
          <w:sz w:val="13"/>
        </w:rPr>
        <w:t> </w:t>
      </w:r>
      <w:r>
        <w:rPr>
          <w:rFonts w:ascii="Calibri"/>
          <w:color w:val="231F20"/>
          <w:w w:val="120"/>
          <w:sz w:val="13"/>
        </w:rPr>
        <w:t>phenylamide </w:t>
      </w:r>
      <w:r>
        <w:rPr>
          <w:rFonts w:ascii="Calibri"/>
          <w:color w:val="231F20"/>
          <w:w w:val="115"/>
          <w:sz w:val="13"/>
        </w:rPr>
        <w:t>fungicides. EPPO Bulletin 22,</w:t>
      </w:r>
      <w:r>
        <w:rPr>
          <w:rFonts w:ascii="Calibri"/>
          <w:color w:val="231F20"/>
          <w:spacing w:val="5"/>
          <w:w w:val="115"/>
          <w:sz w:val="13"/>
        </w:rPr>
        <w:t> </w:t>
      </w:r>
      <w:r>
        <w:rPr>
          <w:rFonts w:ascii="Calibri"/>
          <w:color w:val="231F20"/>
          <w:w w:val="115"/>
          <w:sz w:val="13"/>
        </w:rPr>
        <w:t>297-322.</w:t>
      </w:r>
    </w:p>
    <w:p>
      <w:pPr>
        <w:spacing w:before="87"/>
        <w:ind w:left="377" w:right="1521" w:hanging="169"/>
        <w:jc w:val="both"/>
        <w:rPr>
          <w:rFonts w:ascii="Calibri"/>
          <w:sz w:val="13"/>
        </w:rPr>
      </w:pPr>
      <w:r>
        <w:rPr>
          <w:rFonts w:ascii="Calibri"/>
          <w:color w:val="231F20"/>
          <w:w w:val="115"/>
          <w:sz w:val="13"/>
        </w:rPr>
        <w:t>Fry WE and Goodwin SB, 1997. Resurgence of the Irish potato famine fungus. Bioscience 47: 363- 371.</w:t>
      </w:r>
    </w:p>
    <w:p>
      <w:pPr>
        <w:spacing w:before="87"/>
        <w:ind w:left="377" w:right="1523" w:hanging="169"/>
        <w:jc w:val="both"/>
        <w:rPr>
          <w:rFonts w:ascii="Calibri"/>
          <w:sz w:val="13"/>
        </w:rPr>
      </w:pPr>
      <w:r>
        <w:rPr>
          <w:rFonts w:ascii="Calibri"/>
          <w:color w:val="231F20"/>
          <w:spacing w:val="-5"/>
          <w:w w:val="120"/>
          <w:sz w:val="13"/>
        </w:rPr>
        <w:t>Gavino</w:t>
      </w:r>
      <w:r>
        <w:rPr>
          <w:rFonts w:ascii="Calibri"/>
          <w:color w:val="231F20"/>
          <w:spacing w:val="-17"/>
          <w:w w:val="120"/>
          <w:sz w:val="13"/>
        </w:rPr>
        <w:t> </w:t>
      </w:r>
      <w:r>
        <w:rPr>
          <w:rFonts w:ascii="Calibri"/>
          <w:color w:val="231F20"/>
          <w:spacing w:val="-4"/>
          <w:w w:val="120"/>
          <w:sz w:val="13"/>
        </w:rPr>
        <w:t>PD,</w:t>
      </w:r>
      <w:r>
        <w:rPr>
          <w:rFonts w:ascii="Calibri"/>
          <w:color w:val="231F20"/>
          <w:spacing w:val="-17"/>
          <w:w w:val="120"/>
          <w:sz w:val="13"/>
        </w:rPr>
        <w:t> </w:t>
      </w:r>
      <w:r>
        <w:rPr>
          <w:rFonts w:ascii="Calibri"/>
          <w:color w:val="231F20"/>
          <w:spacing w:val="-4"/>
          <w:w w:val="120"/>
          <w:sz w:val="13"/>
        </w:rPr>
        <w:t>Smart</w:t>
      </w:r>
      <w:r>
        <w:rPr>
          <w:rFonts w:ascii="Calibri"/>
          <w:color w:val="231F20"/>
          <w:spacing w:val="-17"/>
          <w:w w:val="120"/>
          <w:sz w:val="13"/>
        </w:rPr>
        <w:t> </w:t>
      </w:r>
      <w:r>
        <w:rPr>
          <w:rFonts w:ascii="Calibri"/>
          <w:color w:val="231F20"/>
          <w:spacing w:val="-4"/>
          <w:w w:val="120"/>
          <w:sz w:val="13"/>
        </w:rPr>
        <w:t>CD,</w:t>
      </w:r>
      <w:r>
        <w:rPr>
          <w:rFonts w:ascii="Calibri"/>
          <w:color w:val="231F20"/>
          <w:spacing w:val="-17"/>
          <w:w w:val="120"/>
          <w:sz w:val="13"/>
        </w:rPr>
        <w:t> </w:t>
      </w:r>
      <w:r>
        <w:rPr>
          <w:rFonts w:ascii="Calibri"/>
          <w:color w:val="231F20"/>
          <w:spacing w:val="-5"/>
          <w:w w:val="120"/>
          <w:sz w:val="13"/>
        </w:rPr>
        <w:t>Sandrock</w:t>
      </w:r>
      <w:r>
        <w:rPr>
          <w:rFonts w:ascii="Calibri"/>
          <w:color w:val="231F20"/>
          <w:spacing w:val="-17"/>
          <w:w w:val="120"/>
          <w:sz w:val="13"/>
        </w:rPr>
        <w:t> </w:t>
      </w:r>
      <w:r>
        <w:rPr>
          <w:rFonts w:ascii="Calibri"/>
          <w:color w:val="231F20"/>
          <w:spacing w:val="-6"/>
          <w:w w:val="120"/>
          <w:sz w:val="13"/>
        </w:rPr>
        <w:t>RW,</w:t>
      </w:r>
      <w:r>
        <w:rPr>
          <w:rFonts w:ascii="Calibri"/>
          <w:color w:val="231F20"/>
          <w:spacing w:val="-17"/>
          <w:w w:val="120"/>
          <w:sz w:val="13"/>
        </w:rPr>
        <w:t> </w:t>
      </w:r>
      <w:r>
        <w:rPr>
          <w:rFonts w:ascii="Calibri"/>
          <w:color w:val="231F20"/>
          <w:spacing w:val="-5"/>
          <w:w w:val="120"/>
          <w:sz w:val="13"/>
        </w:rPr>
        <w:t>Miller</w:t>
      </w:r>
      <w:r>
        <w:rPr>
          <w:rFonts w:ascii="Calibri"/>
          <w:color w:val="231F20"/>
          <w:spacing w:val="-17"/>
          <w:w w:val="120"/>
          <w:sz w:val="13"/>
        </w:rPr>
        <w:t> </w:t>
      </w:r>
      <w:r>
        <w:rPr>
          <w:rFonts w:ascii="Calibri"/>
          <w:color w:val="231F20"/>
          <w:spacing w:val="-4"/>
          <w:w w:val="120"/>
          <w:sz w:val="13"/>
        </w:rPr>
        <w:t>JS,</w:t>
      </w:r>
      <w:r>
        <w:rPr>
          <w:rFonts w:ascii="Calibri"/>
          <w:color w:val="231F20"/>
          <w:spacing w:val="-17"/>
          <w:w w:val="120"/>
          <w:sz w:val="13"/>
        </w:rPr>
        <w:t> </w:t>
      </w:r>
      <w:r>
        <w:rPr>
          <w:rFonts w:ascii="Calibri"/>
          <w:color w:val="231F20"/>
          <w:spacing w:val="-5"/>
          <w:w w:val="120"/>
          <w:sz w:val="13"/>
        </w:rPr>
        <w:t>Hamm </w:t>
      </w:r>
      <w:r>
        <w:rPr>
          <w:rFonts w:ascii="Calibri"/>
          <w:color w:val="231F20"/>
          <w:w w:val="120"/>
          <w:sz w:val="13"/>
        </w:rPr>
        <w:t>PB,</w:t>
      </w:r>
      <w:r>
        <w:rPr>
          <w:rFonts w:ascii="Calibri"/>
          <w:color w:val="231F20"/>
          <w:spacing w:val="-17"/>
          <w:w w:val="120"/>
          <w:sz w:val="13"/>
        </w:rPr>
        <w:t> </w:t>
      </w:r>
      <w:r>
        <w:rPr>
          <w:rFonts w:ascii="Calibri"/>
          <w:color w:val="231F20"/>
          <w:w w:val="120"/>
          <w:sz w:val="13"/>
        </w:rPr>
        <w:t>Lee</w:t>
      </w:r>
      <w:r>
        <w:rPr>
          <w:rFonts w:ascii="Calibri"/>
          <w:color w:val="231F20"/>
          <w:spacing w:val="-17"/>
          <w:w w:val="120"/>
          <w:sz w:val="13"/>
        </w:rPr>
        <w:t> </w:t>
      </w:r>
      <w:r>
        <w:rPr>
          <w:rFonts w:ascii="Calibri"/>
          <w:color w:val="231F20"/>
          <w:spacing w:val="-8"/>
          <w:w w:val="120"/>
          <w:sz w:val="13"/>
        </w:rPr>
        <w:t>TY,</w:t>
      </w:r>
      <w:r>
        <w:rPr>
          <w:rFonts w:ascii="Calibri"/>
          <w:color w:val="231F20"/>
          <w:spacing w:val="-17"/>
          <w:w w:val="120"/>
          <w:sz w:val="13"/>
        </w:rPr>
        <w:t> </w:t>
      </w:r>
      <w:r>
        <w:rPr>
          <w:rFonts w:ascii="Calibri"/>
          <w:color w:val="231F20"/>
          <w:spacing w:val="-3"/>
          <w:w w:val="120"/>
          <w:sz w:val="13"/>
        </w:rPr>
        <w:t>Davis</w:t>
      </w:r>
      <w:r>
        <w:rPr>
          <w:rFonts w:ascii="Calibri"/>
          <w:color w:val="231F20"/>
          <w:spacing w:val="-17"/>
          <w:w w:val="120"/>
          <w:sz w:val="13"/>
        </w:rPr>
        <w:t> </w:t>
      </w:r>
      <w:r>
        <w:rPr>
          <w:rFonts w:ascii="Calibri"/>
          <w:color w:val="231F20"/>
          <w:w w:val="120"/>
          <w:sz w:val="13"/>
        </w:rPr>
        <w:t>RM,</w:t>
      </w:r>
      <w:r>
        <w:rPr>
          <w:rFonts w:ascii="Calibri"/>
          <w:color w:val="231F20"/>
          <w:spacing w:val="-17"/>
          <w:w w:val="120"/>
          <w:sz w:val="13"/>
        </w:rPr>
        <w:t> </w:t>
      </w:r>
      <w:r>
        <w:rPr>
          <w:rFonts w:ascii="Calibri"/>
          <w:color w:val="231F20"/>
          <w:w w:val="120"/>
          <w:sz w:val="13"/>
        </w:rPr>
        <w:t>Fry</w:t>
      </w:r>
      <w:r>
        <w:rPr>
          <w:rFonts w:ascii="Calibri"/>
          <w:color w:val="231F20"/>
          <w:spacing w:val="-17"/>
          <w:w w:val="120"/>
          <w:sz w:val="13"/>
        </w:rPr>
        <w:t> </w:t>
      </w:r>
      <w:r>
        <w:rPr>
          <w:rFonts w:ascii="Calibri"/>
          <w:color w:val="231F20"/>
          <w:w w:val="120"/>
          <w:sz w:val="13"/>
        </w:rPr>
        <w:t>WE,</w:t>
      </w:r>
      <w:r>
        <w:rPr>
          <w:rFonts w:ascii="Calibri"/>
          <w:color w:val="231F20"/>
          <w:spacing w:val="-17"/>
          <w:w w:val="120"/>
          <w:sz w:val="13"/>
        </w:rPr>
        <w:t> </w:t>
      </w:r>
      <w:r>
        <w:rPr>
          <w:rFonts w:ascii="Calibri"/>
          <w:color w:val="231F20"/>
          <w:spacing w:val="-3"/>
          <w:w w:val="120"/>
          <w:sz w:val="13"/>
        </w:rPr>
        <w:t>2000.</w:t>
      </w:r>
      <w:r>
        <w:rPr>
          <w:rFonts w:ascii="Calibri"/>
          <w:color w:val="231F20"/>
          <w:spacing w:val="-17"/>
          <w:w w:val="120"/>
          <w:sz w:val="13"/>
        </w:rPr>
        <w:t> </w:t>
      </w:r>
      <w:r>
        <w:rPr>
          <w:rFonts w:ascii="Calibri"/>
          <w:color w:val="231F20"/>
          <w:spacing w:val="-3"/>
          <w:w w:val="120"/>
          <w:sz w:val="13"/>
        </w:rPr>
        <w:t>Implications </w:t>
      </w:r>
      <w:r>
        <w:rPr>
          <w:rFonts w:ascii="Calibri"/>
          <w:color w:val="231F20"/>
          <w:w w:val="115"/>
          <w:sz w:val="13"/>
        </w:rPr>
        <w:t>of </w:t>
      </w:r>
      <w:r>
        <w:rPr>
          <w:rFonts w:ascii="Calibri"/>
          <w:color w:val="231F20"/>
          <w:spacing w:val="-3"/>
          <w:w w:val="115"/>
          <w:sz w:val="13"/>
        </w:rPr>
        <w:t>sexual reproduction </w:t>
      </w:r>
      <w:r>
        <w:rPr>
          <w:rFonts w:ascii="Calibri"/>
          <w:color w:val="231F20"/>
          <w:w w:val="115"/>
          <w:sz w:val="13"/>
        </w:rPr>
        <w:t>for </w:t>
      </w:r>
      <w:r>
        <w:rPr>
          <w:rFonts w:ascii="Trebuchet MS"/>
          <w:i/>
          <w:color w:val="231F20"/>
          <w:spacing w:val="-3"/>
          <w:w w:val="115"/>
          <w:sz w:val="13"/>
        </w:rPr>
        <w:t>Phytophthora infes- </w:t>
      </w:r>
      <w:r>
        <w:rPr>
          <w:rFonts w:ascii="Trebuchet MS"/>
          <w:i/>
          <w:color w:val="231F20"/>
          <w:spacing w:val="-3"/>
          <w:w w:val="120"/>
          <w:sz w:val="13"/>
        </w:rPr>
        <w:t>tans </w:t>
      </w:r>
      <w:r>
        <w:rPr>
          <w:rFonts w:ascii="Calibri"/>
          <w:color w:val="231F20"/>
          <w:w w:val="120"/>
          <w:sz w:val="13"/>
        </w:rPr>
        <w:t>in the </w:t>
      </w:r>
      <w:r>
        <w:rPr>
          <w:rFonts w:ascii="Calibri"/>
          <w:color w:val="231F20"/>
          <w:spacing w:val="-3"/>
          <w:w w:val="120"/>
          <w:sz w:val="13"/>
        </w:rPr>
        <w:t>United States: generation </w:t>
      </w:r>
      <w:r>
        <w:rPr>
          <w:rFonts w:ascii="Calibri"/>
          <w:color w:val="231F20"/>
          <w:w w:val="120"/>
          <w:sz w:val="13"/>
        </w:rPr>
        <w:t>of an </w:t>
      </w:r>
      <w:r>
        <w:rPr>
          <w:rFonts w:ascii="Calibri"/>
          <w:color w:val="231F20"/>
          <w:spacing w:val="-3"/>
          <w:w w:val="120"/>
          <w:sz w:val="13"/>
        </w:rPr>
        <w:t>ag- gressive</w:t>
      </w:r>
      <w:r>
        <w:rPr>
          <w:rFonts w:ascii="Calibri"/>
          <w:color w:val="231F20"/>
          <w:spacing w:val="-21"/>
          <w:w w:val="120"/>
          <w:sz w:val="13"/>
        </w:rPr>
        <w:t> </w:t>
      </w:r>
      <w:r>
        <w:rPr>
          <w:rFonts w:ascii="Calibri"/>
          <w:color w:val="231F20"/>
          <w:spacing w:val="-3"/>
          <w:w w:val="120"/>
          <w:sz w:val="13"/>
        </w:rPr>
        <w:t>lineage.</w:t>
      </w:r>
      <w:r>
        <w:rPr>
          <w:rFonts w:ascii="Calibri"/>
          <w:color w:val="231F20"/>
          <w:spacing w:val="-21"/>
          <w:w w:val="120"/>
          <w:sz w:val="13"/>
        </w:rPr>
        <w:t> </w:t>
      </w:r>
      <w:r>
        <w:rPr>
          <w:rFonts w:ascii="Calibri"/>
          <w:color w:val="231F20"/>
          <w:spacing w:val="-3"/>
          <w:w w:val="120"/>
          <w:sz w:val="13"/>
        </w:rPr>
        <w:t>Plant</w:t>
      </w:r>
      <w:r>
        <w:rPr>
          <w:rFonts w:ascii="Calibri"/>
          <w:color w:val="231F20"/>
          <w:spacing w:val="-21"/>
          <w:w w:val="120"/>
          <w:sz w:val="13"/>
        </w:rPr>
        <w:t> </w:t>
      </w:r>
      <w:r>
        <w:rPr>
          <w:rFonts w:ascii="Calibri"/>
          <w:color w:val="231F20"/>
          <w:spacing w:val="-3"/>
          <w:w w:val="120"/>
          <w:sz w:val="13"/>
        </w:rPr>
        <w:t>Disease</w:t>
      </w:r>
      <w:r>
        <w:rPr>
          <w:rFonts w:ascii="Calibri"/>
          <w:color w:val="231F20"/>
          <w:spacing w:val="-21"/>
          <w:w w:val="120"/>
          <w:sz w:val="13"/>
        </w:rPr>
        <w:t> </w:t>
      </w:r>
      <w:r>
        <w:rPr>
          <w:rFonts w:ascii="Calibri"/>
          <w:color w:val="231F20"/>
          <w:w w:val="120"/>
          <w:sz w:val="13"/>
        </w:rPr>
        <w:t>84,</w:t>
      </w:r>
      <w:r>
        <w:rPr>
          <w:rFonts w:ascii="Calibri"/>
          <w:color w:val="231F20"/>
          <w:spacing w:val="-21"/>
          <w:w w:val="120"/>
          <w:sz w:val="13"/>
        </w:rPr>
        <w:t> </w:t>
      </w:r>
      <w:r>
        <w:rPr>
          <w:rFonts w:ascii="Calibri"/>
          <w:color w:val="231F20"/>
          <w:spacing w:val="-3"/>
          <w:w w:val="120"/>
          <w:sz w:val="13"/>
        </w:rPr>
        <w:t>731-735.</w:t>
      </w:r>
    </w:p>
    <w:p>
      <w:pPr>
        <w:spacing w:before="87"/>
        <w:ind w:left="50" w:right="1521" w:firstLine="0"/>
        <w:jc w:val="right"/>
        <w:rPr>
          <w:rFonts w:ascii="Calibri"/>
          <w:sz w:val="13"/>
        </w:rPr>
      </w:pPr>
      <w:r>
        <w:rPr>
          <w:rFonts w:ascii="Calibri"/>
          <w:color w:val="231F20"/>
          <w:w w:val="120"/>
          <w:sz w:val="13"/>
        </w:rPr>
        <w:t>Gisi U and Cohen Y, 1995. Resistance to phenyla-</w:t>
      </w:r>
      <w:r>
        <w:rPr>
          <w:rFonts w:ascii="Calibri"/>
          <w:color w:val="231F20"/>
          <w:w w:val="117"/>
          <w:sz w:val="13"/>
        </w:rPr>
        <w:t> </w:t>
      </w:r>
      <w:r>
        <w:rPr>
          <w:rFonts w:ascii="Calibri"/>
          <w:color w:val="231F20"/>
          <w:w w:val="120"/>
          <w:sz w:val="13"/>
        </w:rPr>
        <w:t>mide fungicides: A case study with </w:t>
      </w:r>
      <w:r>
        <w:rPr>
          <w:rFonts w:ascii="Trebuchet MS"/>
          <w:i/>
          <w:color w:val="231F20"/>
          <w:w w:val="120"/>
          <w:sz w:val="13"/>
        </w:rPr>
        <w:t>Phytoph-</w:t>
      </w:r>
      <w:r>
        <w:rPr>
          <w:rFonts w:ascii="Trebuchet MS"/>
          <w:i/>
          <w:color w:val="231F20"/>
          <w:w w:val="107"/>
          <w:sz w:val="13"/>
        </w:rPr>
        <w:t> </w:t>
      </w:r>
      <w:r>
        <w:rPr>
          <w:rFonts w:ascii="Trebuchet MS"/>
          <w:i/>
          <w:color w:val="231F20"/>
          <w:w w:val="115"/>
          <w:sz w:val="13"/>
        </w:rPr>
        <w:t>thora infestans </w:t>
      </w:r>
      <w:r>
        <w:rPr>
          <w:rFonts w:ascii="Calibri"/>
          <w:color w:val="231F20"/>
          <w:w w:val="115"/>
          <w:sz w:val="13"/>
        </w:rPr>
        <w:t>involving mating type and race</w:t>
      </w:r>
      <w:r>
        <w:rPr>
          <w:rFonts w:ascii="Calibri"/>
          <w:color w:val="231F20"/>
          <w:w w:val="114"/>
          <w:sz w:val="13"/>
        </w:rPr>
        <w:t> </w:t>
      </w:r>
      <w:r>
        <w:rPr>
          <w:rFonts w:ascii="Calibri"/>
          <w:color w:val="231F20"/>
          <w:w w:val="115"/>
          <w:sz w:val="13"/>
        </w:rPr>
        <w:t>structure. Annu. Rev. Phytopathol. 34: 549-572.</w:t>
      </w:r>
    </w:p>
    <w:p>
      <w:pPr>
        <w:spacing w:before="87"/>
        <w:ind w:left="50" w:right="1520" w:firstLine="0"/>
        <w:jc w:val="right"/>
        <w:rPr>
          <w:rFonts w:ascii="Calibri"/>
          <w:sz w:val="13"/>
        </w:rPr>
      </w:pPr>
      <w:r>
        <w:rPr>
          <w:rFonts w:ascii="Calibri"/>
          <w:color w:val="231F20"/>
          <w:w w:val="120"/>
          <w:sz w:val="13"/>
        </w:rPr>
        <w:t>Goodwin SB, Sujkowski LS, Fry WE, 1996. Wides-</w:t>
      </w:r>
      <w:r>
        <w:rPr>
          <w:rFonts w:ascii="Calibri"/>
          <w:color w:val="231F20"/>
          <w:w w:val="114"/>
          <w:sz w:val="13"/>
        </w:rPr>
        <w:t> </w:t>
      </w:r>
      <w:r>
        <w:rPr>
          <w:rFonts w:ascii="Calibri"/>
          <w:color w:val="231F20"/>
          <w:w w:val="120"/>
          <w:sz w:val="13"/>
        </w:rPr>
        <w:t>pread distribution and probable origin of resis-</w:t>
      </w:r>
      <w:r>
        <w:rPr>
          <w:rFonts w:ascii="Calibri"/>
          <w:color w:val="231F20"/>
          <w:w w:val="110"/>
          <w:sz w:val="13"/>
        </w:rPr>
        <w:t> </w:t>
      </w:r>
      <w:r>
        <w:rPr>
          <w:rFonts w:ascii="Calibri"/>
          <w:color w:val="231F20"/>
          <w:w w:val="120"/>
          <w:sz w:val="13"/>
        </w:rPr>
        <w:t>tance to metalaxyl in clonal genotypes of </w:t>
      </w:r>
      <w:r>
        <w:rPr>
          <w:rFonts w:ascii="Trebuchet MS"/>
          <w:i/>
          <w:color w:val="231F20"/>
          <w:w w:val="120"/>
          <w:sz w:val="13"/>
        </w:rPr>
        <w:t>Phy-</w:t>
      </w:r>
      <w:r>
        <w:rPr>
          <w:rFonts w:ascii="Trebuchet MS"/>
          <w:i/>
          <w:color w:val="231F20"/>
          <w:w w:val="93"/>
          <w:sz w:val="13"/>
        </w:rPr>
        <w:t> </w:t>
      </w:r>
      <w:r>
        <w:rPr>
          <w:rFonts w:ascii="Trebuchet MS"/>
          <w:i/>
          <w:color w:val="231F20"/>
          <w:w w:val="115"/>
          <w:sz w:val="13"/>
        </w:rPr>
        <w:t>tophthora infestans </w:t>
      </w:r>
      <w:r>
        <w:rPr>
          <w:rFonts w:ascii="Calibri"/>
          <w:color w:val="231F20"/>
          <w:w w:val="115"/>
          <w:sz w:val="13"/>
        </w:rPr>
        <w:t>in the United States and</w:t>
      </w:r>
      <w:r>
        <w:rPr>
          <w:rFonts w:ascii="Calibri"/>
          <w:color w:val="231F20"/>
          <w:w w:val="119"/>
          <w:sz w:val="13"/>
        </w:rPr>
        <w:t> </w:t>
      </w:r>
      <w:r>
        <w:rPr>
          <w:rFonts w:ascii="Calibri"/>
          <w:color w:val="231F20"/>
          <w:w w:val="120"/>
          <w:sz w:val="13"/>
        </w:rPr>
        <w:t>Western Canada. Phytopathology, 86, 793-800.</w:t>
      </w:r>
    </w:p>
    <w:p>
      <w:pPr>
        <w:spacing w:before="87"/>
        <w:ind w:left="377" w:right="1521" w:hanging="169"/>
        <w:jc w:val="both"/>
        <w:rPr>
          <w:rFonts w:ascii="Calibri"/>
          <w:sz w:val="13"/>
        </w:rPr>
      </w:pPr>
      <w:r>
        <w:rPr>
          <w:rFonts w:ascii="Calibri"/>
          <w:color w:val="231F20"/>
          <w:w w:val="120"/>
          <w:sz w:val="13"/>
        </w:rPr>
        <w:t>Goodwin</w:t>
      </w:r>
      <w:r>
        <w:rPr>
          <w:rFonts w:ascii="Calibri"/>
          <w:color w:val="231F20"/>
          <w:spacing w:val="-18"/>
          <w:w w:val="120"/>
          <w:sz w:val="13"/>
        </w:rPr>
        <w:t> </w:t>
      </w:r>
      <w:r>
        <w:rPr>
          <w:rFonts w:ascii="Calibri"/>
          <w:color w:val="231F20"/>
          <w:w w:val="120"/>
          <w:sz w:val="13"/>
        </w:rPr>
        <w:t>SB,</w:t>
      </w:r>
      <w:r>
        <w:rPr>
          <w:rFonts w:ascii="Calibri"/>
          <w:color w:val="231F20"/>
          <w:spacing w:val="-18"/>
          <w:w w:val="120"/>
          <w:sz w:val="13"/>
        </w:rPr>
        <w:t> </w:t>
      </w:r>
      <w:r>
        <w:rPr>
          <w:rFonts w:ascii="Calibri"/>
          <w:color w:val="231F20"/>
          <w:w w:val="120"/>
          <w:sz w:val="13"/>
        </w:rPr>
        <w:t>Spielman</w:t>
      </w:r>
      <w:r>
        <w:rPr>
          <w:rFonts w:ascii="Calibri"/>
          <w:color w:val="231F20"/>
          <w:spacing w:val="-18"/>
          <w:w w:val="120"/>
          <w:sz w:val="13"/>
        </w:rPr>
        <w:t> </w:t>
      </w:r>
      <w:r>
        <w:rPr>
          <w:rFonts w:ascii="Calibri"/>
          <w:color w:val="231F20"/>
          <w:w w:val="120"/>
          <w:sz w:val="13"/>
        </w:rPr>
        <w:t>LJ,</w:t>
      </w:r>
      <w:r>
        <w:rPr>
          <w:rFonts w:ascii="Calibri"/>
          <w:color w:val="231F20"/>
          <w:spacing w:val="-18"/>
          <w:w w:val="120"/>
          <w:sz w:val="13"/>
        </w:rPr>
        <w:t> </w:t>
      </w:r>
      <w:r>
        <w:rPr>
          <w:rFonts w:ascii="Calibri"/>
          <w:color w:val="231F20"/>
          <w:w w:val="120"/>
          <w:sz w:val="13"/>
        </w:rPr>
        <w:t>Matuzsak</w:t>
      </w:r>
      <w:r>
        <w:rPr>
          <w:rFonts w:ascii="Calibri"/>
          <w:color w:val="231F20"/>
          <w:spacing w:val="-18"/>
          <w:w w:val="120"/>
          <w:sz w:val="13"/>
        </w:rPr>
        <w:t> </w:t>
      </w:r>
      <w:r>
        <w:rPr>
          <w:rFonts w:ascii="Calibri"/>
          <w:color w:val="231F20"/>
          <w:w w:val="120"/>
          <w:sz w:val="13"/>
        </w:rPr>
        <w:t>JM,</w:t>
      </w:r>
      <w:r>
        <w:rPr>
          <w:rFonts w:ascii="Calibri"/>
          <w:color w:val="231F20"/>
          <w:spacing w:val="-18"/>
          <w:w w:val="120"/>
          <w:sz w:val="13"/>
        </w:rPr>
        <w:t> </w:t>
      </w:r>
      <w:r>
        <w:rPr>
          <w:rFonts w:ascii="Calibri"/>
          <w:color w:val="231F20"/>
          <w:w w:val="120"/>
          <w:sz w:val="13"/>
        </w:rPr>
        <w:t>Bergeron SN and Fry WE, 1992. Clonal diversity and</w:t>
      </w:r>
      <w:r>
        <w:rPr>
          <w:rFonts w:ascii="Calibri"/>
          <w:color w:val="231F20"/>
          <w:spacing w:val="-13"/>
          <w:w w:val="120"/>
          <w:sz w:val="13"/>
        </w:rPr>
        <w:t> </w:t>
      </w:r>
      <w:r>
        <w:rPr>
          <w:rFonts w:ascii="Calibri"/>
          <w:color w:val="231F20"/>
          <w:w w:val="120"/>
          <w:sz w:val="13"/>
        </w:rPr>
        <w:t>ge- </w:t>
      </w:r>
      <w:r>
        <w:rPr>
          <w:rFonts w:ascii="Calibri"/>
          <w:color w:val="231F20"/>
          <w:w w:val="110"/>
          <w:sz w:val="13"/>
        </w:rPr>
        <w:t>netic differentiation of </w:t>
      </w:r>
      <w:r>
        <w:rPr>
          <w:rFonts w:ascii="Trebuchet MS"/>
          <w:i/>
          <w:color w:val="231F20"/>
          <w:w w:val="110"/>
          <w:sz w:val="13"/>
        </w:rPr>
        <w:t>Phytophthora infestans </w:t>
      </w:r>
      <w:r>
        <w:rPr>
          <w:rFonts w:ascii="Calibri"/>
          <w:color w:val="231F20"/>
          <w:w w:val="120"/>
          <w:sz w:val="13"/>
        </w:rPr>
        <w:t>populations in northern and central Mexico. </w:t>
      </w:r>
      <w:r>
        <w:rPr>
          <w:rFonts w:ascii="Calibri"/>
          <w:color w:val="231F20"/>
          <w:w w:val="115"/>
          <w:sz w:val="13"/>
        </w:rPr>
        <w:t>Phytopathology. 82:</w:t>
      </w:r>
      <w:r>
        <w:rPr>
          <w:rFonts w:ascii="Calibri"/>
          <w:color w:val="231F20"/>
          <w:spacing w:val="11"/>
          <w:w w:val="115"/>
          <w:sz w:val="13"/>
        </w:rPr>
        <w:t> </w:t>
      </w:r>
      <w:r>
        <w:rPr>
          <w:rFonts w:ascii="Calibri"/>
          <w:color w:val="231F20"/>
          <w:w w:val="115"/>
          <w:sz w:val="13"/>
        </w:rPr>
        <w:t>955-961.</w:t>
      </w:r>
    </w:p>
    <w:p>
      <w:pPr>
        <w:spacing w:before="87"/>
        <w:ind w:left="377" w:right="1522" w:hanging="169"/>
        <w:jc w:val="both"/>
        <w:rPr>
          <w:rFonts w:ascii="Calibri"/>
          <w:sz w:val="13"/>
        </w:rPr>
      </w:pPr>
      <w:r>
        <w:rPr>
          <w:rFonts w:ascii="Calibri"/>
          <w:color w:val="231F20"/>
          <w:w w:val="120"/>
          <w:sz w:val="13"/>
        </w:rPr>
        <w:t>Groves</w:t>
      </w:r>
      <w:r>
        <w:rPr>
          <w:rFonts w:ascii="Calibri"/>
          <w:color w:val="231F20"/>
          <w:spacing w:val="-19"/>
          <w:w w:val="120"/>
          <w:sz w:val="13"/>
        </w:rPr>
        <w:t> </w:t>
      </w:r>
      <w:r>
        <w:rPr>
          <w:rFonts w:ascii="Calibri"/>
          <w:color w:val="231F20"/>
          <w:w w:val="120"/>
          <w:sz w:val="13"/>
        </w:rPr>
        <w:t>CT</w:t>
      </w:r>
      <w:r>
        <w:rPr>
          <w:rFonts w:ascii="Calibri"/>
          <w:color w:val="231F20"/>
          <w:spacing w:val="-19"/>
          <w:w w:val="120"/>
          <w:sz w:val="13"/>
        </w:rPr>
        <w:t> </w:t>
      </w:r>
      <w:r>
        <w:rPr>
          <w:rFonts w:ascii="Calibri"/>
          <w:color w:val="231F20"/>
          <w:w w:val="120"/>
          <w:sz w:val="13"/>
        </w:rPr>
        <w:t>and</w:t>
      </w:r>
      <w:r>
        <w:rPr>
          <w:rFonts w:ascii="Calibri"/>
          <w:color w:val="231F20"/>
          <w:spacing w:val="-19"/>
          <w:w w:val="120"/>
          <w:sz w:val="13"/>
        </w:rPr>
        <w:t> </w:t>
      </w:r>
      <w:r>
        <w:rPr>
          <w:rFonts w:ascii="Calibri"/>
          <w:color w:val="231F20"/>
          <w:w w:val="120"/>
          <w:sz w:val="13"/>
        </w:rPr>
        <w:t>Ristaino</w:t>
      </w:r>
      <w:r>
        <w:rPr>
          <w:rFonts w:ascii="Calibri"/>
          <w:color w:val="231F20"/>
          <w:spacing w:val="-19"/>
          <w:w w:val="120"/>
          <w:sz w:val="13"/>
        </w:rPr>
        <w:t> </w:t>
      </w:r>
      <w:r>
        <w:rPr>
          <w:rFonts w:ascii="Calibri"/>
          <w:color w:val="231F20"/>
          <w:w w:val="120"/>
          <w:sz w:val="13"/>
        </w:rPr>
        <w:t>JB,</w:t>
      </w:r>
      <w:r>
        <w:rPr>
          <w:rFonts w:ascii="Calibri"/>
          <w:color w:val="231F20"/>
          <w:spacing w:val="-19"/>
          <w:w w:val="120"/>
          <w:sz w:val="13"/>
        </w:rPr>
        <w:t> </w:t>
      </w:r>
      <w:r>
        <w:rPr>
          <w:rFonts w:ascii="Calibri"/>
          <w:color w:val="231F20"/>
          <w:w w:val="120"/>
          <w:sz w:val="13"/>
        </w:rPr>
        <w:t>2000.</w:t>
      </w:r>
      <w:r>
        <w:rPr>
          <w:rFonts w:ascii="Calibri"/>
          <w:color w:val="231F20"/>
          <w:spacing w:val="-19"/>
          <w:w w:val="120"/>
          <w:sz w:val="13"/>
        </w:rPr>
        <w:t> </w:t>
      </w:r>
      <w:r>
        <w:rPr>
          <w:rFonts w:ascii="Calibri"/>
          <w:color w:val="231F20"/>
          <w:w w:val="120"/>
          <w:sz w:val="13"/>
        </w:rPr>
        <w:t>Commercial</w:t>
      </w:r>
      <w:r>
        <w:rPr>
          <w:rFonts w:ascii="Calibri"/>
          <w:color w:val="231F20"/>
          <w:spacing w:val="-19"/>
          <w:w w:val="120"/>
          <w:sz w:val="13"/>
        </w:rPr>
        <w:t> </w:t>
      </w:r>
      <w:r>
        <w:rPr>
          <w:rFonts w:ascii="Calibri"/>
          <w:color w:val="231F20"/>
          <w:w w:val="120"/>
          <w:sz w:val="13"/>
        </w:rPr>
        <w:t>fun- gicide</w:t>
      </w:r>
      <w:r>
        <w:rPr>
          <w:rFonts w:ascii="Calibri"/>
          <w:color w:val="231F20"/>
          <w:spacing w:val="-23"/>
          <w:w w:val="120"/>
          <w:sz w:val="13"/>
        </w:rPr>
        <w:t> </w:t>
      </w:r>
      <w:r>
        <w:rPr>
          <w:rFonts w:ascii="Calibri"/>
          <w:color w:val="231F20"/>
          <w:w w:val="120"/>
          <w:sz w:val="13"/>
        </w:rPr>
        <w:t>formulations</w:t>
      </w:r>
      <w:r>
        <w:rPr>
          <w:rFonts w:ascii="Calibri"/>
          <w:color w:val="231F20"/>
          <w:spacing w:val="-23"/>
          <w:w w:val="120"/>
          <w:sz w:val="13"/>
        </w:rPr>
        <w:t> </w:t>
      </w:r>
      <w:r>
        <w:rPr>
          <w:rFonts w:ascii="Calibri"/>
          <w:color w:val="231F20"/>
          <w:w w:val="120"/>
          <w:sz w:val="13"/>
        </w:rPr>
        <w:t>induce</w:t>
      </w:r>
      <w:r>
        <w:rPr>
          <w:rFonts w:ascii="Calibri"/>
          <w:color w:val="231F20"/>
          <w:spacing w:val="-23"/>
          <w:w w:val="120"/>
          <w:sz w:val="13"/>
        </w:rPr>
        <w:t> </w:t>
      </w:r>
      <w:r>
        <w:rPr>
          <w:rFonts w:ascii="Calibri"/>
          <w:color w:val="231F20"/>
          <w:w w:val="120"/>
          <w:sz w:val="13"/>
        </w:rPr>
        <w:t>in</w:t>
      </w:r>
      <w:r>
        <w:rPr>
          <w:rFonts w:ascii="Calibri"/>
          <w:color w:val="231F20"/>
          <w:spacing w:val="-23"/>
          <w:w w:val="120"/>
          <w:sz w:val="13"/>
        </w:rPr>
        <w:t> </w:t>
      </w:r>
      <w:r>
        <w:rPr>
          <w:rFonts w:ascii="Calibri"/>
          <w:color w:val="231F20"/>
          <w:w w:val="120"/>
          <w:sz w:val="13"/>
        </w:rPr>
        <w:t>vitro</w:t>
      </w:r>
      <w:r>
        <w:rPr>
          <w:rFonts w:ascii="Calibri"/>
          <w:color w:val="231F20"/>
          <w:spacing w:val="-23"/>
          <w:w w:val="120"/>
          <w:sz w:val="13"/>
        </w:rPr>
        <w:t> </w:t>
      </w:r>
      <w:r>
        <w:rPr>
          <w:rFonts w:ascii="Calibri"/>
          <w:color w:val="231F20"/>
          <w:w w:val="120"/>
          <w:sz w:val="13"/>
        </w:rPr>
        <w:t>oospore</w:t>
      </w:r>
      <w:r>
        <w:rPr>
          <w:rFonts w:ascii="Calibri"/>
          <w:color w:val="231F20"/>
          <w:spacing w:val="-23"/>
          <w:w w:val="120"/>
          <w:sz w:val="13"/>
        </w:rPr>
        <w:t> </w:t>
      </w:r>
      <w:r>
        <w:rPr>
          <w:rFonts w:ascii="Calibri"/>
          <w:color w:val="231F20"/>
          <w:w w:val="120"/>
          <w:sz w:val="13"/>
        </w:rPr>
        <w:t>for- mation</w:t>
      </w:r>
      <w:r>
        <w:rPr>
          <w:rFonts w:ascii="Calibri"/>
          <w:color w:val="231F20"/>
          <w:spacing w:val="-13"/>
          <w:w w:val="120"/>
          <w:sz w:val="13"/>
        </w:rPr>
        <w:t> </w:t>
      </w:r>
      <w:r>
        <w:rPr>
          <w:rFonts w:ascii="Calibri"/>
          <w:color w:val="231F20"/>
          <w:w w:val="120"/>
          <w:sz w:val="13"/>
        </w:rPr>
        <w:t>and</w:t>
      </w:r>
      <w:r>
        <w:rPr>
          <w:rFonts w:ascii="Calibri"/>
          <w:color w:val="231F20"/>
          <w:spacing w:val="-13"/>
          <w:w w:val="120"/>
          <w:sz w:val="13"/>
        </w:rPr>
        <w:t> </w:t>
      </w:r>
      <w:r>
        <w:rPr>
          <w:rFonts w:ascii="Calibri"/>
          <w:color w:val="231F20"/>
          <w:w w:val="120"/>
          <w:sz w:val="13"/>
        </w:rPr>
        <w:t>phenotypic</w:t>
      </w:r>
      <w:r>
        <w:rPr>
          <w:rFonts w:ascii="Calibri"/>
          <w:color w:val="231F20"/>
          <w:spacing w:val="-13"/>
          <w:w w:val="120"/>
          <w:sz w:val="13"/>
        </w:rPr>
        <w:t> </w:t>
      </w:r>
      <w:r>
        <w:rPr>
          <w:rFonts w:ascii="Calibri"/>
          <w:color w:val="231F20"/>
          <w:w w:val="120"/>
          <w:sz w:val="13"/>
        </w:rPr>
        <w:t>change</w:t>
      </w:r>
      <w:r>
        <w:rPr>
          <w:rFonts w:ascii="Calibri"/>
          <w:color w:val="231F20"/>
          <w:spacing w:val="-13"/>
          <w:w w:val="120"/>
          <w:sz w:val="13"/>
        </w:rPr>
        <w:t> </w:t>
      </w:r>
      <w:r>
        <w:rPr>
          <w:rFonts w:ascii="Calibri"/>
          <w:color w:val="231F20"/>
          <w:w w:val="120"/>
          <w:sz w:val="13"/>
        </w:rPr>
        <w:t>in</w:t>
      </w:r>
      <w:r>
        <w:rPr>
          <w:rFonts w:ascii="Calibri"/>
          <w:color w:val="231F20"/>
          <w:spacing w:val="-13"/>
          <w:w w:val="120"/>
          <w:sz w:val="13"/>
        </w:rPr>
        <w:t> </w:t>
      </w:r>
      <w:r>
        <w:rPr>
          <w:rFonts w:ascii="Calibri"/>
          <w:color w:val="231F20"/>
          <w:w w:val="120"/>
          <w:sz w:val="13"/>
        </w:rPr>
        <w:t>mating</w:t>
      </w:r>
      <w:r>
        <w:rPr>
          <w:rFonts w:ascii="Calibri"/>
          <w:color w:val="231F20"/>
          <w:spacing w:val="-13"/>
          <w:w w:val="120"/>
          <w:sz w:val="13"/>
        </w:rPr>
        <w:t> </w:t>
      </w:r>
      <w:r>
        <w:rPr>
          <w:rFonts w:ascii="Calibri"/>
          <w:color w:val="231F20"/>
          <w:w w:val="120"/>
          <w:sz w:val="13"/>
        </w:rPr>
        <w:t>type </w:t>
      </w:r>
      <w:r>
        <w:rPr>
          <w:rFonts w:ascii="Calibri"/>
          <w:color w:val="231F20"/>
          <w:w w:val="110"/>
          <w:sz w:val="13"/>
        </w:rPr>
        <w:t>in </w:t>
      </w:r>
      <w:r>
        <w:rPr>
          <w:rFonts w:ascii="Trebuchet MS"/>
          <w:i/>
          <w:color w:val="231F20"/>
          <w:w w:val="110"/>
          <w:sz w:val="13"/>
        </w:rPr>
        <w:t>Phytophthora infestans</w:t>
      </w:r>
      <w:r>
        <w:rPr>
          <w:rFonts w:ascii="Calibri"/>
          <w:color w:val="231F20"/>
          <w:w w:val="110"/>
          <w:sz w:val="13"/>
        </w:rPr>
        <w:t>. Phytopathology 90: </w:t>
      </w:r>
      <w:r>
        <w:rPr>
          <w:rFonts w:ascii="Calibri"/>
          <w:color w:val="231F20"/>
          <w:w w:val="120"/>
          <w:sz w:val="13"/>
        </w:rPr>
        <w:t>1201-1208.</w:t>
      </w:r>
    </w:p>
    <w:p>
      <w:pPr>
        <w:spacing w:before="87"/>
        <w:ind w:left="377" w:right="1521" w:hanging="169"/>
        <w:jc w:val="both"/>
        <w:rPr>
          <w:rFonts w:ascii="Calibri" w:hAnsi="Calibri"/>
          <w:sz w:val="13"/>
        </w:rPr>
      </w:pPr>
      <w:r>
        <w:rPr>
          <w:rFonts w:ascii="Calibri" w:hAnsi="Calibri"/>
          <w:color w:val="231F20"/>
          <w:w w:val="120"/>
          <w:sz w:val="13"/>
        </w:rPr>
        <w:t>Grünwald NJ, Flier WG, Sturbaum AK, Garay-Se- rrano</w:t>
      </w:r>
      <w:r>
        <w:rPr>
          <w:rFonts w:ascii="Calibri" w:hAnsi="Calibri"/>
          <w:color w:val="231F20"/>
          <w:spacing w:val="-14"/>
          <w:w w:val="120"/>
          <w:sz w:val="13"/>
        </w:rPr>
        <w:t> </w:t>
      </w:r>
      <w:r>
        <w:rPr>
          <w:rFonts w:ascii="Calibri" w:hAnsi="Calibri"/>
          <w:color w:val="231F20"/>
          <w:w w:val="120"/>
          <w:sz w:val="13"/>
        </w:rPr>
        <w:t>E,</w:t>
      </w:r>
      <w:r>
        <w:rPr>
          <w:rFonts w:ascii="Calibri" w:hAnsi="Calibri"/>
          <w:color w:val="231F20"/>
          <w:spacing w:val="-14"/>
          <w:w w:val="120"/>
          <w:sz w:val="13"/>
        </w:rPr>
        <w:t> </w:t>
      </w:r>
      <w:r>
        <w:rPr>
          <w:rFonts w:ascii="Calibri" w:hAnsi="Calibri"/>
          <w:color w:val="231F20"/>
          <w:w w:val="120"/>
          <w:sz w:val="13"/>
        </w:rPr>
        <w:t>van</w:t>
      </w:r>
      <w:r>
        <w:rPr>
          <w:rFonts w:ascii="Calibri" w:hAnsi="Calibri"/>
          <w:color w:val="231F20"/>
          <w:spacing w:val="-14"/>
          <w:w w:val="120"/>
          <w:sz w:val="13"/>
        </w:rPr>
        <w:t> </w:t>
      </w:r>
      <w:r>
        <w:rPr>
          <w:rFonts w:ascii="Calibri" w:hAnsi="Calibri"/>
          <w:color w:val="231F20"/>
          <w:w w:val="120"/>
          <w:sz w:val="13"/>
        </w:rPr>
        <w:t>den</w:t>
      </w:r>
      <w:r>
        <w:rPr>
          <w:rFonts w:ascii="Calibri" w:hAnsi="Calibri"/>
          <w:color w:val="231F20"/>
          <w:spacing w:val="-14"/>
          <w:w w:val="120"/>
          <w:sz w:val="13"/>
        </w:rPr>
        <w:t> </w:t>
      </w:r>
      <w:r>
        <w:rPr>
          <w:rFonts w:ascii="Calibri" w:hAnsi="Calibri"/>
          <w:color w:val="231F20"/>
          <w:w w:val="120"/>
          <w:sz w:val="13"/>
        </w:rPr>
        <w:t>Bosch</w:t>
      </w:r>
      <w:r>
        <w:rPr>
          <w:rFonts w:ascii="Calibri" w:hAnsi="Calibri"/>
          <w:color w:val="231F20"/>
          <w:spacing w:val="-14"/>
          <w:w w:val="120"/>
          <w:sz w:val="13"/>
        </w:rPr>
        <w:t> </w:t>
      </w:r>
      <w:r>
        <w:rPr>
          <w:rFonts w:ascii="Calibri" w:hAnsi="Calibri"/>
          <w:color w:val="231F20"/>
          <w:w w:val="120"/>
          <w:sz w:val="13"/>
        </w:rPr>
        <w:t>TBM,</w:t>
      </w:r>
      <w:r>
        <w:rPr>
          <w:rFonts w:ascii="Calibri" w:hAnsi="Calibri"/>
          <w:color w:val="231F20"/>
          <w:spacing w:val="-14"/>
          <w:w w:val="120"/>
          <w:sz w:val="13"/>
        </w:rPr>
        <w:t> </w:t>
      </w:r>
      <w:r>
        <w:rPr>
          <w:rFonts w:ascii="Calibri" w:hAnsi="Calibri"/>
          <w:color w:val="231F20"/>
          <w:w w:val="120"/>
          <w:sz w:val="13"/>
        </w:rPr>
        <w:t>Smart</w:t>
      </w:r>
      <w:r>
        <w:rPr>
          <w:rFonts w:ascii="Calibri" w:hAnsi="Calibri"/>
          <w:color w:val="231F20"/>
          <w:spacing w:val="-14"/>
          <w:w w:val="120"/>
          <w:sz w:val="13"/>
        </w:rPr>
        <w:t> </w:t>
      </w:r>
      <w:r>
        <w:rPr>
          <w:rFonts w:ascii="Calibri" w:hAnsi="Calibri"/>
          <w:color w:val="231F20"/>
          <w:w w:val="120"/>
          <w:sz w:val="13"/>
        </w:rPr>
        <w:t>CD,</w:t>
      </w:r>
      <w:r>
        <w:rPr>
          <w:rFonts w:ascii="Calibri" w:hAnsi="Calibri"/>
          <w:color w:val="231F20"/>
          <w:spacing w:val="-14"/>
          <w:w w:val="120"/>
          <w:sz w:val="13"/>
        </w:rPr>
        <w:t> </w:t>
      </w:r>
      <w:r>
        <w:rPr>
          <w:rFonts w:ascii="Calibri" w:hAnsi="Calibri"/>
          <w:color w:val="231F20"/>
          <w:w w:val="120"/>
          <w:sz w:val="13"/>
        </w:rPr>
        <w:t>Matus- zak</w:t>
      </w:r>
      <w:r>
        <w:rPr>
          <w:rFonts w:ascii="Calibri" w:hAnsi="Calibri"/>
          <w:color w:val="231F20"/>
          <w:spacing w:val="-8"/>
          <w:w w:val="120"/>
          <w:sz w:val="13"/>
        </w:rPr>
        <w:t> </w:t>
      </w:r>
      <w:r>
        <w:rPr>
          <w:rFonts w:ascii="Calibri" w:hAnsi="Calibri"/>
          <w:color w:val="231F20"/>
          <w:w w:val="120"/>
          <w:sz w:val="13"/>
        </w:rPr>
        <w:t>JM,</w:t>
      </w:r>
      <w:r>
        <w:rPr>
          <w:rFonts w:ascii="Calibri" w:hAnsi="Calibri"/>
          <w:color w:val="231F20"/>
          <w:spacing w:val="-8"/>
          <w:w w:val="120"/>
          <w:sz w:val="13"/>
        </w:rPr>
        <w:t> </w:t>
      </w:r>
      <w:r>
        <w:rPr>
          <w:rFonts w:ascii="Calibri" w:hAnsi="Calibri"/>
          <w:color w:val="231F20"/>
          <w:w w:val="120"/>
          <w:sz w:val="13"/>
        </w:rPr>
        <w:t>Lozoya-Saldaña</w:t>
      </w:r>
      <w:r>
        <w:rPr>
          <w:rFonts w:ascii="Calibri" w:hAnsi="Calibri"/>
          <w:color w:val="231F20"/>
          <w:spacing w:val="-8"/>
          <w:w w:val="120"/>
          <w:sz w:val="13"/>
        </w:rPr>
        <w:t> </w:t>
      </w:r>
      <w:r>
        <w:rPr>
          <w:rFonts w:ascii="Calibri" w:hAnsi="Calibri"/>
          <w:color w:val="231F20"/>
          <w:w w:val="120"/>
          <w:sz w:val="13"/>
        </w:rPr>
        <w:t>H,</w:t>
      </w:r>
      <w:r>
        <w:rPr>
          <w:rFonts w:ascii="Calibri" w:hAnsi="Calibri"/>
          <w:color w:val="231F20"/>
          <w:spacing w:val="-8"/>
          <w:w w:val="120"/>
          <w:sz w:val="13"/>
        </w:rPr>
        <w:t> </w:t>
      </w:r>
      <w:r>
        <w:rPr>
          <w:rFonts w:ascii="Calibri" w:hAnsi="Calibri"/>
          <w:color w:val="231F20"/>
          <w:w w:val="120"/>
          <w:sz w:val="13"/>
        </w:rPr>
        <w:t>Turkensteen</w:t>
      </w:r>
      <w:r>
        <w:rPr>
          <w:rFonts w:ascii="Calibri" w:hAnsi="Calibri"/>
          <w:color w:val="231F20"/>
          <w:spacing w:val="-8"/>
          <w:w w:val="120"/>
          <w:sz w:val="13"/>
        </w:rPr>
        <w:t> </w:t>
      </w:r>
      <w:r>
        <w:rPr>
          <w:rFonts w:ascii="Calibri" w:hAnsi="Calibri"/>
          <w:color w:val="231F20"/>
          <w:w w:val="120"/>
          <w:sz w:val="13"/>
        </w:rPr>
        <w:t>LJ</w:t>
      </w:r>
      <w:r>
        <w:rPr>
          <w:rFonts w:ascii="Calibri" w:hAnsi="Calibri"/>
          <w:color w:val="231F20"/>
          <w:spacing w:val="-8"/>
          <w:w w:val="120"/>
          <w:sz w:val="13"/>
        </w:rPr>
        <w:t> </w:t>
      </w:r>
      <w:r>
        <w:rPr>
          <w:rFonts w:ascii="Calibri" w:hAnsi="Calibri"/>
          <w:color w:val="231F20"/>
          <w:w w:val="120"/>
          <w:sz w:val="13"/>
        </w:rPr>
        <w:t>and </w:t>
      </w:r>
      <w:r>
        <w:rPr>
          <w:rFonts w:ascii="Calibri" w:hAnsi="Calibri"/>
          <w:color w:val="231F20"/>
          <w:w w:val="115"/>
          <w:sz w:val="13"/>
        </w:rPr>
        <w:t>Fry</w:t>
      </w:r>
      <w:r>
        <w:rPr>
          <w:rFonts w:ascii="Calibri" w:hAnsi="Calibri"/>
          <w:color w:val="231F20"/>
          <w:spacing w:val="-12"/>
          <w:w w:val="115"/>
          <w:sz w:val="13"/>
        </w:rPr>
        <w:t> </w:t>
      </w:r>
      <w:r>
        <w:rPr>
          <w:rFonts w:ascii="Calibri" w:hAnsi="Calibri"/>
          <w:color w:val="231F20"/>
          <w:w w:val="115"/>
          <w:sz w:val="13"/>
        </w:rPr>
        <w:t>WE,</w:t>
      </w:r>
      <w:r>
        <w:rPr>
          <w:rFonts w:ascii="Calibri" w:hAnsi="Calibri"/>
          <w:color w:val="231F20"/>
          <w:spacing w:val="-12"/>
          <w:w w:val="115"/>
          <w:sz w:val="13"/>
        </w:rPr>
        <w:t> </w:t>
      </w:r>
      <w:r>
        <w:rPr>
          <w:rFonts w:ascii="Calibri" w:hAnsi="Calibri"/>
          <w:color w:val="231F20"/>
          <w:w w:val="115"/>
          <w:sz w:val="13"/>
        </w:rPr>
        <w:t>2001.</w:t>
      </w:r>
      <w:r>
        <w:rPr>
          <w:rFonts w:ascii="Calibri" w:hAnsi="Calibri"/>
          <w:color w:val="231F20"/>
          <w:spacing w:val="-12"/>
          <w:w w:val="115"/>
          <w:sz w:val="13"/>
        </w:rPr>
        <w:t> </w:t>
      </w:r>
      <w:r>
        <w:rPr>
          <w:rFonts w:ascii="Calibri" w:hAnsi="Calibri"/>
          <w:color w:val="231F20"/>
          <w:w w:val="115"/>
          <w:sz w:val="13"/>
        </w:rPr>
        <w:t>Population</w:t>
      </w:r>
      <w:r>
        <w:rPr>
          <w:rFonts w:ascii="Calibri" w:hAnsi="Calibri"/>
          <w:color w:val="231F20"/>
          <w:spacing w:val="-12"/>
          <w:w w:val="115"/>
          <w:sz w:val="13"/>
        </w:rPr>
        <w:t> </w:t>
      </w:r>
      <w:r>
        <w:rPr>
          <w:rFonts w:ascii="Calibri" w:hAnsi="Calibri"/>
          <w:color w:val="231F20"/>
          <w:w w:val="115"/>
          <w:sz w:val="13"/>
        </w:rPr>
        <w:t>structure</w:t>
      </w:r>
      <w:r>
        <w:rPr>
          <w:rFonts w:ascii="Calibri" w:hAnsi="Calibri"/>
          <w:color w:val="231F20"/>
          <w:spacing w:val="-12"/>
          <w:w w:val="115"/>
          <w:sz w:val="13"/>
        </w:rPr>
        <w:t> </w:t>
      </w:r>
      <w:r>
        <w:rPr>
          <w:rFonts w:ascii="Calibri" w:hAnsi="Calibri"/>
          <w:color w:val="231F20"/>
          <w:w w:val="115"/>
          <w:sz w:val="13"/>
        </w:rPr>
        <w:t>of</w:t>
      </w:r>
      <w:r>
        <w:rPr>
          <w:rFonts w:ascii="Calibri" w:hAnsi="Calibri"/>
          <w:color w:val="231F20"/>
          <w:spacing w:val="-12"/>
          <w:w w:val="115"/>
          <w:sz w:val="13"/>
        </w:rPr>
        <w:t> </w:t>
      </w:r>
      <w:r>
        <w:rPr>
          <w:rFonts w:ascii="Trebuchet MS" w:hAnsi="Trebuchet MS"/>
          <w:i/>
          <w:color w:val="231F20"/>
          <w:w w:val="115"/>
          <w:sz w:val="13"/>
        </w:rPr>
        <w:t>Phytoph- </w:t>
      </w:r>
      <w:r>
        <w:rPr>
          <w:rFonts w:ascii="Trebuchet MS" w:hAnsi="Trebuchet MS"/>
          <w:i/>
          <w:color w:val="231F20"/>
          <w:w w:val="120"/>
          <w:sz w:val="13"/>
        </w:rPr>
        <w:t>thora</w:t>
      </w:r>
      <w:r>
        <w:rPr>
          <w:rFonts w:ascii="Trebuchet MS" w:hAnsi="Trebuchet MS"/>
          <w:i/>
          <w:color w:val="231F20"/>
          <w:spacing w:val="-19"/>
          <w:w w:val="120"/>
          <w:sz w:val="13"/>
        </w:rPr>
        <w:t> </w:t>
      </w:r>
      <w:r>
        <w:rPr>
          <w:rFonts w:ascii="Trebuchet MS" w:hAnsi="Trebuchet MS"/>
          <w:i/>
          <w:color w:val="231F20"/>
          <w:w w:val="120"/>
          <w:sz w:val="13"/>
        </w:rPr>
        <w:t>infestans</w:t>
      </w:r>
      <w:r>
        <w:rPr>
          <w:rFonts w:ascii="Trebuchet MS" w:hAnsi="Trebuchet MS"/>
          <w:i/>
          <w:color w:val="231F20"/>
          <w:spacing w:val="-19"/>
          <w:w w:val="120"/>
          <w:sz w:val="13"/>
        </w:rPr>
        <w:t> </w:t>
      </w:r>
      <w:r>
        <w:rPr>
          <w:rFonts w:ascii="Calibri" w:hAnsi="Calibri"/>
          <w:color w:val="231F20"/>
          <w:w w:val="120"/>
          <w:sz w:val="13"/>
        </w:rPr>
        <w:t>in</w:t>
      </w:r>
      <w:r>
        <w:rPr>
          <w:rFonts w:ascii="Calibri" w:hAnsi="Calibri"/>
          <w:color w:val="231F20"/>
          <w:spacing w:val="-7"/>
          <w:w w:val="120"/>
          <w:sz w:val="13"/>
        </w:rPr>
        <w:t> </w:t>
      </w:r>
      <w:r>
        <w:rPr>
          <w:rFonts w:ascii="Calibri" w:hAnsi="Calibri"/>
          <w:color w:val="231F20"/>
          <w:w w:val="120"/>
          <w:sz w:val="13"/>
        </w:rPr>
        <w:t>the</w:t>
      </w:r>
      <w:r>
        <w:rPr>
          <w:rFonts w:ascii="Calibri" w:hAnsi="Calibri"/>
          <w:color w:val="231F20"/>
          <w:spacing w:val="-7"/>
          <w:w w:val="120"/>
          <w:sz w:val="13"/>
        </w:rPr>
        <w:t> </w:t>
      </w:r>
      <w:r>
        <w:rPr>
          <w:rFonts w:ascii="Calibri" w:hAnsi="Calibri"/>
          <w:color w:val="231F20"/>
          <w:spacing w:val="-3"/>
          <w:w w:val="120"/>
          <w:sz w:val="13"/>
        </w:rPr>
        <w:t>Toluca</w:t>
      </w:r>
      <w:r>
        <w:rPr>
          <w:rFonts w:ascii="Calibri" w:hAnsi="Calibri"/>
          <w:color w:val="231F20"/>
          <w:spacing w:val="-7"/>
          <w:w w:val="120"/>
          <w:sz w:val="13"/>
        </w:rPr>
        <w:t> </w:t>
      </w:r>
      <w:r>
        <w:rPr>
          <w:rFonts w:ascii="Calibri" w:hAnsi="Calibri"/>
          <w:color w:val="231F20"/>
          <w:w w:val="120"/>
          <w:sz w:val="13"/>
        </w:rPr>
        <w:t>valley</w:t>
      </w:r>
      <w:r>
        <w:rPr>
          <w:rFonts w:ascii="Calibri" w:hAnsi="Calibri"/>
          <w:color w:val="231F20"/>
          <w:spacing w:val="-7"/>
          <w:w w:val="120"/>
          <w:sz w:val="13"/>
        </w:rPr>
        <w:t> </w:t>
      </w:r>
      <w:r>
        <w:rPr>
          <w:rFonts w:ascii="Calibri" w:hAnsi="Calibri"/>
          <w:color w:val="231F20"/>
          <w:w w:val="120"/>
          <w:sz w:val="13"/>
        </w:rPr>
        <w:t>region</w:t>
      </w:r>
      <w:r>
        <w:rPr>
          <w:rFonts w:ascii="Calibri" w:hAnsi="Calibri"/>
          <w:color w:val="231F20"/>
          <w:spacing w:val="-7"/>
          <w:w w:val="120"/>
          <w:sz w:val="13"/>
        </w:rPr>
        <w:t> </w:t>
      </w:r>
      <w:r>
        <w:rPr>
          <w:rFonts w:ascii="Calibri" w:hAnsi="Calibri"/>
          <w:color w:val="231F20"/>
          <w:w w:val="120"/>
          <w:sz w:val="13"/>
        </w:rPr>
        <w:t>of central</w:t>
      </w:r>
      <w:r>
        <w:rPr>
          <w:rFonts w:ascii="Calibri" w:hAnsi="Calibri"/>
          <w:color w:val="231F20"/>
          <w:spacing w:val="-21"/>
          <w:w w:val="120"/>
          <w:sz w:val="13"/>
        </w:rPr>
        <w:t> </w:t>
      </w:r>
      <w:r>
        <w:rPr>
          <w:rFonts w:ascii="Calibri" w:hAnsi="Calibri"/>
          <w:color w:val="231F20"/>
          <w:w w:val="120"/>
          <w:sz w:val="13"/>
        </w:rPr>
        <w:t>Mexico.</w:t>
      </w:r>
      <w:r>
        <w:rPr>
          <w:rFonts w:ascii="Calibri" w:hAnsi="Calibri"/>
          <w:color w:val="231F20"/>
          <w:spacing w:val="-21"/>
          <w:w w:val="120"/>
          <w:sz w:val="13"/>
        </w:rPr>
        <w:t> </w:t>
      </w:r>
      <w:r>
        <w:rPr>
          <w:rFonts w:ascii="Calibri" w:hAnsi="Calibri"/>
          <w:color w:val="231F20"/>
          <w:w w:val="120"/>
          <w:sz w:val="13"/>
        </w:rPr>
        <w:t>Phytopathology</w:t>
      </w:r>
      <w:r>
        <w:rPr>
          <w:rFonts w:ascii="Calibri" w:hAnsi="Calibri"/>
          <w:color w:val="231F20"/>
          <w:spacing w:val="-21"/>
          <w:w w:val="120"/>
          <w:sz w:val="13"/>
        </w:rPr>
        <w:t> </w:t>
      </w:r>
      <w:r>
        <w:rPr>
          <w:rFonts w:ascii="Calibri" w:hAnsi="Calibri"/>
          <w:color w:val="231F20"/>
          <w:w w:val="120"/>
          <w:sz w:val="13"/>
        </w:rPr>
        <w:t>91:</w:t>
      </w:r>
      <w:r>
        <w:rPr>
          <w:rFonts w:ascii="Calibri" w:hAnsi="Calibri"/>
          <w:color w:val="231F20"/>
          <w:spacing w:val="-21"/>
          <w:w w:val="120"/>
          <w:sz w:val="13"/>
        </w:rPr>
        <w:t> </w:t>
      </w:r>
      <w:r>
        <w:rPr>
          <w:rFonts w:ascii="Calibri" w:hAnsi="Calibri"/>
          <w:color w:val="231F20"/>
          <w:w w:val="120"/>
          <w:sz w:val="13"/>
        </w:rPr>
        <w:t>882-890.</w:t>
      </w:r>
    </w:p>
    <w:p>
      <w:pPr>
        <w:spacing w:line="247" w:lineRule="auto" w:before="93"/>
        <w:ind w:left="377" w:right="1518" w:hanging="169"/>
        <w:jc w:val="both"/>
        <w:rPr>
          <w:rFonts w:ascii="Calibri"/>
          <w:sz w:val="13"/>
        </w:rPr>
      </w:pPr>
      <w:r>
        <w:rPr>
          <w:rFonts w:ascii="Calibri"/>
          <w:color w:val="231F20"/>
          <w:w w:val="115"/>
          <w:sz w:val="13"/>
        </w:rPr>
        <w:t>Grunwald NJ, Flier WG, 2005. The biology of </w:t>
      </w:r>
      <w:r>
        <w:rPr>
          <w:rFonts w:ascii="Trebuchet MS"/>
          <w:i/>
          <w:color w:val="231F20"/>
          <w:w w:val="115"/>
          <w:sz w:val="13"/>
        </w:rPr>
        <w:t>Phytophthora</w:t>
      </w:r>
      <w:r>
        <w:rPr>
          <w:rFonts w:ascii="Trebuchet MS"/>
          <w:i/>
          <w:color w:val="231F20"/>
          <w:spacing w:val="-17"/>
          <w:w w:val="115"/>
          <w:sz w:val="13"/>
        </w:rPr>
        <w:t> </w:t>
      </w:r>
      <w:r>
        <w:rPr>
          <w:rFonts w:ascii="Trebuchet MS"/>
          <w:i/>
          <w:color w:val="231F20"/>
          <w:w w:val="115"/>
          <w:sz w:val="13"/>
        </w:rPr>
        <w:t>infestans</w:t>
      </w:r>
      <w:r>
        <w:rPr>
          <w:rFonts w:ascii="Trebuchet MS"/>
          <w:i/>
          <w:color w:val="231F20"/>
          <w:spacing w:val="-17"/>
          <w:w w:val="115"/>
          <w:sz w:val="13"/>
        </w:rPr>
        <w:t> </w:t>
      </w:r>
      <w:r>
        <w:rPr>
          <w:rFonts w:ascii="Calibri"/>
          <w:color w:val="231F20"/>
          <w:w w:val="115"/>
          <w:sz w:val="13"/>
        </w:rPr>
        <w:t>at</w:t>
      </w:r>
      <w:r>
        <w:rPr>
          <w:rFonts w:ascii="Calibri"/>
          <w:color w:val="231F20"/>
          <w:spacing w:val="-7"/>
          <w:w w:val="115"/>
          <w:sz w:val="13"/>
        </w:rPr>
        <w:t> </w:t>
      </w:r>
      <w:r>
        <w:rPr>
          <w:rFonts w:ascii="Calibri"/>
          <w:color w:val="231F20"/>
          <w:w w:val="115"/>
          <w:sz w:val="13"/>
        </w:rPr>
        <w:t>its</w:t>
      </w:r>
      <w:r>
        <w:rPr>
          <w:rFonts w:ascii="Calibri"/>
          <w:color w:val="231F20"/>
          <w:spacing w:val="-7"/>
          <w:w w:val="115"/>
          <w:sz w:val="13"/>
        </w:rPr>
        <w:t> </w:t>
      </w:r>
      <w:r>
        <w:rPr>
          <w:rFonts w:ascii="Calibri"/>
          <w:color w:val="231F20"/>
          <w:w w:val="115"/>
          <w:sz w:val="13"/>
        </w:rPr>
        <w:t>center</w:t>
      </w:r>
      <w:r>
        <w:rPr>
          <w:rFonts w:ascii="Calibri"/>
          <w:color w:val="231F20"/>
          <w:spacing w:val="-7"/>
          <w:w w:val="115"/>
          <w:sz w:val="13"/>
        </w:rPr>
        <w:t> </w:t>
      </w:r>
      <w:r>
        <w:rPr>
          <w:rFonts w:ascii="Calibri"/>
          <w:color w:val="231F20"/>
          <w:w w:val="115"/>
          <w:sz w:val="13"/>
        </w:rPr>
        <w:t>of</w:t>
      </w:r>
      <w:r>
        <w:rPr>
          <w:rFonts w:ascii="Calibri"/>
          <w:color w:val="231F20"/>
          <w:spacing w:val="-7"/>
          <w:w w:val="115"/>
          <w:sz w:val="13"/>
        </w:rPr>
        <w:t> </w:t>
      </w:r>
      <w:r>
        <w:rPr>
          <w:rFonts w:ascii="Calibri"/>
          <w:color w:val="231F20"/>
          <w:w w:val="115"/>
          <w:sz w:val="13"/>
        </w:rPr>
        <w:t>origin. Ann. </w:t>
      </w:r>
      <w:r>
        <w:rPr>
          <w:rFonts w:ascii="Calibri"/>
          <w:color w:val="231F20"/>
          <w:spacing w:val="-3"/>
          <w:w w:val="115"/>
          <w:sz w:val="13"/>
        </w:rPr>
        <w:t>Rev. </w:t>
      </w:r>
      <w:r>
        <w:rPr>
          <w:rFonts w:ascii="Calibri"/>
          <w:color w:val="231F20"/>
          <w:w w:val="115"/>
          <w:sz w:val="13"/>
        </w:rPr>
        <w:t>Phytopathol. 43, </w:t>
      </w:r>
      <w:r>
        <w:rPr>
          <w:rFonts w:ascii="Calibri"/>
          <w:color w:val="231F20"/>
          <w:spacing w:val="2"/>
          <w:w w:val="115"/>
          <w:sz w:val="13"/>
        </w:rPr>
        <w:t> </w:t>
      </w:r>
      <w:r>
        <w:rPr>
          <w:rFonts w:ascii="Calibri"/>
          <w:color w:val="231F20"/>
          <w:w w:val="115"/>
          <w:sz w:val="13"/>
        </w:rPr>
        <w:t>171-190.</w:t>
      </w:r>
    </w:p>
    <w:p>
      <w:pPr>
        <w:spacing w:after="0" w:line="247" w:lineRule="auto"/>
        <w:jc w:val="both"/>
        <w:rPr>
          <w:rFonts w:ascii="Calibri"/>
          <w:sz w:val="13"/>
        </w:rPr>
        <w:sectPr>
          <w:type w:val="continuous"/>
          <w:pgSz w:w="12240" w:h="15840"/>
          <w:pgMar w:top="1500" w:bottom="1820" w:left="1460" w:right="1440"/>
          <w:cols w:num="2" w:equalWidth="0">
            <w:col w:w="4537" w:space="40"/>
            <w:col w:w="4763"/>
          </w:cols>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5"/>
        <w:rPr>
          <w:rFonts w:ascii="Calibri"/>
          <w:sz w:val="19"/>
        </w:rPr>
      </w:pPr>
    </w:p>
    <w:p>
      <w:pPr>
        <w:tabs>
          <w:tab w:pos="5018" w:val="left" w:leader="none"/>
        </w:tabs>
        <w:spacing w:before="82"/>
        <w:ind w:left="1503" w:right="0" w:firstLine="0"/>
        <w:jc w:val="left"/>
        <w:rPr>
          <w:rFonts w:ascii="Trebuchet MS" w:hAnsi="Trebuchet MS"/>
          <w:i/>
          <w:sz w:val="12"/>
        </w:rPr>
      </w:pPr>
      <w:r>
        <w:rPr>
          <w:rFonts w:ascii="Calibri" w:hAnsi="Calibri"/>
          <w:color w:val="231F20"/>
          <w:w w:val="105"/>
          <w:sz w:val="13"/>
        </w:rPr>
        <w:t>414</w:t>
        <w:tab/>
      </w:r>
      <w:r>
        <w:rPr>
          <w:rFonts w:ascii="Trebuchet MS" w:hAnsi="Trebuchet MS"/>
          <w:i/>
          <w:color w:val="231F20"/>
          <w:w w:val="105"/>
          <w:sz w:val="13"/>
        </w:rPr>
        <w:t>López-Orona</w:t>
      </w:r>
      <w:r>
        <w:rPr>
          <w:rFonts w:ascii="Trebuchet MS" w:hAnsi="Trebuchet MS"/>
          <w:i/>
          <w:color w:val="231F20"/>
          <w:spacing w:val="-11"/>
          <w:w w:val="105"/>
          <w:sz w:val="13"/>
        </w:rPr>
        <w:t> </w:t>
      </w:r>
      <w:r>
        <w:rPr>
          <w:rFonts w:ascii="Trebuchet MS" w:hAnsi="Trebuchet MS"/>
          <w:i/>
          <w:color w:val="231F20"/>
          <w:w w:val="105"/>
          <w:sz w:val="13"/>
        </w:rPr>
        <w:t>et</w:t>
      </w:r>
      <w:r>
        <w:rPr>
          <w:rFonts w:ascii="Trebuchet MS" w:hAnsi="Trebuchet MS"/>
          <w:i/>
          <w:color w:val="231F20"/>
          <w:spacing w:val="-11"/>
          <w:w w:val="105"/>
          <w:sz w:val="13"/>
        </w:rPr>
        <w:t> </w:t>
      </w:r>
      <w:r>
        <w:rPr>
          <w:rFonts w:ascii="Trebuchet MS" w:hAnsi="Trebuchet MS"/>
          <w:i/>
          <w:color w:val="231F20"/>
          <w:w w:val="105"/>
          <w:sz w:val="13"/>
        </w:rPr>
        <w:t>al.</w:t>
      </w:r>
      <w:r>
        <w:rPr>
          <w:rFonts w:ascii="Trebuchet MS" w:hAnsi="Trebuchet MS"/>
          <w:i/>
          <w:color w:val="231F20"/>
          <w:spacing w:val="-11"/>
          <w:w w:val="105"/>
          <w:sz w:val="13"/>
        </w:rPr>
        <w:t> </w:t>
      </w:r>
      <w:r>
        <w:rPr>
          <w:rFonts w:ascii="Trebuchet MS" w:hAnsi="Trebuchet MS"/>
          <w:i/>
          <w:color w:val="231F20"/>
          <w:w w:val="105"/>
          <w:sz w:val="13"/>
        </w:rPr>
        <w:t>ITEA</w:t>
      </w:r>
      <w:r>
        <w:rPr>
          <w:rFonts w:ascii="Trebuchet MS" w:hAnsi="Trebuchet MS"/>
          <w:i/>
          <w:color w:val="231F20"/>
          <w:spacing w:val="-15"/>
          <w:w w:val="105"/>
          <w:sz w:val="13"/>
        </w:rPr>
        <w:t> </w:t>
      </w:r>
      <w:r>
        <w:rPr>
          <w:rFonts w:ascii="Trebuchet MS" w:hAnsi="Trebuchet MS"/>
          <w:i/>
          <w:color w:val="231F20"/>
          <w:w w:val="105"/>
          <w:sz w:val="12"/>
        </w:rPr>
        <w:t>(2013),</w:t>
      </w:r>
      <w:r>
        <w:rPr>
          <w:rFonts w:ascii="Trebuchet MS" w:hAnsi="Trebuchet MS"/>
          <w:i/>
          <w:color w:val="231F20"/>
          <w:spacing w:val="-12"/>
          <w:w w:val="105"/>
          <w:sz w:val="12"/>
        </w:rPr>
        <w:t> </w:t>
      </w:r>
      <w:r>
        <w:rPr>
          <w:rFonts w:ascii="Trebuchet MS" w:hAnsi="Trebuchet MS"/>
          <w:i/>
          <w:color w:val="231F20"/>
          <w:w w:val="105"/>
          <w:sz w:val="12"/>
        </w:rPr>
        <w:t>109</w:t>
      </w:r>
      <w:r>
        <w:rPr>
          <w:rFonts w:ascii="Trebuchet MS" w:hAnsi="Trebuchet MS"/>
          <w:i/>
          <w:color w:val="231F20"/>
          <w:spacing w:val="-12"/>
          <w:w w:val="105"/>
          <w:sz w:val="12"/>
        </w:rPr>
        <w:t> </w:t>
      </w:r>
      <w:r>
        <w:rPr>
          <w:rFonts w:ascii="Trebuchet MS" w:hAnsi="Trebuchet MS"/>
          <w:i/>
          <w:color w:val="231F20"/>
          <w:w w:val="105"/>
          <w:sz w:val="12"/>
        </w:rPr>
        <w:t>(4),</w:t>
      </w:r>
      <w:r>
        <w:rPr>
          <w:rFonts w:ascii="Trebuchet MS" w:hAnsi="Trebuchet MS"/>
          <w:i/>
          <w:color w:val="231F20"/>
          <w:spacing w:val="-12"/>
          <w:w w:val="105"/>
          <w:sz w:val="12"/>
        </w:rPr>
        <w:t> </w:t>
      </w:r>
      <w:r>
        <w:rPr>
          <w:rFonts w:ascii="Trebuchet MS" w:hAnsi="Trebuchet MS"/>
          <w:i/>
          <w:color w:val="231F20"/>
          <w:w w:val="105"/>
          <w:sz w:val="12"/>
        </w:rPr>
        <w:t>408-414</w:t>
      </w:r>
    </w:p>
    <w:p>
      <w:pPr>
        <w:pStyle w:val="BodyText"/>
        <w:rPr>
          <w:rFonts w:ascii="Trebuchet MS"/>
          <w:i/>
          <w:sz w:val="20"/>
        </w:rPr>
      </w:pPr>
    </w:p>
    <w:p>
      <w:pPr>
        <w:pStyle w:val="BodyText"/>
        <w:rPr>
          <w:rFonts w:ascii="Trebuchet MS"/>
          <w:i/>
          <w:sz w:val="20"/>
        </w:rPr>
      </w:pPr>
    </w:p>
    <w:p>
      <w:pPr>
        <w:spacing w:after="0"/>
        <w:rPr>
          <w:rFonts w:ascii="Trebuchet MS"/>
          <w:sz w:val="20"/>
        </w:rPr>
        <w:sectPr>
          <w:pgSz w:w="12240" w:h="15840"/>
          <w:pgMar w:header="719" w:footer="740" w:top="1260" w:bottom="920" w:left="1460" w:right="1440"/>
        </w:sectPr>
      </w:pPr>
    </w:p>
    <w:p>
      <w:pPr>
        <w:pStyle w:val="BodyText"/>
        <w:rPr>
          <w:rFonts w:ascii="Trebuchet MS"/>
          <w:i/>
          <w:sz w:val="12"/>
        </w:rPr>
      </w:pPr>
    </w:p>
    <w:p>
      <w:pPr>
        <w:spacing w:line="247" w:lineRule="auto" w:before="81"/>
        <w:ind w:left="1671" w:right="1" w:hanging="169"/>
        <w:jc w:val="both"/>
        <w:rPr>
          <w:rFonts w:ascii="Calibri"/>
          <w:sz w:val="13"/>
        </w:rPr>
      </w:pPr>
      <w:r>
        <w:rPr>
          <w:rFonts w:ascii="Calibri"/>
          <w:color w:val="231F20"/>
          <w:w w:val="115"/>
          <w:sz w:val="13"/>
        </w:rPr>
        <w:t>Rubin E and Cohen </w:t>
      </w:r>
      <w:r>
        <w:rPr>
          <w:rFonts w:ascii="Calibri"/>
          <w:color w:val="231F20"/>
          <w:spacing w:val="-9"/>
          <w:w w:val="115"/>
          <w:sz w:val="13"/>
        </w:rPr>
        <w:t>Y, </w:t>
      </w:r>
      <w:r>
        <w:rPr>
          <w:rFonts w:ascii="Calibri"/>
          <w:color w:val="231F20"/>
          <w:w w:val="115"/>
          <w:sz w:val="13"/>
        </w:rPr>
        <w:t>2006. An improved method for infecting tomato leaves or seedlings with oospores</w:t>
      </w:r>
      <w:r>
        <w:rPr>
          <w:rFonts w:ascii="Calibri"/>
          <w:color w:val="231F20"/>
          <w:spacing w:val="-23"/>
          <w:w w:val="115"/>
          <w:sz w:val="13"/>
        </w:rPr>
        <w:t> </w:t>
      </w:r>
      <w:r>
        <w:rPr>
          <w:rFonts w:ascii="Calibri"/>
          <w:color w:val="231F20"/>
          <w:w w:val="115"/>
          <w:sz w:val="13"/>
        </w:rPr>
        <w:t>of</w:t>
      </w:r>
      <w:r>
        <w:rPr>
          <w:rFonts w:ascii="Calibri"/>
          <w:color w:val="231F20"/>
          <w:spacing w:val="-23"/>
          <w:w w:val="115"/>
          <w:sz w:val="13"/>
        </w:rPr>
        <w:t> </w:t>
      </w:r>
      <w:r>
        <w:rPr>
          <w:rFonts w:ascii="Trebuchet MS"/>
          <w:i/>
          <w:color w:val="231F20"/>
          <w:w w:val="115"/>
          <w:sz w:val="13"/>
        </w:rPr>
        <w:t>Phytophthora</w:t>
      </w:r>
      <w:r>
        <w:rPr>
          <w:rFonts w:ascii="Trebuchet MS"/>
          <w:i/>
          <w:color w:val="231F20"/>
          <w:spacing w:val="-34"/>
          <w:w w:val="115"/>
          <w:sz w:val="13"/>
        </w:rPr>
        <w:t> </w:t>
      </w:r>
      <w:r>
        <w:rPr>
          <w:rFonts w:ascii="Trebuchet MS"/>
          <w:i/>
          <w:color w:val="231F20"/>
          <w:w w:val="115"/>
          <w:sz w:val="13"/>
        </w:rPr>
        <w:t>infestans</w:t>
      </w:r>
      <w:r>
        <w:rPr>
          <w:rFonts w:ascii="Trebuchet MS"/>
          <w:i/>
          <w:color w:val="231F20"/>
          <w:spacing w:val="-34"/>
          <w:w w:val="115"/>
          <w:sz w:val="13"/>
        </w:rPr>
        <w:t> </w:t>
      </w:r>
      <w:r>
        <w:rPr>
          <w:rFonts w:ascii="Calibri"/>
          <w:color w:val="231F20"/>
          <w:w w:val="115"/>
          <w:sz w:val="13"/>
        </w:rPr>
        <w:t>used</w:t>
      </w:r>
      <w:r>
        <w:rPr>
          <w:rFonts w:ascii="Calibri"/>
          <w:color w:val="231F20"/>
          <w:spacing w:val="-23"/>
          <w:w w:val="115"/>
          <w:sz w:val="13"/>
        </w:rPr>
        <w:t> </w:t>
      </w:r>
      <w:r>
        <w:rPr>
          <w:rFonts w:ascii="Calibri"/>
          <w:color w:val="231F20"/>
          <w:w w:val="115"/>
          <w:sz w:val="13"/>
        </w:rPr>
        <w:t>to</w:t>
      </w:r>
      <w:r>
        <w:rPr>
          <w:rFonts w:ascii="Calibri"/>
          <w:color w:val="231F20"/>
          <w:spacing w:val="-23"/>
          <w:w w:val="115"/>
          <w:sz w:val="13"/>
        </w:rPr>
        <w:t> </w:t>
      </w:r>
      <w:r>
        <w:rPr>
          <w:rFonts w:ascii="Calibri"/>
          <w:color w:val="231F20"/>
          <w:w w:val="115"/>
          <w:sz w:val="13"/>
        </w:rPr>
        <w:t>in- vestigate F1 progeny</w:t>
      </w:r>
      <w:r>
        <w:rPr>
          <w:rFonts w:ascii="Trebuchet MS"/>
          <w:i/>
          <w:color w:val="231F20"/>
          <w:w w:val="115"/>
          <w:sz w:val="13"/>
        </w:rPr>
        <w:t>. </w:t>
      </w:r>
      <w:r>
        <w:rPr>
          <w:rFonts w:ascii="Calibri"/>
          <w:color w:val="231F20"/>
          <w:w w:val="115"/>
          <w:sz w:val="13"/>
        </w:rPr>
        <w:t>Plant Dis. 90:</w:t>
      </w:r>
      <w:r>
        <w:rPr>
          <w:rFonts w:ascii="Calibri"/>
          <w:color w:val="231F20"/>
          <w:spacing w:val="5"/>
          <w:w w:val="115"/>
          <w:sz w:val="13"/>
        </w:rPr>
        <w:t> </w:t>
      </w:r>
      <w:r>
        <w:rPr>
          <w:rFonts w:ascii="Calibri"/>
          <w:color w:val="231F20"/>
          <w:w w:val="115"/>
          <w:sz w:val="13"/>
        </w:rPr>
        <w:t>741-749.</w:t>
      </w:r>
    </w:p>
    <w:p>
      <w:pPr>
        <w:spacing w:line="247" w:lineRule="auto" w:before="84"/>
        <w:ind w:left="1671" w:right="0" w:hanging="169"/>
        <w:jc w:val="both"/>
        <w:rPr>
          <w:rFonts w:ascii="Calibri"/>
          <w:sz w:val="13"/>
        </w:rPr>
      </w:pPr>
      <w:r>
        <w:rPr>
          <w:rFonts w:ascii="Calibri"/>
          <w:color w:val="231F20"/>
          <w:w w:val="115"/>
          <w:sz w:val="13"/>
        </w:rPr>
        <w:t>Rubin E and Cohen </w:t>
      </w:r>
      <w:r>
        <w:rPr>
          <w:rFonts w:ascii="Calibri"/>
          <w:color w:val="231F20"/>
          <w:spacing w:val="-9"/>
          <w:w w:val="115"/>
          <w:sz w:val="13"/>
        </w:rPr>
        <w:t>Y, </w:t>
      </w:r>
      <w:r>
        <w:rPr>
          <w:rFonts w:ascii="Calibri"/>
          <w:color w:val="231F20"/>
          <w:w w:val="115"/>
          <w:sz w:val="13"/>
        </w:rPr>
        <w:t>2004. Oospores Associated with Tomato Seed May Lead to Seedborne </w:t>
      </w:r>
      <w:r>
        <w:rPr>
          <w:rFonts w:ascii="Calibri"/>
          <w:color w:val="231F20"/>
          <w:w w:val="110"/>
          <w:sz w:val="13"/>
        </w:rPr>
        <w:t>Transmission</w:t>
      </w:r>
      <w:r>
        <w:rPr>
          <w:rFonts w:ascii="Calibri"/>
          <w:color w:val="231F20"/>
          <w:spacing w:val="-8"/>
          <w:w w:val="110"/>
          <w:sz w:val="13"/>
        </w:rPr>
        <w:t> </w:t>
      </w:r>
      <w:r>
        <w:rPr>
          <w:rFonts w:ascii="Calibri"/>
          <w:color w:val="231F20"/>
          <w:w w:val="110"/>
          <w:sz w:val="13"/>
        </w:rPr>
        <w:t>of</w:t>
      </w:r>
      <w:r>
        <w:rPr>
          <w:rFonts w:ascii="Calibri"/>
          <w:color w:val="231F20"/>
          <w:spacing w:val="-8"/>
          <w:w w:val="110"/>
          <w:sz w:val="13"/>
        </w:rPr>
        <w:t> </w:t>
      </w:r>
      <w:r>
        <w:rPr>
          <w:rFonts w:ascii="Trebuchet MS"/>
          <w:i/>
          <w:color w:val="231F20"/>
          <w:w w:val="110"/>
          <w:sz w:val="13"/>
        </w:rPr>
        <w:t>Phytophthora</w:t>
      </w:r>
      <w:r>
        <w:rPr>
          <w:rFonts w:ascii="Trebuchet MS"/>
          <w:i/>
          <w:color w:val="231F20"/>
          <w:spacing w:val="-19"/>
          <w:w w:val="110"/>
          <w:sz w:val="13"/>
        </w:rPr>
        <w:t> </w:t>
      </w:r>
      <w:r>
        <w:rPr>
          <w:rFonts w:ascii="Trebuchet MS"/>
          <w:i/>
          <w:color w:val="231F20"/>
          <w:w w:val="110"/>
          <w:sz w:val="13"/>
        </w:rPr>
        <w:t>infestans</w:t>
      </w:r>
      <w:r>
        <w:rPr>
          <w:b/>
          <w:i/>
          <w:color w:val="231F20"/>
          <w:w w:val="110"/>
          <w:sz w:val="13"/>
        </w:rPr>
        <w:t>.</w:t>
      </w:r>
      <w:r>
        <w:rPr>
          <w:b/>
          <w:i/>
          <w:color w:val="231F20"/>
          <w:spacing w:val="-16"/>
          <w:w w:val="110"/>
          <w:sz w:val="13"/>
        </w:rPr>
        <w:t> </w:t>
      </w:r>
      <w:r>
        <w:rPr>
          <w:rFonts w:ascii="Calibri"/>
          <w:color w:val="231F20"/>
          <w:w w:val="110"/>
          <w:sz w:val="13"/>
        </w:rPr>
        <w:t>Phyto- </w:t>
      </w:r>
      <w:r>
        <w:rPr>
          <w:rFonts w:ascii="Calibri"/>
          <w:color w:val="231F20"/>
          <w:w w:val="115"/>
          <w:sz w:val="13"/>
        </w:rPr>
        <w:t>parasitica 32(3):</w:t>
      </w:r>
      <w:r>
        <w:rPr>
          <w:rFonts w:ascii="Calibri"/>
          <w:color w:val="231F20"/>
          <w:spacing w:val="-7"/>
          <w:w w:val="115"/>
          <w:sz w:val="13"/>
        </w:rPr>
        <w:t> </w:t>
      </w:r>
      <w:r>
        <w:rPr>
          <w:rFonts w:ascii="Calibri"/>
          <w:color w:val="231F20"/>
          <w:w w:val="115"/>
          <w:sz w:val="13"/>
        </w:rPr>
        <w:t>237-245.</w:t>
      </w:r>
    </w:p>
    <w:p>
      <w:pPr>
        <w:pStyle w:val="BodyText"/>
        <w:rPr>
          <w:rFonts w:ascii="Calibri"/>
          <w:sz w:val="12"/>
        </w:rPr>
      </w:pPr>
      <w:r>
        <w:rPr/>
        <w:br w:type="column"/>
      </w:r>
      <w:r>
        <w:rPr>
          <w:rFonts w:ascii="Calibri"/>
          <w:sz w:val="12"/>
        </w:rPr>
      </w:r>
    </w:p>
    <w:p>
      <w:pPr>
        <w:spacing w:line="247" w:lineRule="auto" w:before="74"/>
        <w:ind w:left="377" w:right="1521" w:hanging="169"/>
        <w:jc w:val="both"/>
        <w:rPr>
          <w:rFonts w:ascii="Calibri"/>
          <w:sz w:val="13"/>
        </w:rPr>
      </w:pPr>
      <w:r>
        <w:rPr>
          <w:rFonts w:ascii="Calibri"/>
          <w:color w:val="231F20"/>
          <w:w w:val="115"/>
          <w:sz w:val="13"/>
        </w:rPr>
        <w:t>Segura JM, de Cara M, Santos M and </w:t>
      </w:r>
      <w:r>
        <w:rPr>
          <w:rFonts w:ascii="Calibri"/>
          <w:color w:val="231F20"/>
          <w:spacing w:val="-3"/>
          <w:w w:val="115"/>
          <w:sz w:val="13"/>
        </w:rPr>
        <w:t>Tello </w:t>
      </w:r>
      <w:r>
        <w:rPr>
          <w:rFonts w:ascii="Calibri"/>
          <w:color w:val="231F20"/>
          <w:w w:val="115"/>
          <w:sz w:val="13"/>
        </w:rPr>
        <w:t>J, 2007. </w:t>
      </w:r>
      <w:r>
        <w:rPr>
          <w:rFonts w:ascii="Trebuchet MS"/>
          <w:i/>
          <w:color w:val="231F20"/>
          <w:w w:val="115"/>
          <w:sz w:val="13"/>
        </w:rPr>
        <w:t>Phytophthora infestans </w:t>
      </w:r>
      <w:r>
        <w:rPr>
          <w:rFonts w:ascii="Calibri"/>
          <w:color w:val="231F20"/>
          <w:w w:val="115"/>
          <w:sz w:val="13"/>
        </w:rPr>
        <w:t>Mating Types on </w:t>
      </w:r>
      <w:r>
        <w:rPr>
          <w:rFonts w:ascii="Calibri"/>
          <w:color w:val="231F20"/>
          <w:spacing w:val="-4"/>
          <w:w w:val="115"/>
          <w:sz w:val="13"/>
        </w:rPr>
        <w:t>To- </w:t>
      </w:r>
      <w:r>
        <w:rPr>
          <w:rFonts w:ascii="Calibri"/>
          <w:color w:val="231F20"/>
          <w:w w:val="115"/>
          <w:sz w:val="13"/>
        </w:rPr>
        <w:t>mato</w:t>
      </w:r>
      <w:r>
        <w:rPr>
          <w:rFonts w:ascii="Calibri"/>
          <w:color w:val="231F20"/>
          <w:spacing w:val="-17"/>
          <w:w w:val="115"/>
          <w:sz w:val="13"/>
        </w:rPr>
        <w:t> </w:t>
      </w:r>
      <w:r>
        <w:rPr>
          <w:rFonts w:ascii="Calibri"/>
          <w:color w:val="231F20"/>
          <w:spacing w:val="-4"/>
          <w:w w:val="115"/>
          <w:sz w:val="13"/>
        </w:rPr>
        <w:t>(</w:t>
      </w:r>
      <w:r>
        <w:rPr>
          <w:rFonts w:ascii="Trebuchet MS"/>
          <w:i/>
          <w:color w:val="231F20"/>
          <w:spacing w:val="-4"/>
          <w:w w:val="115"/>
          <w:sz w:val="13"/>
        </w:rPr>
        <w:t>Solanum</w:t>
      </w:r>
      <w:r>
        <w:rPr>
          <w:rFonts w:ascii="Trebuchet MS"/>
          <w:i/>
          <w:color w:val="231F20"/>
          <w:spacing w:val="-30"/>
          <w:w w:val="115"/>
          <w:sz w:val="13"/>
        </w:rPr>
        <w:t> </w:t>
      </w:r>
      <w:r>
        <w:rPr>
          <w:rFonts w:ascii="Trebuchet MS"/>
          <w:i/>
          <w:color w:val="231F20"/>
          <w:spacing w:val="-4"/>
          <w:w w:val="115"/>
          <w:sz w:val="13"/>
        </w:rPr>
        <w:t>lycopersicum</w:t>
      </w:r>
      <w:r>
        <w:rPr>
          <w:rFonts w:ascii="Calibri"/>
          <w:color w:val="231F20"/>
          <w:spacing w:val="-4"/>
          <w:w w:val="115"/>
          <w:sz w:val="13"/>
        </w:rPr>
        <w:t>)</w:t>
      </w:r>
      <w:r>
        <w:rPr>
          <w:rFonts w:ascii="Calibri"/>
          <w:color w:val="231F20"/>
          <w:spacing w:val="-18"/>
          <w:w w:val="115"/>
          <w:sz w:val="13"/>
        </w:rPr>
        <w:t> </w:t>
      </w:r>
      <w:r>
        <w:rPr>
          <w:rFonts w:ascii="Calibri"/>
          <w:color w:val="231F20"/>
          <w:w w:val="115"/>
          <w:sz w:val="13"/>
        </w:rPr>
        <w:t>in</w:t>
      </w:r>
      <w:r>
        <w:rPr>
          <w:rFonts w:ascii="Calibri"/>
          <w:color w:val="231F20"/>
          <w:spacing w:val="-18"/>
          <w:w w:val="115"/>
          <w:sz w:val="13"/>
        </w:rPr>
        <w:t> </w:t>
      </w:r>
      <w:r>
        <w:rPr>
          <w:rFonts w:ascii="Calibri"/>
          <w:color w:val="231F20"/>
          <w:spacing w:val="-4"/>
          <w:w w:val="115"/>
          <w:sz w:val="13"/>
        </w:rPr>
        <w:t>Southern</w:t>
      </w:r>
      <w:r>
        <w:rPr>
          <w:rFonts w:ascii="Calibri"/>
          <w:color w:val="231F20"/>
          <w:spacing w:val="-18"/>
          <w:w w:val="115"/>
          <w:sz w:val="13"/>
        </w:rPr>
        <w:t> </w:t>
      </w:r>
      <w:r>
        <w:rPr>
          <w:rFonts w:ascii="Calibri"/>
          <w:color w:val="231F20"/>
          <w:spacing w:val="-4"/>
          <w:w w:val="115"/>
          <w:sz w:val="13"/>
        </w:rPr>
        <w:t>Spain. </w:t>
      </w:r>
      <w:r>
        <w:rPr>
          <w:rFonts w:ascii="Calibri"/>
          <w:color w:val="231F20"/>
          <w:w w:val="115"/>
          <w:sz w:val="13"/>
        </w:rPr>
        <w:t>Plant Disease. 91: 109.</w:t>
      </w:r>
    </w:p>
    <w:p>
      <w:pPr>
        <w:pStyle w:val="BodyText"/>
        <w:rPr>
          <w:rFonts w:ascii="Calibri"/>
          <w:sz w:val="12"/>
        </w:rPr>
      </w:pPr>
    </w:p>
    <w:p>
      <w:pPr>
        <w:pStyle w:val="BodyText"/>
        <w:rPr>
          <w:rFonts w:ascii="Calibri"/>
          <w:sz w:val="12"/>
        </w:rPr>
      </w:pPr>
    </w:p>
    <w:p>
      <w:pPr>
        <w:pStyle w:val="BodyText"/>
        <w:rPr>
          <w:rFonts w:ascii="Calibri"/>
          <w:sz w:val="12"/>
        </w:rPr>
      </w:pPr>
    </w:p>
    <w:p>
      <w:pPr>
        <w:pStyle w:val="BodyText"/>
        <w:spacing w:before="2"/>
        <w:rPr>
          <w:rFonts w:ascii="Calibri"/>
          <w:sz w:val="11"/>
        </w:rPr>
      </w:pPr>
    </w:p>
    <w:p>
      <w:pPr>
        <w:spacing w:before="0"/>
        <w:ind w:left="209" w:right="0" w:firstLine="0"/>
        <w:jc w:val="left"/>
        <w:rPr>
          <w:rFonts w:ascii="Calibri" w:hAnsi="Calibri"/>
          <w:sz w:val="13"/>
        </w:rPr>
      </w:pPr>
      <w:r>
        <w:rPr>
          <w:rFonts w:ascii="Calibri" w:hAnsi="Calibri"/>
          <w:color w:val="231F20"/>
          <w:w w:val="115"/>
          <w:sz w:val="13"/>
        </w:rPr>
        <w:t>(Aceptado para publicación el 10 de mayo de 2013)</w:t>
      </w:r>
    </w:p>
    <w:p>
      <w:pPr>
        <w:spacing w:after="0"/>
        <w:jc w:val="left"/>
        <w:rPr>
          <w:rFonts w:ascii="Calibri" w:hAnsi="Calibri"/>
          <w:sz w:val="13"/>
        </w:rPr>
        <w:sectPr>
          <w:type w:val="continuous"/>
          <w:pgSz w:w="12240" w:h="15840"/>
          <w:pgMar w:top="1500" w:bottom="1820" w:left="1460" w:right="1440"/>
          <w:cols w:num="2" w:equalWidth="0">
            <w:col w:w="4537" w:space="40"/>
            <w:col w:w="4763"/>
          </w:cols>
        </w:sectPr>
      </w:pPr>
    </w:p>
    <w:p>
      <w:pPr>
        <w:pStyle w:val="BodyText"/>
        <w:spacing w:before="2"/>
        <w:rPr>
          <w:rFonts w:ascii="Calibri"/>
          <w:sz w:val="13"/>
        </w:rPr>
      </w:pPr>
    </w:p>
    <w:p>
      <w:pPr>
        <w:pStyle w:val="Heading2"/>
        <w:ind w:left="239" w:firstLine="0"/>
      </w:pPr>
      <w:bookmarkStart w:name="_TOC_250003" w:id="39"/>
      <w:bookmarkEnd w:id="39"/>
      <w:r>
        <w:rPr/>
        <w:t>Capítulo 4. Otros resultados sin publicar.</w:t>
      </w:r>
    </w:p>
    <w:p>
      <w:pPr>
        <w:pStyle w:val="BodyText"/>
        <w:rPr>
          <w:b/>
        </w:rPr>
      </w:pPr>
    </w:p>
    <w:p>
      <w:pPr>
        <w:pStyle w:val="ListParagraph"/>
        <w:numPr>
          <w:ilvl w:val="1"/>
          <w:numId w:val="16"/>
        </w:numPr>
        <w:tabs>
          <w:tab w:pos="729" w:val="left" w:leader="none"/>
        </w:tabs>
        <w:spacing w:line="480" w:lineRule="auto" w:before="201" w:after="0"/>
        <w:ind w:left="239" w:right="260" w:firstLine="0"/>
        <w:jc w:val="both"/>
        <w:rPr>
          <w:rFonts w:ascii="Arial" w:hAnsi="Arial"/>
          <w:sz w:val="24"/>
        </w:rPr>
      </w:pPr>
      <w:r>
        <w:rPr>
          <w:rFonts w:ascii="Arial" w:hAnsi="Arial"/>
          <w:sz w:val="24"/>
        </w:rPr>
        <w:t>Aislamientos homotálicos de </w:t>
      </w:r>
      <w:r>
        <w:rPr>
          <w:rFonts w:ascii="Arial" w:hAnsi="Arial"/>
          <w:i/>
          <w:sz w:val="24"/>
        </w:rPr>
        <w:t>Phytophthora infestans </w:t>
      </w:r>
      <w:r>
        <w:rPr>
          <w:rFonts w:ascii="Arial" w:hAnsi="Arial"/>
          <w:sz w:val="24"/>
        </w:rPr>
        <w:t>presentan capacidad de producir progenie homotálica y oosporas. (Artículo listo para ser enviado a la revista ITEA-Información Técnica Económica Agraria).</w:t>
      </w:r>
    </w:p>
    <w:p>
      <w:pPr>
        <w:pStyle w:val="BodyText"/>
        <w:spacing w:before="10"/>
      </w:pPr>
    </w:p>
    <w:p>
      <w:pPr>
        <w:pStyle w:val="BodyText"/>
        <w:spacing w:line="480" w:lineRule="auto"/>
        <w:ind w:left="239" w:right="260"/>
        <w:jc w:val="both"/>
      </w:pPr>
      <w:r>
        <w:rPr/>
        <w:t>Se observó que el 56% de la progenie monospórica (zoosporas) de los aislamientos homotálicos de </w:t>
      </w:r>
      <w:r>
        <w:rPr>
          <w:i/>
        </w:rPr>
        <w:t>Phytophthora infestans </w:t>
      </w:r>
      <w:r>
        <w:rPr/>
        <w:t>fue homotálica. La capacidad que presentan los aislamientos homotálicos de </w:t>
      </w:r>
      <w:r>
        <w:rPr>
          <w:i/>
        </w:rPr>
        <w:t>P. infestans </w:t>
      </w:r>
      <w:r>
        <w:rPr/>
        <w:t>para producir progenie homotálica a través de zoosporas hace que aumente rápidamente el tamaño de la población homotálica en el cultivo, y permite propagarse a parcelas vecinas, y así aumentar la fuente de inóculo de la enfermedad del Tizón Tardío. El número de oosporas en los cruzamientos entre los aislamientos homotálicos y los heterotálicos del tipo A1 fue 1.8 veces mayor que el número de oosporas producidas en los cruzamientos estrictamente heterotálicos (A1 x A2). Lo anterior indica que las poblaciones de </w:t>
      </w:r>
      <w:r>
        <w:rPr>
          <w:i/>
        </w:rPr>
        <w:t>P. infestans </w:t>
      </w:r>
      <w:r>
        <w:rPr/>
        <w:t>con homotálicos probablemente producen mayor cantidad de oosporas que una población donde sólo se encuentran cepas heterotálicas.</w:t>
      </w:r>
    </w:p>
    <w:p>
      <w:pPr>
        <w:pStyle w:val="BodyText"/>
      </w:pPr>
    </w:p>
    <w:p>
      <w:pPr>
        <w:pStyle w:val="BodyText"/>
        <w:spacing w:before="6"/>
        <w:rPr>
          <w:sz w:val="25"/>
        </w:rPr>
      </w:pPr>
    </w:p>
    <w:p>
      <w:pPr>
        <w:pStyle w:val="BodyText"/>
        <w:spacing w:line="480" w:lineRule="auto"/>
        <w:ind w:left="239" w:right="260"/>
        <w:jc w:val="both"/>
      </w:pPr>
      <w:r>
        <w:rPr/>
        <w:t>Los resultados completos se encuentran en el manuscrito intitulado “Aislamientos homotálicos de </w:t>
      </w:r>
      <w:r>
        <w:rPr>
          <w:i/>
        </w:rPr>
        <w:t>Phytophthora infestans </w:t>
      </w:r>
      <w:r>
        <w:rPr/>
        <w:t>presentan capacidad de producir progenie homotálica y oosporas” que se presenta a continuación.</w:t>
      </w:r>
    </w:p>
    <w:p>
      <w:pPr>
        <w:spacing w:after="0" w:line="480" w:lineRule="auto"/>
        <w:jc w:val="both"/>
        <w:sectPr>
          <w:pgSz w:w="12240" w:h="15840"/>
          <w:pgMar w:header="719" w:footer="740" w:top="1260" w:bottom="920" w:left="1460" w:right="14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0"/>
        </w:rPr>
      </w:pPr>
    </w:p>
    <w:p>
      <w:pPr>
        <w:pStyle w:val="ListParagraph"/>
        <w:numPr>
          <w:ilvl w:val="2"/>
          <w:numId w:val="16"/>
        </w:numPr>
        <w:tabs>
          <w:tab w:pos="1485" w:val="left" w:leader="none"/>
          <w:tab w:pos="1486" w:val="left" w:leader="none"/>
        </w:tabs>
        <w:spacing w:line="240" w:lineRule="auto" w:before="80" w:after="0"/>
        <w:ind w:left="1485" w:right="0" w:hanging="382"/>
        <w:jc w:val="left"/>
        <w:rPr>
          <w:b/>
          <w:sz w:val="17"/>
        </w:rPr>
      </w:pPr>
      <w:r>
        <w:rPr>
          <w:b/>
          <w:w w:val="105"/>
          <w:sz w:val="17"/>
        </w:rPr>
        <w:t>Aislamientos</w:t>
      </w:r>
      <w:r>
        <w:rPr>
          <w:b/>
          <w:spacing w:val="-20"/>
          <w:w w:val="105"/>
          <w:sz w:val="17"/>
        </w:rPr>
        <w:t> </w:t>
      </w:r>
      <w:r>
        <w:rPr>
          <w:b/>
          <w:w w:val="105"/>
          <w:sz w:val="17"/>
        </w:rPr>
        <w:t>Homotálicos</w:t>
      </w:r>
      <w:r>
        <w:rPr>
          <w:b/>
          <w:spacing w:val="-20"/>
          <w:w w:val="105"/>
          <w:sz w:val="17"/>
        </w:rPr>
        <w:t> </w:t>
      </w:r>
      <w:r>
        <w:rPr>
          <w:b/>
          <w:w w:val="105"/>
          <w:sz w:val="17"/>
        </w:rPr>
        <w:t>de</w:t>
      </w:r>
      <w:r>
        <w:rPr>
          <w:b/>
          <w:spacing w:val="-20"/>
          <w:w w:val="105"/>
          <w:sz w:val="17"/>
        </w:rPr>
        <w:t> </w:t>
      </w:r>
      <w:r>
        <w:rPr>
          <w:b/>
          <w:i/>
          <w:w w:val="105"/>
          <w:sz w:val="17"/>
        </w:rPr>
        <w:t>Phytophthora</w:t>
      </w:r>
      <w:r>
        <w:rPr>
          <w:b/>
          <w:i/>
          <w:spacing w:val="-20"/>
          <w:w w:val="105"/>
          <w:sz w:val="17"/>
        </w:rPr>
        <w:t> </w:t>
      </w:r>
      <w:r>
        <w:rPr>
          <w:b/>
          <w:i/>
          <w:w w:val="105"/>
          <w:sz w:val="17"/>
        </w:rPr>
        <w:t>infestans</w:t>
      </w:r>
      <w:r>
        <w:rPr>
          <w:b/>
          <w:i/>
          <w:spacing w:val="-20"/>
          <w:w w:val="105"/>
          <w:sz w:val="17"/>
        </w:rPr>
        <w:t> </w:t>
      </w:r>
      <w:r>
        <w:rPr>
          <w:b/>
          <w:w w:val="105"/>
          <w:sz w:val="17"/>
        </w:rPr>
        <w:t>presentan</w:t>
      </w:r>
      <w:r>
        <w:rPr>
          <w:b/>
          <w:spacing w:val="-20"/>
          <w:w w:val="105"/>
          <w:sz w:val="17"/>
        </w:rPr>
        <w:t> </w:t>
      </w:r>
      <w:r>
        <w:rPr>
          <w:b/>
          <w:w w:val="105"/>
          <w:sz w:val="17"/>
        </w:rPr>
        <w:t>capacidad</w:t>
      </w:r>
      <w:r>
        <w:rPr>
          <w:b/>
          <w:spacing w:val="-20"/>
          <w:w w:val="105"/>
          <w:sz w:val="17"/>
        </w:rPr>
        <w:t> </w:t>
      </w:r>
      <w:r>
        <w:rPr>
          <w:b/>
          <w:w w:val="105"/>
          <w:sz w:val="17"/>
        </w:rPr>
        <w:t>de</w:t>
      </w:r>
      <w:r>
        <w:rPr>
          <w:b/>
          <w:spacing w:val="-20"/>
          <w:w w:val="105"/>
          <w:sz w:val="17"/>
        </w:rPr>
        <w:t> </w:t>
      </w:r>
      <w:r>
        <w:rPr>
          <w:b/>
          <w:w w:val="105"/>
          <w:sz w:val="17"/>
        </w:rPr>
        <w:t>producir</w:t>
      </w:r>
    </w:p>
    <w:p>
      <w:pPr>
        <w:pStyle w:val="BodyText"/>
        <w:spacing w:before="7"/>
        <w:rPr>
          <w:rFonts w:ascii="Times New Roman"/>
          <w:b/>
          <w:sz w:val="10"/>
        </w:rPr>
      </w:pPr>
    </w:p>
    <w:p>
      <w:pPr>
        <w:pStyle w:val="ListParagraph"/>
        <w:numPr>
          <w:ilvl w:val="2"/>
          <w:numId w:val="16"/>
        </w:numPr>
        <w:tabs>
          <w:tab w:pos="3497" w:val="left" w:leader="none"/>
          <w:tab w:pos="3498" w:val="left" w:leader="none"/>
        </w:tabs>
        <w:spacing w:line="240" w:lineRule="auto" w:before="80" w:after="0"/>
        <w:ind w:left="3497" w:right="0" w:hanging="2394"/>
        <w:jc w:val="left"/>
        <w:rPr>
          <w:b/>
          <w:sz w:val="17"/>
        </w:rPr>
      </w:pPr>
      <w:r>
        <w:rPr>
          <w:b/>
          <w:w w:val="105"/>
          <w:sz w:val="17"/>
        </w:rPr>
        <w:t>progenie</w:t>
      </w:r>
      <w:r>
        <w:rPr>
          <w:b/>
          <w:spacing w:val="-19"/>
          <w:w w:val="105"/>
          <w:sz w:val="17"/>
        </w:rPr>
        <w:t> </w:t>
      </w:r>
      <w:r>
        <w:rPr>
          <w:b/>
          <w:w w:val="105"/>
          <w:sz w:val="17"/>
        </w:rPr>
        <w:t>homotálica</w:t>
      </w:r>
      <w:r>
        <w:rPr>
          <w:b/>
          <w:spacing w:val="-19"/>
          <w:w w:val="105"/>
          <w:sz w:val="17"/>
        </w:rPr>
        <w:t> </w:t>
      </w:r>
      <w:r>
        <w:rPr>
          <w:b/>
          <w:w w:val="105"/>
          <w:sz w:val="17"/>
        </w:rPr>
        <w:t>y</w:t>
      </w:r>
      <w:r>
        <w:rPr>
          <w:b/>
          <w:spacing w:val="-19"/>
          <w:w w:val="105"/>
          <w:sz w:val="17"/>
        </w:rPr>
        <w:t> </w:t>
      </w:r>
      <w:r>
        <w:rPr>
          <w:b/>
          <w:w w:val="105"/>
          <w:sz w:val="17"/>
        </w:rPr>
        <w:t>oosporas</w:t>
      </w:r>
    </w:p>
    <w:p>
      <w:pPr>
        <w:pStyle w:val="BodyText"/>
        <w:spacing w:before="6"/>
        <w:rPr>
          <w:rFonts w:ascii="Times New Roman"/>
          <w:b/>
          <w:sz w:val="17"/>
        </w:rPr>
      </w:pPr>
    </w:p>
    <w:p>
      <w:pPr>
        <w:spacing w:before="0"/>
        <w:ind w:left="1103" w:right="0" w:firstLine="0"/>
        <w:jc w:val="left"/>
        <w:rPr>
          <w:rFonts w:ascii="Cambria"/>
          <w:sz w:val="17"/>
        </w:rPr>
      </w:pPr>
      <w:r>
        <w:rPr>
          <w:rFonts w:ascii="Cambria"/>
          <w:w w:val="102"/>
          <w:sz w:val="17"/>
        </w:rPr>
        <w:t>3</w:t>
      </w:r>
    </w:p>
    <w:p>
      <w:pPr>
        <w:pStyle w:val="BodyText"/>
        <w:spacing w:before="2"/>
        <w:rPr>
          <w:rFonts w:ascii="Cambria"/>
          <w:sz w:val="17"/>
        </w:rPr>
      </w:pPr>
    </w:p>
    <w:p>
      <w:pPr>
        <w:spacing w:before="0"/>
        <w:ind w:left="1103" w:right="0" w:firstLine="0"/>
        <w:jc w:val="left"/>
        <w:rPr>
          <w:rFonts w:ascii="Cambria"/>
          <w:sz w:val="17"/>
        </w:rPr>
      </w:pPr>
      <w:r>
        <w:rPr>
          <w:rFonts w:ascii="Cambria"/>
          <w:w w:val="102"/>
          <w:sz w:val="17"/>
        </w:rPr>
        <w:t>4</w:t>
      </w:r>
    </w:p>
    <w:p>
      <w:pPr>
        <w:pStyle w:val="BodyText"/>
        <w:spacing w:before="4"/>
        <w:rPr>
          <w:rFonts w:ascii="Cambria"/>
          <w:sz w:val="10"/>
        </w:rPr>
      </w:pPr>
    </w:p>
    <w:p>
      <w:pPr>
        <w:pStyle w:val="ListParagraph"/>
        <w:numPr>
          <w:ilvl w:val="0"/>
          <w:numId w:val="17"/>
        </w:numPr>
        <w:tabs>
          <w:tab w:pos="1462" w:val="left" w:leader="none"/>
          <w:tab w:pos="1463" w:val="left" w:leader="none"/>
        </w:tabs>
        <w:spacing w:line="240" w:lineRule="auto" w:before="80" w:after="0"/>
        <w:ind w:left="1462" w:right="0" w:hanging="359"/>
        <w:jc w:val="left"/>
        <w:rPr>
          <w:b/>
          <w:sz w:val="17"/>
        </w:rPr>
      </w:pPr>
      <w:r>
        <w:rPr>
          <w:b/>
          <w:w w:val="105"/>
          <w:sz w:val="17"/>
        </w:rPr>
        <w:t>RESUMEN</w:t>
      </w:r>
    </w:p>
    <w:p>
      <w:pPr>
        <w:pStyle w:val="BodyText"/>
        <w:spacing w:before="7"/>
        <w:rPr>
          <w:rFonts w:ascii="Times New Roman"/>
          <w:b/>
          <w:sz w:val="10"/>
        </w:rPr>
      </w:pPr>
    </w:p>
    <w:p>
      <w:pPr>
        <w:pStyle w:val="ListParagraph"/>
        <w:numPr>
          <w:ilvl w:val="0"/>
          <w:numId w:val="17"/>
        </w:numPr>
        <w:tabs>
          <w:tab w:pos="1462" w:val="left" w:leader="none"/>
          <w:tab w:pos="1463" w:val="left" w:leader="none"/>
        </w:tabs>
        <w:spacing w:line="240" w:lineRule="auto" w:before="80" w:after="0"/>
        <w:ind w:left="1462" w:right="0" w:hanging="359"/>
        <w:jc w:val="left"/>
        <w:rPr>
          <w:sz w:val="17"/>
        </w:rPr>
      </w:pPr>
      <w:r>
        <w:rPr>
          <w:w w:val="105"/>
          <w:sz w:val="17"/>
        </w:rPr>
        <w:t>En</w:t>
      </w:r>
      <w:r>
        <w:rPr>
          <w:spacing w:val="-11"/>
          <w:w w:val="105"/>
          <w:sz w:val="17"/>
        </w:rPr>
        <w:t> </w:t>
      </w:r>
      <w:r>
        <w:rPr>
          <w:w w:val="105"/>
          <w:sz w:val="17"/>
        </w:rPr>
        <w:t>el</w:t>
      </w:r>
      <w:r>
        <w:rPr>
          <w:spacing w:val="-11"/>
          <w:w w:val="105"/>
          <w:sz w:val="17"/>
        </w:rPr>
        <w:t> </w:t>
      </w:r>
      <w:r>
        <w:rPr>
          <w:w w:val="105"/>
          <w:sz w:val="17"/>
        </w:rPr>
        <w:t>presente</w:t>
      </w:r>
      <w:r>
        <w:rPr>
          <w:spacing w:val="-11"/>
          <w:w w:val="105"/>
          <w:sz w:val="17"/>
        </w:rPr>
        <w:t> </w:t>
      </w:r>
      <w:r>
        <w:rPr>
          <w:w w:val="105"/>
          <w:sz w:val="17"/>
        </w:rPr>
        <w:t>trabajo</w:t>
      </w:r>
      <w:r>
        <w:rPr>
          <w:spacing w:val="-11"/>
          <w:w w:val="105"/>
          <w:sz w:val="17"/>
        </w:rPr>
        <w:t> </w:t>
      </w:r>
      <w:r>
        <w:rPr>
          <w:w w:val="105"/>
          <w:sz w:val="17"/>
        </w:rPr>
        <w:t>se</w:t>
      </w:r>
      <w:r>
        <w:rPr>
          <w:spacing w:val="-11"/>
          <w:w w:val="105"/>
          <w:sz w:val="17"/>
        </w:rPr>
        <w:t> </w:t>
      </w:r>
      <w:r>
        <w:rPr>
          <w:w w:val="105"/>
          <w:sz w:val="17"/>
        </w:rPr>
        <w:t>observó</w:t>
      </w:r>
      <w:r>
        <w:rPr>
          <w:spacing w:val="-11"/>
          <w:w w:val="105"/>
          <w:sz w:val="17"/>
        </w:rPr>
        <w:t> </w:t>
      </w:r>
      <w:r>
        <w:rPr>
          <w:w w:val="105"/>
          <w:sz w:val="17"/>
        </w:rPr>
        <w:t>que</w:t>
      </w:r>
      <w:r>
        <w:rPr>
          <w:spacing w:val="-11"/>
          <w:w w:val="105"/>
          <w:sz w:val="17"/>
        </w:rPr>
        <w:t> </w:t>
      </w:r>
      <w:r>
        <w:rPr>
          <w:w w:val="105"/>
          <w:sz w:val="17"/>
        </w:rPr>
        <w:t>el</w:t>
      </w:r>
      <w:r>
        <w:rPr>
          <w:spacing w:val="-11"/>
          <w:w w:val="105"/>
          <w:sz w:val="17"/>
        </w:rPr>
        <w:t> </w:t>
      </w:r>
      <w:r>
        <w:rPr>
          <w:w w:val="105"/>
          <w:sz w:val="17"/>
        </w:rPr>
        <w:t>56%</w:t>
      </w:r>
      <w:r>
        <w:rPr>
          <w:spacing w:val="-11"/>
          <w:w w:val="105"/>
          <w:sz w:val="17"/>
        </w:rPr>
        <w:t> </w:t>
      </w:r>
      <w:r>
        <w:rPr>
          <w:w w:val="105"/>
          <w:sz w:val="17"/>
        </w:rPr>
        <w:t>de</w:t>
      </w:r>
      <w:r>
        <w:rPr>
          <w:spacing w:val="-11"/>
          <w:w w:val="105"/>
          <w:sz w:val="17"/>
        </w:rPr>
        <w:t> </w:t>
      </w:r>
      <w:r>
        <w:rPr>
          <w:w w:val="105"/>
          <w:sz w:val="17"/>
        </w:rPr>
        <w:t>la</w:t>
      </w:r>
      <w:r>
        <w:rPr>
          <w:spacing w:val="-11"/>
          <w:w w:val="105"/>
          <w:sz w:val="17"/>
        </w:rPr>
        <w:t> </w:t>
      </w:r>
      <w:r>
        <w:rPr>
          <w:w w:val="105"/>
          <w:sz w:val="17"/>
        </w:rPr>
        <w:t>progenie</w:t>
      </w:r>
      <w:r>
        <w:rPr>
          <w:spacing w:val="-11"/>
          <w:w w:val="105"/>
          <w:sz w:val="17"/>
        </w:rPr>
        <w:t> </w:t>
      </w:r>
      <w:r>
        <w:rPr>
          <w:w w:val="105"/>
          <w:sz w:val="17"/>
        </w:rPr>
        <w:t>monospórica</w:t>
      </w:r>
      <w:r>
        <w:rPr>
          <w:spacing w:val="-11"/>
          <w:w w:val="105"/>
          <w:sz w:val="17"/>
        </w:rPr>
        <w:t> </w:t>
      </w:r>
      <w:r>
        <w:rPr>
          <w:w w:val="105"/>
          <w:sz w:val="17"/>
        </w:rPr>
        <w:t>(zoosporas)</w:t>
      </w:r>
      <w:r>
        <w:rPr>
          <w:spacing w:val="-11"/>
          <w:w w:val="105"/>
          <w:sz w:val="17"/>
        </w:rPr>
        <w:t> </w:t>
      </w:r>
      <w:r>
        <w:rPr>
          <w:w w:val="105"/>
          <w:sz w:val="17"/>
        </w:rPr>
        <w:t>de</w:t>
      </w:r>
      <w:r>
        <w:rPr>
          <w:spacing w:val="-11"/>
          <w:w w:val="105"/>
          <w:sz w:val="17"/>
        </w:rPr>
        <w:t> </w:t>
      </w:r>
      <w:r>
        <w:rPr>
          <w:w w:val="105"/>
          <w:sz w:val="17"/>
        </w:rPr>
        <w:t>los</w:t>
      </w:r>
    </w:p>
    <w:p>
      <w:pPr>
        <w:pStyle w:val="BodyText"/>
        <w:spacing w:before="7"/>
        <w:rPr>
          <w:rFonts w:ascii="Times New Roman"/>
          <w:sz w:val="10"/>
        </w:rPr>
      </w:pPr>
    </w:p>
    <w:p>
      <w:pPr>
        <w:pStyle w:val="ListParagraph"/>
        <w:numPr>
          <w:ilvl w:val="0"/>
          <w:numId w:val="17"/>
        </w:numPr>
        <w:tabs>
          <w:tab w:pos="1462" w:val="left" w:leader="none"/>
          <w:tab w:pos="1463" w:val="left" w:leader="none"/>
        </w:tabs>
        <w:spacing w:line="240" w:lineRule="auto" w:before="80" w:after="0"/>
        <w:ind w:left="1462" w:right="0" w:hanging="359"/>
        <w:jc w:val="left"/>
        <w:rPr>
          <w:sz w:val="17"/>
        </w:rPr>
      </w:pPr>
      <w:r>
        <w:rPr>
          <w:w w:val="105"/>
          <w:sz w:val="17"/>
        </w:rPr>
        <w:t>aislamientos  homotálicos  de  </w:t>
      </w:r>
      <w:r>
        <w:rPr>
          <w:i/>
          <w:w w:val="105"/>
          <w:sz w:val="17"/>
        </w:rPr>
        <w:t>Phytophthora  infestans  </w:t>
      </w:r>
      <w:r>
        <w:rPr>
          <w:w w:val="105"/>
          <w:sz w:val="17"/>
        </w:rPr>
        <w:t>fue  homotálica.  No  se </w:t>
      </w:r>
      <w:r>
        <w:rPr>
          <w:spacing w:val="5"/>
          <w:w w:val="105"/>
          <w:sz w:val="17"/>
        </w:rPr>
        <w:t> </w:t>
      </w:r>
      <w:r>
        <w:rPr>
          <w:w w:val="105"/>
          <w:sz w:val="17"/>
        </w:rPr>
        <w:t>encontró</w:t>
      </w:r>
    </w:p>
    <w:p>
      <w:pPr>
        <w:pStyle w:val="BodyText"/>
        <w:spacing w:before="7"/>
        <w:rPr>
          <w:rFonts w:ascii="Times New Roman"/>
          <w:sz w:val="10"/>
        </w:rPr>
      </w:pPr>
    </w:p>
    <w:p>
      <w:pPr>
        <w:pStyle w:val="ListParagraph"/>
        <w:numPr>
          <w:ilvl w:val="0"/>
          <w:numId w:val="17"/>
        </w:numPr>
        <w:tabs>
          <w:tab w:pos="1462" w:val="left" w:leader="none"/>
          <w:tab w:pos="1463" w:val="left" w:leader="none"/>
        </w:tabs>
        <w:spacing w:line="240" w:lineRule="auto" w:before="80" w:after="0"/>
        <w:ind w:left="1462" w:right="0" w:hanging="359"/>
        <w:jc w:val="left"/>
        <w:rPr>
          <w:sz w:val="17"/>
        </w:rPr>
      </w:pPr>
      <w:r>
        <w:rPr>
          <w:w w:val="105"/>
          <w:sz w:val="17"/>
        </w:rPr>
        <w:t>descendencia del tipo de apareamiento A1A2, cuya característica es producir oosporas </w:t>
      </w:r>
      <w:r>
        <w:rPr>
          <w:spacing w:val="20"/>
          <w:w w:val="105"/>
          <w:sz w:val="17"/>
        </w:rPr>
        <w:t> </w:t>
      </w:r>
      <w:r>
        <w:rPr>
          <w:w w:val="105"/>
          <w:sz w:val="17"/>
        </w:rPr>
        <w:t>al</w:t>
      </w:r>
    </w:p>
    <w:p>
      <w:pPr>
        <w:pStyle w:val="BodyText"/>
        <w:spacing w:before="7"/>
        <w:rPr>
          <w:rFonts w:ascii="Times New Roman"/>
          <w:sz w:val="10"/>
        </w:rPr>
      </w:pPr>
    </w:p>
    <w:p>
      <w:pPr>
        <w:pStyle w:val="ListParagraph"/>
        <w:numPr>
          <w:ilvl w:val="0"/>
          <w:numId w:val="17"/>
        </w:numPr>
        <w:tabs>
          <w:tab w:pos="1462" w:val="left" w:leader="none"/>
          <w:tab w:pos="1463" w:val="left" w:leader="none"/>
        </w:tabs>
        <w:spacing w:line="240" w:lineRule="auto" w:before="80" w:after="0"/>
        <w:ind w:left="1462" w:right="0" w:hanging="359"/>
        <w:jc w:val="left"/>
        <w:rPr>
          <w:sz w:val="17"/>
        </w:rPr>
      </w:pPr>
      <w:r>
        <w:rPr>
          <w:w w:val="105"/>
          <w:sz w:val="17"/>
        </w:rPr>
        <w:t>ser</w:t>
      </w:r>
      <w:r>
        <w:rPr>
          <w:spacing w:val="32"/>
          <w:w w:val="105"/>
          <w:sz w:val="17"/>
        </w:rPr>
        <w:t> </w:t>
      </w:r>
      <w:r>
        <w:rPr>
          <w:w w:val="105"/>
          <w:sz w:val="17"/>
        </w:rPr>
        <w:t>enfrentado</w:t>
      </w:r>
      <w:r>
        <w:rPr>
          <w:spacing w:val="32"/>
          <w:w w:val="105"/>
          <w:sz w:val="17"/>
        </w:rPr>
        <w:t> </w:t>
      </w:r>
      <w:r>
        <w:rPr>
          <w:w w:val="105"/>
          <w:sz w:val="17"/>
        </w:rPr>
        <w:t>con</w:t>
      </w:r>
      <w:r>
        <w:rPr>
          <w:spacing w:val="32"/>
          <w:w w:val="105"/>
          <w:sz w:val="17"/>
        </w:rPr>
        <w:t> </w:t>
      </w:r>
      <w:r>
        <w:rPr>
          <w:w w:val="105"/>
          <w:sz w:val="17"/>
        </w:rPr>
        <w:t>los</w:t>
      </w:r>
      <w:r>
        <w:rPr>
          <w:spacing w:val="32"/>
          <w:w w:val="105"/>
          <w:sz w:val="17"/>
        </w:rPr>
        <w:t> </w:t>
      </w:r>
      <w:r>
        <w:rPr>
          <w:w w:val="105"/>
          <w:sz w:val="17"/>
        </w:rPr>
        <w:t>tipos</w:t>
      </w:r>
      <w:r>
        <w:rPr>
          <w:spacing w:val="32"/>
          <w:w w:val="105"/>
          <w:sz w:val="17"/>
        </w:rPr>
        <w:t> </w:t>
      </w:r>
      <w:r>
        <w:rPr>
          <w:w w:val="105"/>
          <w:sz w:val="17"/>
        </w:rPr>
        <w:t>de</w:t>
      </w:r>
      <w:r>
        <w:rPr>
          <w:spacing w:val="32"/>
          <w:w w:val="105"/>
          <w:sz w:val="17"/>
        </w:rPr>
        <w:t> </w:t>
      </w:r>
      <w:r>
        <w:rPr>
          <w:w w:val="105"/>
          <w:sz w:val="17"/>
        </w:rPr>
        <w:t>apareamiento</w:t>
      </w:r>
      <w:r>
        <w:rPr>
          <w:spacing w:val="32"/>
          <w:w w:val="105"/>
          <w:sz w:val="17"/>
        </w:rPr>
        <w:t> </w:t>
      </w:r>
      <w:r>
        <w:rPr>
          <w:w w:val="105"/>
          <w:sz w:val="17"/>
        </w:rPr>
        <w:t>A1</w:t>
      </w:r>
      <w:r>
        <w:rPr>
          <w:spacing w:val="32"/>
          <w:w w:val="105"/>
          <w:sz w:val="17"/>
        </w:rPr>
        <w:t> </w:t>
      </w:r>
      <w:r>
        <w:rPr>
          <w:w w:val="105"/>
          <w:sz w:val="17"/>
        </w:rPr>
        <w:t>y</w:t>
      </w:r>
      <w:r>
        <w:rPr>
          <w:spacing w:val="32"/>
          <w:w w:val="105"/>
          <w:sz w:val="17"/>
        </w:rPr>
        <w:t> </w:t>
      </w:r>
      <w:r>
        <w:rPr>
          <w:w w:val="105"/>
          <w:sz w:val="17"/>
        </w:rPr>
        <w:t>A2</w:t>
      </w:r>
      <w:r>
        <w:rPr>
          <w:spacing w:val="32"/>
          <w:w w:val="105"/>
          <w:sz w:val="17"/>
        </w:rPr>
        <w:t> </w:t>
      </w:r>
      <w:r>
        <w:rPr>
          <w:w w:val="105"/>
          <w:sz w:val="17"/>
        </w:rPr>
        <w:t>pero</w:t>
      </w:r>
      <w:r>
        <w:rPr>
          <w:spacing w:val="32"/>
          <w:w w:val="105"/>
          <w:sz w:val="17"/>
        </w:rPr>
        <w:t> </w:t>
      </w:r>
      <w:r>
        <w:rPr>
          <w:w w:val="105"/>
          <w:sz w:val="17"/>
        </w:rPr>
        <w:t>no</w:t>
      </w:r>
      <w:r>
        <w:rPr>
          <w:spacing w:val="32"/>
          <w:w w:val="105"/>
          <w:sz w:val="17"/>
        </w:rPr>
        <w:t> </w:t>
      </w:r>
      <w:r>
        <w:rPr>
          <w:w w:val="105"/>
          <w:sz w:val="17"/>
        </w:rPr>
        <w:t>es</w:t>
      </w:r>
      <w:r>
        <w:rPr>
          <w:spacing w:val="32"/>
          <w:w w:val="105"/>
          <w:sz w:val="17"/>
        </w:rPr>
        <w:t> </w:t>
      </w:r>
      <w:r>
        <w:rPr>
          <w:w w:val="105"/>
          <w:sz w:val="17"/>
        </w:rPr>
        <w:t>capaz</w:t>
      </w:r>
      <w:r>
        <w:rPr>
          <w:spacing w:val="32"/>
          <w:w w:val="105"/>
          <w:sz w:val="17"/>
        </w:rPr>
        <w:t> </w:t>
      </w:r>
      <w:r>
        <w:rPr>
          <w:w w:val="105"/>
          <w:sz w:val="17"/>
        </w:rPr>
        <w:t>de</w:t>
      </w:r>
      <w:r>
        <w:rPr>
          <w:spacing w:val="32"/>
          <w:w w:val="105"/>
          <w:sz w:val="17"/>
        </w:rPr>
        <w:t> </w:t>
      </w:r>
      <w:r>
        <w:rPr>
          <w:w w:val="105"/>
          <w:sz w:val="17"/>
        </w:rPr>
        <w:t>producir</w:t>
      </w:r>
    </w:p>
    <w:p>
      <w:pPr>
        <w:pStyle w:val="BodyText"/>
        <w:spacing w:before="7"/>
        <w:rPr>
          <w:rFonts w:ascii="Times New Roman"/>
          <w:sz w:val="10"/>
        </w:rPr>
      </w:pPr>
    </w:p>
    <w:p>
      <w:pPr>
        <w:pStyle w:val="ListParagraph"/>
        <w:numPr>
          <w:ilvl w:val="0"/>
          <w:numId w:val="17"/>
        </w:numPr>
        <w:tabs>
          <w:tab w:pos="1462" w:val="left" w:leader="none"/>
          <w:tab w:pos="1463" w:val="left" w:leader="none"/>
        </w:tabs>
        <w:spacing w:line="240" w:lineRule="auto" w:before="80" w:after="0"/>
        <w:ind w:left="1462" w:right="0" w:hanging="453"/>
        <w:jc w:val="left"/>
        <w:rPr>
          <w:sz w:val="17"/>
        </w:rPr>
      </w:pPr>
      <w:r>
        <w:rPr>
          <w:w w:val="105"/>
          <w:sz w:val="17"/>
        </w:rPr>
        <w:t>oosporas por sí sólo. Los seis aislamientos homotálicos produjeron una proporción 1:1</w:t>
      </w:r>
      <w:r>
        <w:rPr>
          <w:spacing w:val="18"/>
          <w:w w:val="105"/>
          <w:sz w:val="17"/>
        </w:rPr>
        <w:t> </w:t>
      </w:r>
      <w:r>
        <w:rPr>
          <w:w w:val="105"/>
          <w:sz w:val="17"/>
        </w:rPr>
        <w:t>en</w:t>
      </w:r>
    </w:p>
    <w:p>
      <w:pPr>
        <w:pStyle w:val="BodyText"/>
        <w:spacing w:before="7"/>
        <w:rPr>
          <w:rFonts w:ascii="Times New Roman"/>
          <w:sz w:val="10"/>
        </w:rPr>
      </w:pPr>
    </w:p>
    <w:p>
      <w:pPr>
        <w:pStyle w:val="ListParagraph"/>
        <w:numPr>
          <w:ilvl w:val="0"/>
          <w:numId w:val="17"/>
        </w:numPr>
        <w:tabs>
          <w:tab w:pos="1462" w:val="left" w:leader="none"/>
          <w:tab w:pos="1463" w:val="left" w:leader="none"/>
        </w:tabs>
        <w:spacing w:line="240" w:lineRule="auto" w:before="80" w:after="0"/>
        <w:ind w:left="1462" w:right="0" w:hanging="453"/>
        <w:jc w:val="left"/>
        <w:rPr>
          <w:sz w:val="17"/>
        </w:rPr>
      </w:pPr>
      <w:r>
        <w:rPr>
          <w:w w:val="105"/>
          <w:sz w:val="17"/>
        </w:rPr>
        <w:t>los  tipos  de  apareamiento  A1  y  A2.  La  capacidad  que  presentan  los    </w:t>
      </w:r>
      <w:r>
        <w:rPr>
          <w:spacing w:val="11"/>
          <w:w w:val="105"/>
          <w:sz w:val="17"/>
        </w:rPr>
        <w:t> </w:t>
      </w:r>
      <w:r>
        <w:rPr>
          <w:w w:val="105"/>
          <w:sz w:val="17"/>
        </w:rPr>
        <w:t>aislamientos</w:t>
      </w:r>
    </w:p>
    <w:p>
      <w:pPr>
        <w:pStyle w:val="BodyText"/>
        <w:spacing w:before="7"/>
        <w:rPr>
          <w:rFonts w:ascii="Times New Roman"/>
          <w:sz w:val="10"/>
        </w:rPr>
      </w:pPr>
    </w:p>
    <w:p>
      <w:pPr>
        <w:pStyle w:val="ListParagraph"/>
        <w:numPr>
          <w:ilvl w:val="0"/>
          <w:numId w:val="17"/>
        </w:numPr>
        <w:tabs>
          <w:tab w:pos="1462" w:val="left" w:leader="none"/>
          <w:tab w:pos="1463" w:val="left" w:leader="none"/>
        </w:tabs>
        <w:spacing w:line="240" w:lineRule="auto" w:before="80" w:after="0"/>
        <w:ind w:left="1462" w:right="0" w:hanging="453"/>
        <w:jc w:val="left"/>
        <w:rPr>
          <w:sz w:val="17"/>
        </w:rPr>
      </w:pPr>
      <w:r>
        <w:rPr>
          <w:w w:val="105"/>
          <w:sz w:val="17"/>
        </w:rPr>
        <w:t>homotálicos de </w:t>
      </w:r>
      <w:r>
        <w:rPr>
          <w:i/>
          <w:w w:val="105"/>
          <w:sz w:val="17"/>
        </w:rPr>
        <w:t>P. infestans </w:t>
      </w:r>
      <w:r>
        <w:rPr>
          <w:w w:val="105"/>
          <w:sz w:val="17"/>
        </w:rPr>
        <w:t>para producir progenie homotálica a través de zoosporas</w:t>
      </w:r>
      <w:r>
        <w:rPr>
          <w:spacing w:val="7"/>
          <w:w w:val="105"/>
          <w:sz w:val="17"/>
        </w:rPr>
        <w:t> </w:t>
      </w:r>
      <w:r>
        <w:rPr>
          <w:w w:val="105"/>
          <w:sz w:val="17"/>
        </w:rPr>
        <w:t>hace</w:t>
      </w:r>
    </w:p>
    <w:p>
      <w:pPr>
        <w:pStyle w:val="BodyText"/>
        <w:spacing w:before="7"/>
        <w:rPr>
          <w:rFonts w:ascii="Times New Roman"/>
          <w:sz w:val="10"/>
        </w:rPr>
      </w:pPr>
    </w:p>
    <w:p>
      <w:pPr>
        <w:pStyle w:val="ListParagraph"/>
        <w:numPr>
          <w:ilvl w:val="0"/>
          <w:numId w:val="17"/>
        </w:numPr>
        <w:tabs>
          <w:tab w:pos="1462" w:val="left" w:leader="none"/>
          <w:tab w:pos="1463" w:val="left" w:leader="none"/>
        </w:tabs>
        <w:spacing w:line="240" w:lineRule="auto" w:before="80" w:after="0"/>
        <w:ind w:left="1462" w:right="0" w:hanging="453"/>
        <w:jc w:val="left"/>
        <w:rPr>
          <w:sz w:val="17"/>
        </w:rPr>
      </w:pPr>
      <w:r>
        <w:rPr>
          <w:w w:val="105"/>
          <w:sz w:val="17"/>
        </w:rPr>
        <w:t>que</w:t>
      </w:r>
      <w:r>
        <w:rPr>
          <w:spacing w:val="13"/>
          <w:w w:val="105"/>
          <w:sz w:val="17"/>
        </w:rPr>
        <w:t> </w:t>
      </w:r>
      <w:r>
        <w:rPr>
          <w:w w:val="105"/>
          <w:sz w:val="17"/>
        </w:rPr>
        <w:t>aumente</w:t>
      </w:r>
      <w:r>
        <w:rPr>
          <w:spacing w:val="13"/>
          <w:w w:val="105"/>
          <w:sz w:val="17"/>
        </w:rPr>
        <w:t> </w:t>
      </w:r>
      <w:r>
        <w:rPr>
          <w:w w:val="105"/>
          <w:sz w:val="17"/>
        </w:rPr>
        <w:t>rápidamente</w:t>
      </w:r>
      <w:r>
        <w:rPr>
          <w:spacing w:val="13"/>
          <w:w w:val="105"/>
          <w:sz w:val="17"/>
        </w:rPr>
        <w:t> </w:t>
      </w:r>
      <w:r>
        <w:rPr>
          <w:w w:val="105"/>
          <w:sz w:val="17"/>
        </w:rPr>
        <w:t>el</w:t>
      </w:r>
      <w:r>
        <w:rPr>
          <w:spacing w:val="13"/>
          <w:w w:val="105"/>
          <w:sz w:val="17"/>
        </w:rPr>
        <w:t> </w:t>
      </w:r>
      <w:r>
        <w:rPr>
          <w:w w:val="105"/>
          <w:sz w:val="17"/>
        </w:rPr>
        <w:t>tamaño</w:t>
      </w:r>
      <w:r>
        <w:rPr>
          <w:spacing w:val="13"/>
          <w:w w:val="105"/>
          <w:sz w:val="17"/>
        </w:rPr>
        <w:t> </w:t>
      </w:r>
      <w:r>
        <w:rPr>
          <w:w w:val="105"/>
          <w:sz w:val="17"/>
        </w:rPr>
        <w:t>de</w:t>
      </w:r>
      <w:r>
        <w:rPr>
          <w:spacing w:val="13"/>
          <w:w w:val="105"/>
          <w:sz w:val="17"/>
        </w:rPr>
        <w:t> </w:t>
      </w:r>
      <w:r>
        <w:rPr>
          <w:w w:val="105"/>
          <w:sz w:val="17"/>
        </w:rPr>
        <w:t>la</w:t>
      </w:r>
      <w:r>
        <w:rPr>
          <w:spacing w:val="13"/>
          <w:w w:val="105"/>
          <w:sz w:val="17"/>
        </w:rPr>
        <w:t> </w:t>
      </w:r>
      <w:r>
        <w:rPr>
          <w:w w:val="105"/>
          <w:sz w:val="17"/>
        </w:rPr>
        <w:t>población</w:t>
      </w:r>
      <w:r>
        <w:rPr>
          <w:spacing w:val="13"/>
          <w:w w:val="105"/>
          <w:sz w:val="17"/>
        </w:rPr>
        <w:t> </w:t>
      </w:r>
      <w:r>
        <w:rPr>
          <w:w w:val="105"/>
          <w:sz w:val="17"/>
        </w:rPr>
        <w:t>homotálica</w:t>
      </w:r>
      <w:r>
        <w:rPr>
          <w:spacing w:val="13"/>
          <w:w w:val="105"/>
          <w:sz w:val="17"/>
        </w:rPr>
        <w:t> </w:t>
      </w:r>
      <w:r>
        <w:rPr>
          <w:w w:val="105"/>
          <w:sz w:val="17"/>
        </w:rPr>
        <w:t>en</w:t>
      </w:r>
      <w:r>
        <w:rPr>
          <w:spacing w:val="13"/>
          <w:w w:val="105"/>
          <w:sz w:val="17"/>
        </w:rPr>
        <w:t> </w:t>
      </w:r>
      <w:r>
        <w:rPr>
          <w:w w:val="105"/>
          <w:sz w:val="17"/>
        </w:rPr>
        <w:t>el</w:t>
      </w:r>
      <w:r>
        <w:rPr>
          <w:spacing w:val="13"/>
          <w:w w:val="105"/>
          <w:sz w:val="17"/>
        </w:rPr>
        <w:t> </w:t>
      </w:r>
      <w:r>
        <w:rPr>
          <w:w w:val="105"/>
          <w:sz w:val="17"/>
        </w:rPr>
        <w:t>cultivo,</w:t>
      </w:r>
      <w:r>
        <w:rPr>
          <w:spacing w:val="13"/>
          <w:w w:val="105"/>
          <w:sz w:val="17"/>
        </w:rPr>
        <w:t> </w:t>
      </w:r>
      <w:r>
        <w:rPr>
          <w:w w:val="105"/>
          <w:sz w:val="17"/>
        </w:rPr>
        <w:t>y</w:t>
      </w:r>
      <w:r>
        <w:rPr>
          <w:spacing w:val="13"/>
          <w:w w:val="105"/>
          <w:sz w:val="17"/>
        </w:rPr>
        <w:t> </w:t>
      </w:r>
      <w:r>
        <w:rPr>
          <w:w w:val="105"/>
          <w:sz w:val="17"/>
        </w:rPr>
        <w:t>permite</w:t>
      </w:r>
    </w:p>
    <w:p>
      <w:pPr>
        <w:pStyle w:val="BodyText"/>
        <w:spacing w:before="7"/>
        <w:rPr>
          <w:rFonts w:ascii="Times New Roman"/>
          <w:sz w:val="10"/>
        </w:rPr>
      </w:pPr>
    </w:p>
    <w:p>
      <w:pPr>
        <w:pStyle w:val="ListParagraph"/>
        <w:numPr>
          <w:ilvl w:val="0"/>
          <w:numId w:val="17"/>
        </w:numPr>
        <w:tabs>
          <w:tab w:pos="1462" w:val="left" w:leader="none"/>
          <w:tab w:pos="1463" w:val="left" w:leader="none"/>
        </w:tabs>
        <w:spacing w:line="240" w:lineRule="auto" w:before="80" w:after="0"/>
        <w:ind w:left="1462" w:right="0" w:hanging="453"/>
        <w:jc w:val="left"/>
        <w:rPr>
          <w:sz w:val="17"/>
        </w:rPr>
      </w:pPr>
      <w:r>
        <w:rPr>
          <w:w w:val="105"/>
          <w:sz w:val="17"/>
        </w:rPr>
        <w:t>propagarse</w:t>
      </w:r>
      <w:r>
        <w:rPr>
          <w:spacing w:val="12"/>
          <w:w w:val="105"/>
          <w:sz w:val="17"/>
        </w:rPr>
        <w:t> </w:t>
      </w:r>
      <w:r>
        <w:rPr>
          <w:w w:val="105"/>
          <w:sz w:val="17"/>
        </w:rPr>
        <w:t>a</w:t>
      </w:r>
      <w:r>
        <w:rPr>
          <w:spacing w:val="12"/>
          <w:w w:val="105"/>
          <w:sz w:val="17"/>
        </w:rPr>
        <w:t> </w:t>
      </w:r>
      <w:r>
        <w:rPr>
          <w:w w:val="105"/>
          <w:sz w:val="17"/>
        </w:rPr>
        <w:t>parcelas</w:t>
      </w:r>
      <w:r>
        <w:rPr>
          <w:spacing w:val="12"/>
          <w:w w:val="105"/>
          <w:sz w:val="17"/>
        </w:rPr>
        <w:t> </w:t>
      </w:r>
      <w:r>
        <w:rPr>
          <w:w w:val="105"/>
          <w:sz w:val="17"/>
        </w:rPr>
        <w:t>vecinas,</w:t>
      </w:r>
      <w:r>
        <w:rPr>
          <w:spacing w:val="12"/>
          <w:w w:val="105"/>
          <w:sz w:val="17"/>
        </w:rPr>
        <w:t> </w:t>
      </w:r>
      <w:r>
        <w:rPr>
          <w:w w:val="105"/>
          <w:sz w:val="17"/>
        </w:rPr>
        <w:t>y</w:t>
      </w:r>
      <w:r>
        <w:rPr>
          <w:spacing w:val="12"/>
          <w:w w:val="105"/>
          <w:sz w:val="17"/>
        </w:rPr>
        <w:t> </w:t>
      </w:r>
      <w:r>
        <w:rPr>
          <w:w w:val="105"/>
          <w:sz w:val="17"/>
        </w:rPr>
        <w:t>así</w:t>
      </w:r>
      <w:r>
        <w:rPr>
          <w:spacing w:val="12"/>
          <w:w w:val="105"/>
          <w:sz w:val="17"/>
        </w:rPr>
        <w:t> </w:t>
      </w:r>
      <w:r>
        <w:rPr>
          <w:w w:val="105"/>
          <w:sz w:val="17"/>
        </w:rPr>
        <w:t>aumentar</w:t>
      </w:r>
      <w:r>
        <w:rPr>
          <w:spacing w:val="12"/>
          <w:w w:val="105"/>
          <w:sz w:val="17"/>
        </w:rPr>
        <w:t> </w:t>
      </w:r>
      <w:r>
        <w:rPr>
          <w:w w:val="105"/>
          <w:sz w:val="17"/>
        </w:rPr>
        <w:t>la</w:t>
      </w:r>
      <w:r>
        <w:rPr>
          <w:spacing w:val="12"/>
          <w:w w:val="105"/>
          <w:sz w:val="17"/>
        </w:rPr>
        <w:t> </w:t>
      </w:r>
      <w:r>
        <w:rPr>
          <w:w w:val="105"/>
          <w:sz w:val="17"/>
        </w:rPr>
        <w:t>fuente</w:t>
      </w:r>
      <w:r>
        <w:rPr>
          <w:spacing w:val="12"/>
          <w:w w:val="105"/>
          <w:sz w:val="17"/>
        </w:rPr>
        <w:t> </w:t>
      </w:r>
      <w:r>
        <w:rPr>
          <w:w w:val="105"/>
          <w:sz w:val="17"/>
        </w:rPr>
        <w:t>de</w:t>
      </w:r>
      <w:r>
        <w:rPr>
          <w:spacing w:val="12"/>
          <w:w w:val="105"/>
          <w:sz w:val="17"/>
        </w:rPr>
        <w:t> </w:t>
      </w:r>
      <w:r>
        <w:rPr>
          <w:w w:val="105"/>
          <w:sz w:val="17"/>
        </w:rPr>
        <w:t>inóculo</w:t>
      </w:r>
      <w:r>
        <w:rPr>
          <w:spacing w:val="12"/>
          <w:w w:val="105"/>
          <w:sz w:val="17"/>
        </w:rPr>
        <w:t> </w:t>
      </w:r>
      <w:r>
        <w:rPr>
          <w:w w:val="105"/>
          <w:sz w:val="17"/>
        </w:rPr>
        <w:t>de</w:t>
      </w:r>
      <w:r>
        <w:rPr>
          <w:spacing w:val="12"/>
          <w:w w:val="105"/>
          <w:sz w:val="17"/>
        </w:rPr>
        <w:t> </w:t>
      </w:r>
      <w:r>
        <w:rPr>
          <w:w w:val="105"/>
          <w:sz w:val="17"/>
        </w:rPr>
        <w:t>la</w:t>
      </w:r>
      <w:r>
        <w:rPr>
          <w:spacing w:val="12"/>
          <w:w w:val="105"/>
          <w:sz w:val="17"/>
        </w:rPr>
        <w:t> </w:t>
      </w:r>
      <w:r>
        <w:rPr>
          <w:w w:val="105"/>
          <w:sz w:val="17"/>
        </w:rPr>
        <w:t>enfermedad</w:t>
      </w:r>
      <w:r>
        <w:rPr>
          <w:spacing w:val="12"/>
          <w:w w:val="105"/>
          <w:sz w:val="17"/>
        </w:rPr>
        <w:t> </w:t>
      </w:r>
      <w:r>
        <w:rPr>
          <w:w w:val="105"/>
          <w:sz w:val="17"/>
        </w:rPr>
        <w:t>del</w:t>
      </w:r>
    </w:p>
    <w:p>
      <w:pPr>
        <w:pStyle w:val="BodyText"/>
        <w:spacing w:before="7"/>
        <w:rPr>
          <w:rFonts w:ascii="Times New Roman"/>
          <w:sz w:val="10"/>
        </w:rPr>
      </w:pPr>
    </w:p>
    <w:p>
      <w:pPr>
        <w:pStyle w:val="ListParagraph"/>
        <w:numPr>
          <w:ilvl w:val="0"/>
          <w:numId w:val="17"/>
        </w:numPr>
        <w:tabs>
          <w:tab w:pos="1462" w:val="left" w:leader="none"/>
          <w:tab w:pos="1463" w:val="left" w:leader="none"/>
        </w:tabs>
        <w:spacing w:line="240" w:lineRule="auto" w:before="80" w:after="0"/>
        <w:ind w:left="1462" w:right="0" w:hanging="453"/>
        <w:jc w:val="left"/>
        <w:rPr>
          <w:sz w:val="17"/>
        </w:rPr>
      </w:pPr>
      <w:r>
        <w:rPr>
          <w:w w:val="105"/>
          <w:sz w:val="17"/>
        </w:rPr>
        <w:t>Tizón  Tardío.  El  número  de  oosporas  en  los  cruzamientos  entre  los     </w:t>
      </w:r>
      <w:r>
        <w:rPr>
          <w:spacing w:val="21"/>
          <w:w w:val="105"/>
          <w:sz w:val="17"/>
        </w:rPr>
        <w:t> </w:t>
      </w:r>
      <w:r>
        <w:rPr>
          <w:w w:val="105"/>
          <w:sz w:val="17"/>
        </w:rPr>
        <w:t>aislamientos</w:t>
      </w:r>
    </w:p>
    <w:p>
      <w:pPr>
        <w:pStyle w:val="BodyText"/>
        <w:spacing w:before="7"/>
        <w:rPr>
          <w:rFonts w:ascii="Times New Roman"/>
          <w:sz w:val="10"/>
        </w:rPr>
      </w:pPr>
    </w:p>
    <w:p>
      <w:pPr>
        <w:pStyle w:val="ListParagraph"/>
        <w:numPr>
          <w:ilvl w:val="0"/>
          <w:numId w:val="17"/>
        </w:numPr>
        <w:tabs>
          <w:tab w:pos="1462" w:val="left" w:leader="none"/>
          <w:tab w:pos="1463" w:val="left" w:leader="none"/>
        </w:tabs>
        <w:spacing w:line="240" w:lineRule="auto" w:before="80" w:after="0"/>
        <w:ind w:left="1462" w:right="0" w:hanging="453"/>
        <w:jc w:val="left"/>
        <w:rPr>
          <w:sz w:val="17"/>
        </w:rPr>
      </w:pPr>
      <w:r>
        <w:rPr>
          <w:w w:val="105"/>
          <w:sz w:val="17"/>
        </w:rPr>
        <w:t>homotálicos</w:t>
      </w:r>
      <w:r>
        <w:rPr>
          <w:spacing w:val="-7"/>
          <w:w w:val="105"/>
          <w:sz w:val="17"/>
        </w:rPr>
        <w:t> </w:t>
      </w:r>
      <w:r>
        <w:rPr>
          <w:w w:val="105"/>
          <w:sz w:val="17"/>
        </w:rPr>
        <w:t>y</w:t>
      </w:r>
      <w:r>
        <w:rPr>
          <w:spacing w:val="-7"/>
          <w:w w:val="105"/>
          <w:sz w:val="17"/>
        </w:rPr>
        <w:t> </w:t>
      </w:r>
      <w:r>
        <w:rPr>
          <w:w w:val="105"/>
          <w:sz w:val="17"/>
        </w:rPr>
        <w:t>los</w:t>
      </w:r>
      <w:r>
        <w:rPr>
          <w:spacing w:val="-7"/>
          <w:w w:val="105"/>
          <w:sz w:val="17"/>
        </w:rPr>
        <w:t> </w:t>
      </w:r>
      <w:r>
        <w:rPr>
          <w:w w:val="105"/>
          <w:sz w:val="17"/>
        </w:rPr>
        <w:t>heterotálicos</w:t>
      </w:r>
      <w:r>
        <w:rPr>
          <w:spacing w:val="-7"/>
          <w:w w:val="105"/>
          <w:sz w:val="17"/>
        </w:rPr>
        <w:t> </w:t>
      </w:r>
      <w:r>
        <w:rPr>
          <w:w w:val="105"/>
          <w:sz w:val="17"/>
        </w:rPr>
        <w:t>del</w:t>
      </w:r>
      <w:r>
        <w:rPr>
          <w:spacing w:val="-7"/>
          <w:w w:val="105"/>
          <w:sz w:val="17"/>
        </w:rPr>
        <w:t> </w:t>
      </w:r>
      <w:r>
        <w:rPr>
          <w:w w:val="105"/>
          <w:sz w:val="17"/>
        </w:rPr>
        <w:t>tipo</w:t>
      </w:r>
      <w:r>
        <w:rPr>
          <w:spacing w:val="-7"/>
          <w:w w:val="105"/>
          <w:sz w:val="17"/>
        </w:rPr>
        <w:t> </w:t>
      </w:r>
      <w:r>
        <w:rPr>
          <w:w w:val="105"/>
          <w:sz w:val="17"/>
        </w:rPr>
        <w:t>A1</w:t>
      </w:r>
      <w:r>
        <w:rPr>
          <w:spacing w:val="-7"/>
          <w:w w:val="105"/>
          <w:sz w:val="17"/>
        </w:rPr>
        <w:t> </w:t>
      </w:r>
      <w:r>
        <w:rPr>
          <w:w w:val="105"/>
          <w:sz w:val="17"/>
        </w:rPr>
        <w:t>fue</w:t>
      </w:r>
      <w:r>
        <w:rPr>
          <w:spacing w:val="-7"/>
          <w:w w:val="105"/>
          <w:sz w:val="17"/>
        </w:rPr>
        <w:t> </w:t>
      </w:r>
      <w:r>
        <w:rPr>
          <w:w w:val="105"/>
          <w:sz w:val="17"/>
        </w:rPr>
        <w:t>1.8</w:t>
      </w:r>
      <w:r>
        <w:rPr>
          <w:spacing w:val="-7"/>
          <w:w w:val="105"/>
          <w:sz w:val="17"/>
        </w:rPr>
        <w:t> </w:t>
      </w:r>
      <w:r>
        <w:rPr>
          <w:w w:val="105"/>
          <w:sz w:val="17"/>
        </w:rPr>
        <w:t>veces</w:t>
      </w:r>
      <w:r>
        <w:rPr>
          <w:spacing w:val="-7"/>
          <w:w w:val="105"/>
          <w:sz w:val="17"/>
        </w:rPr>
        <w:t> </w:t>
      </w:r>
      <w:r>
        <w:rPr>
          <w:w w:val="105"/>
          <w:sz w:val="17"/>
        </w:rPr>
        <w:t>mayor</w:t>
      </w:r>
      <w:r>
        <w:rPr>
          <w:spacing w:val="-7"/>
          <w:w w:val="105"/>
          <w:sz w:val="17"/>
        </w:rPr>
        <w:t> </w:t>
      </w:r>
      <w:r>
        <w:rPr>
          <w:w w:val="105"/>
          <w:sz w:val="17"/>
        </w:rPr>
        <w:t>que</w:t>
      </w:r>
      <w:r>
        <w:rPr>
          <w:spacing w:val="-7"/>
          <w:w w:val="105"/>
          <w:sz w:val="17"/>
        </w:rPr>
        <w:t> </w:t>
      </w:r>
      <w:r>
        <w:rPr>
          <w:w w:val="105"/>
          <w:sz w:val="17"/>
        </w:rPr>
        <w:t>el</w:t>
      </w:r>
      <w:r>
        <w:rPr>
          <w:spacing w:val="-7"/>
          <w:w w:val="105"/>
          <w:sz w:val="17"/>
        </w:rPr>
        <w:t> </w:t>
      </w:r>
      <w:r>
        <w:rPr>
          <w:w w:val="105"/>
          <w:sz w:val="17"/>
        </w:rPr>
        <w:t>número</w:t>
      </w:r>
      <w:r>
        <w:rPr>
          <w:spacing w:val="-7"/>
          <w:w w:val="105"/>
          <w:sz w:val="17"/>
        </w:rPr>
        <w:t> </w:t>
      </w:r>
      <w:r>
        <w:rPr>
          <w:w w:val="105"/>
          <w:sz w:val="17"/>
        </w:rPr>
        <w:t>de</w:t>
      </w:r>
      <w:r>
        <w:rPr>
          <w:spacing w:val="-7"/>
          <w:w w:val="105"/>
          <w:sz w:val="17"/>
        </w:rPr>
        <w:t> </w:t>
      </w:r>
      <w:r>
        <w:rPr>
          <w:w w:val="105"/>
          <w:sz w:val="17"/>
        </w:rPr>
        <w:t>oosporas</w:t>
      </w:r>
    </w:p>
    <w:p>
      <w:pPr>
        <w:pStyle w:val="BodyText"/>
        <w:spacing w:before="7"/>
        <w:rPr>
          <w:rFonts w:ascii="Times New Roman"/>
          <w:sz w:val="10"/>
        </w:rPr>
      </w:pPr>
    </w:p>
    <w:p>
      <w:pPr>
        <w:pStyle w:val="ListParagraph"/>
        <w:numPr>
          <w:ilvl w:val="0"/>
          <w:numId w:val="17"/>
        </w:numPr>
        <w:tabs>
          <w:tab w:pos="1462" w:val="left" w:leader="none"/>
          <w:tab w:pos="1463" w:val="left" w:leader="none"/>
        </w:tabs>
        <w:spacing w:line="240" w:lineRule="auto" w:before="80" w:after="0"/>
        <w:ind w:left="1462" w:right="0" w:hanging="453"/>
        <w:jc w:val="left"/>
        <w:rPr>
          <w:sz w:val="17"/>
        </w:rPr>
      </w:pPr>
      <w:r>
        <w:rPr>
          <w:w w:val="105"/>
          <w:sz w:val="17"/>
        </w:rPr>
        <w:t>producidas en los cruzamientos estrictamente heterotálicos (A1 x A2). Lo anterior </w:t>
      </w:r>
      <w:r>
        <w:rPr>
          <w:spacing w:val="20"/>
          <w:w w:val="105"/>
          <w:sz w:val="17"/>
        </w:rPr>
        <w:t> </w:t>
      </w:r>
      <w:r>
        <w:rPr>
          <w:w w:val="105"/>
          <w:sz w:val="17"/>
        </w:rPr>
        <w:t>indica</w:t>
      </w:r>
    </w:p>
    <w:p>
      <w:pPr>
        <w:pStyle w:val="BodyText"/>
        <w:spacing w:before="7"/>
        <w:rPr>
          <w:rFonts w:ascii="Times New Roman"/>
          <w:sz w:val="10"/>
        </w:rPr>
      </w:pPr>
    </w:p>
    <w:p>
      <w:pPr>
        <w:pStyle w:val="ListParagraph"/>
        <w:numPr>
          <w:ilvl w:val="0"/>
          <w:numId w:val="17"/>
        </w:numPr>
        <w:tabs>
          <w:tab w:pos="1462" w:val="left" w:leader="none"/>
          <w:tab w:pos="1463" w:val="left" w:leader="none"/>
        </w:tabs>
        <w:spacing w:line="240" w:lineRule="auto" w:before="80" w:after="0"/>
        <w:ind w:left="1462" w:right="0" w:hanging="453"/>
        <w:jc w:val="left"/>
        <w:rPr>
          <w:sz w:val="17"/>
        </w:rPr>
      </w:pPr>
      <w:r>
        <w:rPr>
          <w:w w:val="105"/>
          <w:sz w:val="17"/>
        </w:rPr>
        <w:t>que  las  poblaciones  de  </w:t>
      </w:r>
      <w:r>
        <w:rPr>
          <w:i/>
          <w:w w:val="105"/>
          <w:sz w:val="17"/>
        </w:rPr>
        <w:t>P.  infestans  </w:t>
      </w:r>
      <w:r>
        <w:rPr>
          <w:w w:val="105"/>
          <w:sz w:val="17"/>
        </w:rPr>
        <w:t>con  homotálicos  probablemente  producen</w:t>
      </w:r>
      <w:r>
        <w:rPr>
          <w:spacing w:val="-9"/>
          <w:w w:val="105"/>
          <w:sz w:val="17"/>
        </w:rPr>
        <w:t> </w:t>
      </w:r>
      <w:r>
        <w:rPr>
          <w:w w:val="105"/>
          <w:sz w:val="17"/>
        </w:rPr>
        <w:t>mayor</w:t>
      </w:r>
    </w:p>
    <w:p>
      <w:pPr>
        <w:pStyle w:val="BodyText"/>
        <w:spacing w:before="7"/>
        <w:rPr>
          <w:rFonts w:ascii="Times New Roman"/>
          <w:sz w:val="10"/>
        </w:rPr>
      </w:pPr>
    </w:p>
    <w:p>
      <w:pPr>
        <w:pStyle w:val="ListParagraph"/>
        <w:numPr>
          <w:ilvl w:val="0"/>
          <w:numId w:val="17"/>
        </w:numPr>
        <w:tabs>
          <w:tab w:pos="1462" w:val="left" w:leader="none"/>
          <w:tab w:pos="1463" w:val="left" w:leader="none"/>
        </w:tabs>
        <w:spacing w:line="240" w:lineRule="auto" w:before="80" w:after="0"/>
        <w:ind w:left="1462" w:right="0" w:hanging="453"/>
        <w:jc w:val="left"/>
        <w:rPr>
          <w:sz w:val="17"/>
        </w:rPr>
      </w:pPr>
      <w:r>
        <w:rPr>
          <w:w w:val="105"/>
          <w:sz w:val="17"/>
        </w:rPr>
        <w:t>cantidad</w:t>
      </w:r>
      <w:r>
        <w:rPr>
          <w:spacing w:val="-14"/>
          <w:w w:val="105"/>
          <w:sz w:val="17"/>
        </w:rPr>
        <w:t> </w:t>
      </w:r>
      <w:r>
        <w:rPr>
          <w:w w:val="105"/>
          <w:sz w:val="17"/>
        </w:rPr>
        <w:t>de</w:t>
      </w:r>
      <w:r>
        <w:rPr>
          <w:spacing w:val="-14"/>
          <w:w w:val="105"/>
          <w:sz w:val="17"/>
        </w:rPr>
        <w:t> </w:t>
      </w:r>
      <w:r>
        <w:rPr>
          <w:w w:val="105"/>
          <w:sz w:val="17"/>
        </w:rPr>
        <w:t>oosporas</w:t>
      </w:r>
      <w:r>
        <w:rPr>
          <w:spacing w:val="-14"/>
          <w:w w:val="105"/>
          <w:sz w:val="17"/>
        </w:rPr>
        <w:t> </w:t>
      </w:r>
      <w:r>
        <w:rPr>
          <w:w w:val="105"/>
          <w:sz w:val="17"/>
        </w:rPr>
        <w:t>que</w:t>
      </w:r>
      <w:r>
        <w:rPr>
          <w:spacing w:val="-14"/>
          <w:w w:val="105"/>
          <w:sz w:val="17"/>
        </w:rPr>
        <w:t> </w:t>
      </w:r>
      <w:r>
        <w:rPr>
          <w:w w:val="105"/>
          <w:sz w:val="17"/>
        </w:rPr>
        <w:t>una</w:t>
      </w:r>
      <w:r>
        <w:rPr>
          <w:spacing w:val="-14"/>
          <w:w w:val="105"/>
          <w:sz w:val="17"/>
        </w:rPr>
        <w:t> </w:t>
      </w:r>
      <w:r>
        <w:rPr>
          <w:w w:val="105"/>
          <w:sz w:val="17"/>
        </w:rPr>
        <w:t>población</w:t>
      </w:r>
      <w:r>
        <w:rPr>
          <w:spacing w:val="-14"/>
          <w:w w:val="105"/>
          <w:sz w:val="17"/>
        </w:rPr>
        <w:t> </w:t>
      </w:r>
      <w:r>
        <w:rPr>
          <w:w w:val="105"/>
          <w:sz w:val="17"/>
        </w:rPr>
        <w:t>donde</w:t>
      </w:r>
      <w:r>
        <w:rPr>
          <w:spacing w:val="-14"/>
          <w:w w:val="105"/>
          <w:sz w:val="17"/>
        </w:rPr>
        <w:t> </w:t>
      </w:r>
      <w:r>
        <w:rPr>
          <w:w w:val="105"/>
          <w:sz w:val="17"/>
        </w:rPr>
        <w:t>sólo</w:t>
      </w:r>
      <w:r>
        <w:rPr>
          <w:spacing w:val="-14"/>
          <w:w w:val="105"/>
          <w:sz w:val="17"/>
        </w:rPr>
        <w:t> </w:t>
      </w:r>
      <w:r>
        <w:rPr>
          <w:w w:val="105"/>
          <w:sz w:val="17"/>
        </w:rPr>
        <w:t>se</w:t>
      </w:r>
      <w:r>
        <w:rPr>
          <w:spacing w:val="-14"/>
          <w:w w:val="105"/>
          <w:sz w:val="17"/>
        </w:rPr>
        <w:t> </w:t>
      </w:r>
      <w:r>
        <w:rPr>
          <w:w w:val="105"/>
          <w:sz w:val="17"/>
        </w:rPr>
        <w:t>encuentran</w:t>
      </w:r>
      <w:r>
        <w:rPr>
          <w:spacing w:val="-14"/>
          <w:w w:val="105"/>
          <w:sz w:val="17"/>
        </w:rPr>
        <w:t> </w:t>
      </w:r>
      <w:r>
        <w:rPr>
          <w:w w:val="105"/>
          <w:sz w:val="17"/>
        </w:rPr>
        <w:t>cepas</w:t>
      </w:r>
      <w:r>
        <w:rPr>
          <w:spacing w:val="-14"/>
          <w:w w:val="105"/>
          <w:sz w:val="17"/>
        </w:rPr>
        <w:t> </w:t>
      </w:r>
      <w:r>
        <w:rPr>
          <w:w w:val="105"/>
          <w:sz w:val="17"/>
        </w:rPr>
        <w:t>heterotálicas.</w:t>
      </w:r>
    </w:p>
    <w:p>
      <w:pPr>
        <w:pStyle w:val="BodyText"/>
        <w:spacing w:before="7"/>
        <w:rPr>
          <w:rFonts w:ascii="Times New Roman"/>
          <w:sz w:val="10"/>
        </w:rPr>
      </w:pPr>
    </w:p>
    <w:p>
      <w:pPr>
        <w:pStyle w:val="ListParagraph"/>
        <w:numPr>
          <w:ilvl w:val="0"/>
          <w:numId w:val="17"/>
        </w:numPr>
        <w:tabs>
          <w:tab w:pos="1462" w:val="left" w:leader="none"/>
          <w:tab w:pos="1463" w:val="left" w:leader="none"/>
        </w:tabs>
        <w:spacing w:line="240" w:lineRule="auto" w:before="80" w:after="0"/>
        <w:ind w:left="1462" w:right="0" w:hanging="453"/>
        <w:jc w:val="left"/>
        <w:rPr>
          <w:sz w:val="17"/>
        </w:rPr>
      </w:pPr>
      <w:r>
        <w:rPr>
          <w:w w:val="105"/>
          <w:sz w:val="17"/>
        </w:rPr>
        <w:t>Palabras</w:t>
      </w:r>
      <w:r>
        <w:rPr>
          <w:spacing w:val="-20"/>
          <w:w w:val="105"/>
          <w:sz w:val="17"/>
        </w:rPr>
        <w:t> </w:t>
      </w:r>
      <w:r>
        <w:rPr>
          <w:w w:val="105"/>
          <w:sz w:val="17"/>
        </w:rPr>
        <w:t>clave:</w:t>
      </w:r>
      <w:r>
        <w:rPr>
          <w:spacing w:val="-20"/>
          <w:w w:val="105"/>
          <w:sz w:val="17"/>
        </w:rPr>
        <w:t> </w:t>
      </w:r>
      <w:r>
        <w:rPr>
          <w:w w:val="105"/>
          <w:sz w:val="17"/>
        </w:rPr>
        <w:t>homotálico,</w:t>
      </w:r>
      <w:r>
        <w:rPr>
          <w:spacing w:val="-20"/>
          <w:w w:val="105"/>
          <w:sz w:val="17"/>
        </w:rPr>
        <w:t> </w:t>
      </w:r>
      <w:r>
        <w:rPr>
          <w:w w:val="105"/>
          <w:sz w:val="17"/>
        </w:rPr>
        <w:t>oospora,</w:t>
      </w:r>
      <w:r>
        <w:rPr>
          <w:spacing w:val="-20"/>
          <w:w w:val="105"/>
          <w:sz w:val="17"/>
        </w:rPr>
        <w:t> </w:t>
      </w:r>
      <w:r>
        <w:rPr>
          <w:w w:val="105"/>
          <w:sz w:val="17"/>
        </w:rPr>
        <w:t>progenie.</w:t>
      </w:r>
    </w:p>
    <w:p>
      <w:pPr>
        <w:pStyle w:val="BodyText"/>
        <w:spacing w:before="6"/>
        <w:rPr>
          <w:rFonts w:ascii="Times New Roman"/>
          <w:sz w:val="17"/>
        </w:rPr>
      </w:pPr>
    </w:p>
    <w:p>
      <w:pPr>
        <w:spacing w:before="0"/>
        <w:ind w:left="1009" w:right="0" w:firstLine="0"/>
        <w:jc w:val="left"/>
        <w:rPr>
          <w:rFonts w:ascii="Cambria"/>
          <w:sz w:val="17"/>
        </w:rPr>
      </w:pPr>
      <w:r>
        <w:rPr>
          <w:rFonts w:ascii="Cambria"/>
          <w:w w:val="105"/>
          <w:sz w:val="17"/>
        </w:rPr>
        <w:t>21</w:t>
      </w:r>
    </w:p>
    <w:p>
      <w:pPr>
        <w:pStyle w:val="BodyText"/>
        <w:spacing w:before="2"/>
        <w:rPr>
          <w:rFonts w:ascii="Cambria"/>
          <w:sz w:val="17"/>
        </w:rPr>
      </w:pPr>
    </w:p>
    <w:p>
      <w:pPr>
        <w:spacing w:before="0"/>
        <w:ind w:left="1009" w:right="0" w:firstLine="0"/>
        <w:jc w:val="left"/>
        <w:rPr>
          <w:rFonts w:ascii="Cambria"/>
          <w:sz w:val="17"/>
        </w:rPr>
      </w:pPr>
      <w:r>
        <w:rPr>
          <w:rFonts w:ascii="Cambria"/>
          <w:w w:val="105"/>
          <w:sz w:val="17"/>
        </w:rPr>
        <w:t>22</w:t>
      </w:r>
    </w:p>
    <w:p>
      <w:pPr>
        <w:pStyle w:val="BodyText"/>
        <w:spacing w:before="2"/>
        <w:rPr>
          <w:rFonts w:ascii="Cambria"/>
          <w:sz w:val="17"/>
        </w:rPr>
      </w:pPr>
    </w:p>
    <w:p>
      <w:pPr>
        <w:spacing w:before="0"/>
        <w:ind w:left="1009" w:right="0" w:firstLine="0"/>
        <w:jc w:val="left"/>
        <w:rPr>
          <w:rFonts w:ascii="Cambria"/>
          <w:sz w:val="17"/>
        </w:rPr>
      </w:pPr>
      <w:r>
        <w:rPr>
          <w:rFonts w:ascii="Cambria"/>
          <w:w w:val="105"/>
          <w:sz w:val="17"/>
        </w:rPr>
        <w:t>23</w:t>
      </w:r>
    </w:p>
    <w:p>
      <w:pPr>
        <w:pStyle w:val="BodyText"/>
        <w:spacing w:before="2"/>
        <w:rPr>
          <w:rFonts w:ascii="Cambria"/>
          <w:sz w:val="17"/>
        </w:rPr>
      </w:pPr>
    </w:p>
    <w:p>
      <w:pPr>
        <w:spacing w:before="0"/>
        <w:ind w:left="1009" w:right="0" w:firstLine="0"/>
        <w:jc w:val="left"/>
        <w:rPr>
          <w:rFonts w:ascii="Cambria"/>
          <w:sz w:val="17"/>
        </w:rPr>
      </w:pPr>
      <w:r>
        <w:rPr>
          <w:rFonts w:ascii="Cambria"/>
          <w:w w:val="105"/>
          <w:sz w:val="17"/>
        </w:rPr>
        <w:t>24</w:t>
      </w:r>
    </w:p>
    <w:p>
      <w:pPr>
        <w:spacing w:after="0"/>
        <w:jc w:val="left"/>
        <w:rPr>
          <w:rFonts w:ascii="Cambria"/>
          <w:sz w:val="17"/>
        </w:rPr>
        <w:sectPr>
          <w:pgSz w:w="12240" w:h="15840"/>
          <w:pgMar w:header="719" w:footer="740" w:top="1260" w:bottom="920" w:left="1460" w:right="1440"/>
        </w:sect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18"/>
        </w:rPr>
      </w:pPr>
    </w:p>
    <w:p>
      <w:pPr>
        <w:pStyle w:val="ListParagraph"/>
        <w:numPr>
          <w:ilvl w:val="0"/>
          <w:numId w:val="18"/>
        </w:numPr>
        <w:tabs>
          <w:tab w:pos="1447" w:val="left" w:leader="none"/>
          <w:tab w:pos="1448" w:val="left" w:leader="none"/>
        </w:tabs>
        <w:spacing w:line="240" w:lineRule="auto" w:before="80" w:after="0"/>
        <w:ind w:left="1447" w:right="0" w:hanging="453"/>
        <w:jc w:val="left"/>
        <w:rPr>
          <w:b/>
          <w:sz w:val="17"/>
        </w:rPr>
      </w:pPr>
      <w:r>
        <w:rPr>
          <w:b/>
          <w:w w:val="105"/>
          <w:sz w:val="17"/>
        </w:rPr>
        <w:t>ABSTRACT</w:t>
      </w:r>
    </w:p>
    <w:p>
      <w:pPr>
        <w:pStyle w:val="BodyText"/>
        <w:spacing w:before="6"/>
        <w:rPr>
          <w:rFonts w:ascii="Times New Roman"/>
          <w:b/>
          <w:sz w:val="10"/>
        </w:rPr>
      </w:pPr>
    </w:p>
    <w:p>
      <w:pPr>
        <w:pStyle w:val="ListParagraph"/>
        <w:numPr>
          <w:ilvl w:val="0"/>
          <w:numId w:val="18"/>
        </w:numPr>
        <w:tabs>
          <w:tab w:pos="1447" w:val="left" w:leader="none"/>
          <w:tab w:pos="1448" w:val="left" w:leader="none"/>
        </w:tabs>
        <w:spacing w:line="240" w:lineRule="auto" w:before="80" w:after="0"/>
        <w:ind w:left="1447" w:right="0" w:hanging="453"/>
        <w:jc w:val="left"/>
        <w:rPr>
          <w:sz w:val="17"/>
        </w:rPr>
      </w:pPr>
      <w:r>
        <w:rPr>
          <w:w w:val="105"/>
          <w:sz w:val="17"/>
        </w:rPr>
        <w:t>In  the  present  study  we  found  that  56%  of  the  progeny  monosporic  (zoospores)</w:t>
      </w:r>
      <w:r>
        <w:rPr>
          <w:spacing w:val="33"/>
          <w:w w:val="105"/>
          <w:sz w:val="17"/>
        </w:rPr>
        <w:t> </w:t>
      </w:r>
      <w:r>
        <w:rPr>
          <w:w w:val="105"/>
          <w:sz w:val="17"/>
        </w:rPr>
        <w:t>of</w:t>
      </w:r>
    </w:p>
    <w:p>
      <w:pPr>
        <w:pStyle w:val="BodyText"/>
        <w:spacing w:before="6"/>
        <w:rPr>
          <w:rFonts w:ascii="Times New Roman"/>
          <w:sz w:val="10"/>
        </w:rPr>
      </w:pPr>
    </w:p>
    <w:p>
      <w:pPr>
        <w:pStyle w:val="ListParagraph"/>
        <w:numPr>
          <w:ilvl w:val="0"/>
          <w:numId w:val="18"/>
        </w:numPr>
        <w:tabs>
          <w:tab w:pos="1447" w:val="left" w:leader="none"/>
          <w:tab w:pos="1448" w:val="left" w:leader="none"/>
        </w:tabs>
        <w:spacing w:line="240" w:lineRule="auto" w:before="80" w:after="0"/>
        <w:ind w:left="1447" w:right="0" w:hanging="453"/>
        <w:jc w:val="left"/>
        <w:rPr>
          <w:sz w:val="17"/>
        </w:rPr>
      </w:pPr>
      <w:r>
        <w:rPr>
          <w:w w:val="105"/>
          <w:sz w:val="17"/>
        </w:rPr>
        <w:t>homothallic</w:t>
      </w:r>
      <w:r>
        <w:rPr>
          <w:spacing w:val="18"/>
          <w:w w:val="105"/>
          <w:sz w:val="17"/>
        </w:rPr>
        <w:t> </w:t>
      </w:r>
      <w:r>
        <w:rPr>
          <w:w w:val="105"/>
          <w:sz w:val="17"/>
        </w:rPr>
        <w:t>isolates</w:t>
      </w:r>
      <w:r>
        <w:rPr>
          <w:spacing w:val="18"/>
          <w:w w:val="105"/>
          <w:sz w:val="17"/>
        </w:rPr>
        <w:t> </w:t>
      </w:r>
      <w:r>
        <w:rPr>
          <w:w w:val="105"/>
          <w:sz w:val="17"/>
        </w:rPr>
        <w:t>of</w:t>
      </w:r>
      <w:r>
        <w:rPr>
          <w:spacing w:val="18"/>
          <w:w w:val="105"/>
          <w:sz w:val="17"/>
        </w:rPr>
        <w:t> </w:t>
      </w:r>
      <w:r>
        <w:rPr>
          <w:i/>
          <w:w w:val="105"/>
          <w:sz w:val="17"/>
        </w:rPr>
        <w:t>Phytophthora</w:t>
      </w:r>
      <w:r>
        <w:rPr>
          <w:i/>
          <w:spacing w:val="11"/>
          <w:w w:val="105"/>
          <w:sz w:val="17"/>
        </w:rPr>
        <w:t> </w:t>
      </w:r>
      <w:r>
        <w:rPr>
          <w:i/>
          <w:w w:val="105"/>
          <w:sz w:val="17"/>
        </w:rPr>
        <w:t>infestans</w:t>
      </w:r>
      <w:r>
        <w:rPr>
          <w:i/>
          <w:spacing w:val="18"/>
          <w:w w:val="105"/>
          <w:sz w:val="17"/>
        </w:rPr>
        <w:t> </w:t>
      </w:r>
      <w:r>
        <w:rPr>
          <w:w w:val="105"/>
          <w:sz w:val="17"/>
        </w:rPr>
        <w:t>were</w:t>
      </w:r>
      <w:r>
        <w:rPr>
          <w:spacing w:val="18"/>
          <w:w w:val="105"/>
          <w:sz w:val="17"/>
        </w:rPr>
        <w:t> </w:t>
      </w:r>
      <w:r>
        <w:rPr>
          <w:w w:val="105"/>
          <w:sz w:val="17"/>
        </w:rPr>
        <w:t>homothallic.</w:t>
      </w:r>
      <w:r>
        <w:rPr>
          <w:spacing w:val="18"/>
          <w:w w:val="105"/>
          <w:sz w:val="17"/>
        </w:rPr>
        <w:t> </w:t>
      </w:r>
      <w:r>
        <w:rPr>
          <w:w w:val="105"/>
          <w:sz w:val="17"/>
        </w:rPr>
        <w:t>No</w:t>
      </w:r>
      <w:r>
        <w:rPr>
          <w:spacing w:val="18"/>
          <w:w w:val="105"/>
          <w:sz w:val="17"/>
        </w:rPr>
        <w:t> </w:t>
      </w:r>
      <w:r>
        <w:rPr>
          <w:w w:val="105"/>
          <w:sz w:val="17"/>
        </w:rPr>
        <w:t>progeny</w:t>
      </w:r>
      <w:r>
        <w:rPr>
          <w:spacing w:val="18"/>
          <w:w w:val="105"/>
          <w:sz w:val="17"/>
        </w:rPr>
        <w:t> </w:t>
      </w:r>
      <w:r>
        <w:rPr>
          <w:w w:val="105"/>
          <w:sz w:val="17"/>
        </w:rPr>
        <w:t>of</w:t>
      </w:r>
      <w:r>
        <w:rPr>
          <w:spacing w:val="19"/>
          <w:w w:val="105"/>
          <w:sz w:val="17"/>
        </w:rPr>
        <w:t> </w:t>
      </w:r>
      <w:r>
        <w:rPr>
          <w:w w:val="105"/>
          <w:sz w:val="17"/>
        </w:rPr>
        <w:t>A1A2</w:t>
      </w:r>
    </w:p>
    <w:p>
      <w:pPr>
        <w:pStyle w:val="BodyText"/>
        <w:spacing w:before="6"/>
        <w:rPr>
          <w:rFonts w:ascii="Times New Roman"/>
          <w:sz w:val="10"/>
        </w:rPr>
      </w:pPr>
    </w:p>
    <w:p>
      <w:pPr>
        <w:pStyle w:val="ListParagraph"/>
        <w:numPr>
          <w:ilvl w:val="0"/>
          <w:numId w:val="18"/>
        </w:numPr>
        <w:tabs>
          <w:tab w:pos="1447" w:val="left" w:leader="none"/>
          <w:tab w:pos="1448" w:val="left" w:leader="none"/>
        </w:tabs>
        <w:spacing w:line="240" w:lineRule="auto" w:before="80" w:after="0"/>
        <w:ind w:left="1447" w:right="0" w:hanging="453"/>
        <w:jc w:val="left"/>
        <w:rPr>
          <w:sz w:val="17"/>
        </w:rPr>
      </w:pPr>
      <w:r>
        <w:rPr>
          <w:w w:val="105"/>
          <w:sz w:val="17"/>
        </w:rPr>
        <w:t>mating</w:t>
      </w:r>
      <w:r>
        <w:rPr>
          <w:spacing w:val="30"/>
          <w:w w:val="105"/>
          <w:sz w:val="17"/>
        </w:rPr>
        <w:t> </w:t>
      </w:r>
      <w:r>
        <w:rPr>
          <w:w w:val="105"/>
          <w:sz w:val="17"/>
        </w:rPr>
        <w:t>type</w:t>
      </w:r>
      <w:r>
        <w:rPr>
          <w:spacing w:val="30"/>
          <w:w w:val="105"/>
          <w:sz w:val="17"/>
        </w:rPr>
        <w:t> </w:t>
      </w:r>
      <w:r>
        <w:rPr>
          <w:w w:val="105"/>
          <w:sz w:val="17"/>
        </w:rPr>
        <w:t>was</w:t>
      </w:r>
      <w:r>
        <w:rPr>
          <w:spacing w:val="30"/>
          <w:w w:val="105"/>
          <w:sz w:val="17"/>
        </w:rPr>
        <w:t> </w:t>
      </w:r>
      <w:r>
        <w:rPr>
          <w:w w:val="105"/>
          <w:sz w:val="17"/>
        </w:rPr>
        <w:t>found,</w:t>
      </w:r>
      <w:r>
        <w:rPr>
          <w:spacing w:val="30"/>
          <w:w w:val="105"/>
          <w:sz w:val="17"/>
        </w:rPr>
        <w:t> </w:t>
      </w:r>
      <w:r>
        <w:rPr>
          <w:w w:val="105"/>
          <w:sz w:val="17"/>
        </w:rPr>
        <w:t>whose</w:t>
      </w:r>
      <w:r>
        <w:rPr>
          <w:spacing w:val="30"/>
          <w:w w:val="105"/>
          <w:sz w:val="17"/>
        </w:rPr>
        <w:t> </w:t>
      </w:r>
      <w:r>
        <w:rPr>
          <w:w w:val="105"/>
          <w:sz w:val="17"/>
        </w:rPr>
        <w:t>characteristic</w:t>
      </w:r>
      <w:r>
        <w:rPr>
          <w:spacing w:val="30"/>
          <w:w w:val="105"/>
          <w:sz w:val="17"/>
        </w:rPr>
        <w:t> </w:t>
      </w:r>
      <w:r>
        <w:rPr>
          <w:w w:val="105"/>
          <w:sz w:val="17"/>
        </w:rPr>
        <w:t>is</w:t>
      </w:r>
      <w:r>
        <w:rPr>
          <w:spacing w:val="30"/>
          <w:w w:val="105"/>
          <w:sz w:val="17"/>
        </w:rPr>
        <w:t> </w:t>
      </w:r>
      <w:r>
        <w:rPr>
          <w:w w:val="105"/>
          <w:sz w:val="17"/>
        </w:rPr>
        <w:t>to</w:t>
      </w:r>
      <w:r>
        <w:rPr>
          <w:spacing w:val="30"/>
          <w:w w:val="105"/>
          <w:sz w:val="17"/>
        </w:rPr>
        <w:t> </w:t>
      </w:r>
      <w:r>
        <w:rPr>
          <w:w w:val="105"/>
          <w:sz w:val="17"/>
        </w:rPr>
        <w:t>produce</w:t>
      </w:r>
      <w:r>
        <w:rPr>
          <w:spacing w:val="30"/>
          <w:w w:val="105"/>
          <w:sz w:val="17"/>
        </w:rPr>
        <w:t> </w:t>
      </w:r>
      <w:r>
        <w:rPr>
          <w:w w:val="105"/>
          <w:sz w:val="17"/>
        </w:rPr>
        <w:t>oospores</w:t>
      </w:r>
      <w:r>
        <w:rPr>
          <w:spacing w:val="30"/>
          <w:w w:val="105"/>
          <w:sz w:val="17"/>
        </w:rPr>
        <w:t> </w:t>
      </w:r>
      <w:r>
        <w:rPr>
          <w:w w:val="105"/>
          <w:sz w:val="17"/>
        </w:rPr>
        <w:t>when</w:t>
      </w:r>
      <w:r>
        <w:rPr>
          <w:spacing w:val="30"/>
          <w:w w:val="105"/>
          <w:sz w:val="17"/>
        </w:rPr>
        <w:t> </w:t>
      </w:r>
      <w:r>
        <w:rPr>
          <w:w w:val="105"/>
          <w:sz w:val="17"/>
        </w:rPr>
        <w:t>faced</w:t>
      </w:r>
      <w:r>
        <w:rPr>
          <w:spacing w:val="30"/>
          <w:w w:val="105"/>
          <w:sz w:val="17"/>
        </w:rPr>
        <w:t> </w:t>
      </w:r>
      <w:r>
        <w:rPr>
          <w:w w:val="105"/>
          <w:sz w:val="17"/>
        </w:rPr>
        <w:t>with</w:t>
      </w:r>
    </w:p>
    <w:p>
      <w:pPr>
        <w:pStyle w:val="BodyText"/>
        <w:spacing w:before="6"/>
        <w:rPr>
          <w:rFonts w:ascii="Times New Roman"/>
          <w:sz w:val="10"/>
        </w:rPr>
      </w:pPr>
    </w:p>
    <w:p>
      <w:pPr>
        <w:pStyle w:val="ListParagraph"/>
        <w:numPr>
          <w:ilvl w:val="0"/>
          <w:numId w:val="18"/>
        </w:numPr>
        <w:tabs>
          <w:tab w:pos="1447" w:val="left" w:leader="none"/>
          <w:tab w:pos="1448" w:val="left" w:leader="none"/>
        </w:tabs>
        <w:spacing w:line="240" w:lineRule="auto" w:before="80" w:after="0"/>
        <w:ind w:left="1447" w:right="0" w:hanging="453"/>
        <w:jc w:val="left"/>
        <w:rPr>
          <w:sz w:val="17"/>
        </w:rPr>
      </w:pPr>
      <w:r>
        <w:rPr>
          <w:w w:val="105"/>
          <w:sz w:val="17"/>
        </w:rPr>
        <w:t>mating</w:t>
      </w:r>
      <w:r>
        <w:rPr>
          <w:spacing w:val="-8"/>
          <w:w w:val="105"/>
          <w:sz w:val="17"/>
        </w:rPr>
        <w:t> </w:t>
      </w:r>
      <w:r>
        <w:rPr>
          <w:w w:val="105"/>
          <w:sz w:val="17"/>
        </w:rPr>
        <w:t>types</w:t>
      </w:r>
      <w:r>
        <w:rPr>
          <w:spacing w:val="-8"/>
          <w:w w:val="105"/>
          <w:sz w:val="17"/>
        </w:rPr>
        <w:t> </w:t>
      </w:r>
      <w:r>
        <w:rPr>
          <w:w w:val="105"/>
          <w:sz w:val="17"/>
        </w:rPr>
        <w:t>A1</w:t>
      </w:r>
      <w:r>
        <w:rPr>
          <w:spacing w:val="-8"/>
          <w:w w:val="105"/>
          <w:sz w:val="17"/>
        </w:rPr>
        <w:t> </w:t>
      </w:r>
      <w:r>
        <w:rPr>
          <w:w w:val="105"/>
          <w:sz w:val="17"/>
        </w:rPr>
        <w:t>and</w:t>
      </w:r>
      <w:r>
        <w:rPr>
          <w:spacing w:val="-8"/>
          <w:w w:val="105"/>
          <w:sz w:val="17"/>
        </w:rPr>
        <w:t> </w:t>
      </w:r>
      <w:r>
        <w:rPr>
          <w:w w:val="105"/>
          <w:sz w:val="17"/>
        </w:rPr>
        <w:t>A2</w:t>
      </w:r>
      <w:r>
        <w:rPr>
          <w:spacing w:val="-8"/>
          <w:w w:val="105"/>
          <w:sz w:val="17"/>
        </w:rPr>
        <w:t> </w:t>
      </w:r>
      <w:r>
        <w:rPr>
          <w:w w:val="105"/>
          <w:sz w:val="17"/>
        </w:rPr>
        <w:t>but</w:t>
      </w:r>
      <w:r>
        <w:rPr>
          <w:spacing w:val="-8"/>
          <w:w w:val="105"/>
          <w:sz w:val="17"/>
        </w:rPr>
        <w:t> </w:t>
      </w:r>
      <w:r>
        <w:rPr>
          <w:w w:val="105"/>
          <w:sz w:val="17"/>
        </w:rPr>
        <w:t>is</w:t>
      </w:r>
      <w:r>
        <w:rPr>
          <w:spacing w:val="-8"/>
          <w:w w:val="105"/>
          <w:sz w:val="17"/>
        </w:rPr>
        <w:t> </w:t>
      </w:r>
      <w:r>
        <w:rPr>
          <w:w w:val="105"/>
          <w:sz w:val="17"/>
        </w:rPr>
        <w:t>not</w:t>
      </w:r>
      <w:r>
        <w:rPr>
          <w:spacing w:val="-8"/>
          <w:w w:val="105"/>
          <w:sz w:val="17"/>
        </w:rPr>
        <w:t> </w:t>
      </w:r>
      <w:r>
        <w:rPr>
          <w:w w:val="105"/>
          <w:sz w:val="17"/>
        </w:rPr>
        <w:t>able</w:t>
      </w:r>
      <w:r>
        <w:rPr>
          <w:spacing w:val="-8"/>
          <w:w w:val="105"/>
          <w:sz w:val="17"/>
        </w:rPr>
        <w:t> </w:t>
      </w:r>
      <w:r>
        <w:rPr>
          <w:w w:val="105"/>
          <w:sz w:val="17"/>
        </w:rPr>
        <w:t>to</w:t>
      </w:r>
      <w:r>
        <w:rPr>
          <w:spacing w:val="-8"/>
          <w:w w:val="105"/>
          <w:sz w:val="17"/>
        </w:rPr>
        <w:t> </w:t>
      </w:r>
      <w:r>
        <w:rPr>
          <w:w w:val="105"/>
          <w:sz w:val="17"/>
        </w:rPr>
        <w:t>produce</w:t>
      </w:r>
      <w:r>
        <w:rPr>
          <w:spacing w:val="-8"/>
          <w:w w:val="105"/>
          <w:sz w:val="17"/>
        </w:rPr>
        <w:t> </w:t>
      </w:r>
      <w:r>
        <w:rPr>
          <w:w w:val="105"/>
          <w:sz w:val="17"/>
        </w:rPr>
        <w:t>oospores</w:t>
      </w:r>
      <w:r>
        <w:rPr>
          <w:spacing w:val="-8"/>
          <w:w w:val="105"/>
          <w:sz w:val="17"/>
        </w:rPr>
        <w:t> </w:t>
      </w:r>
      <w:r>
        <w:rPr>
          <w:w w:val="105"/>
          <w:sz w:val="17"/>
        </w:rPr>
        <w:t>alone.</w:t>
      </w:r>
      <w:r>
        <w:rPr>
          <w:spacing w:val="-8"/>
          <w:w w:val="105"/>
          <w:sz w:val="17"/>
        </w:rPr>
        <w:t> </w:t>
      </w:r>
      <w:r>
        <w:rPr>
          <w:w w:val="105"/>
          <w:sz w:val="17"/>
        </w:rPr>
        <w:t>Homothallic</w:t>
      </w:r>
      <w:r>
        <w:rPr>
          <w:spacing w:val="-8"/>
          <w:w w:val="105"/>
          <w:sz w:val="17"/>
        </w:rPr>
        <w:t> </w:t>
      </w:r>
      <w:r>
        <w:rPr>
          <w:w w:val="105"/>
          <w:sz w:val="17"/>
        </w:rPr>
        <w:t>six</w:t>
      </w:r>
      <w:r>
        <w:rPr>
          <w:spacing w:val="-8"/>
          <w:w w:val="105"/>
          <w:sz w:val="17"/>
        </w:rPr>
        <w:t> </w:t>
      </w:r>
      <w:r>
        <w:rPr>
          <w:w w:val="105"/>
          <w:sz w:val="17"/>
        </w:rPr>
        <w:t>isolates</w:t>
      </w:r>
    </w:p>
    <w:p>
      <w:pPr>
        <w:pStyle w:val="BodyText"/>
        <w:spacing w:before="6"/>
        <w:rPr>
          <w:rFonts w:ascii="Times New Roman"/>
          <w:sz w:val="10"/>
        </w:rPr>
      </w:pPr>
    </w:p>
    <w:p>
      <w:pPr>
        <w:pStyle w:val="ListParagraph"/>
        <w:numPr>
          <w:ilvl w:val="0"/>
          <w:numId w:val="18"/>
        </w:numPr>
        <w:tabs>
          <w:tab w:pos="1447" w:val="left" w:leader="none"/>
          <w:tab w:pos="1448" w:val="left" w:leader="none"/>
        </w:tabs>
        <w:spacing w:line="240" w:lineRule="auto" w:before="80" w:after="0"/>
        <w:ind w:left="1447" w:right="0" w:hanging="453"/>
        <w:jc w:val="left"/>
        <w:rPr>
          <w:sz w:val="17"/>
        </w:rPr>
      </w:pPr>
      <w:r>
        <w:rPr>
          <w:w w:val="105"/>
          <w:sz w:val="17"/>
        </w:rPr>
        <w:t>produced a 1:1 ratio in the mating types A1 and A2. The ability to present the</w:t>
      </w:r>
      <w:r>
        <w:rPr>
          <w:spacing w:val="-26"/>
          <w:w w:val="105"/>
          <w:sz w:val="17"/>
        </w:rPr>
        <w:t> </w:t>
      </w:r>
      <w:r>
        <w:rPr>
          <w:w w:val="105"/>
          <w:sz w:val="17"/>
        </w:rPr>
        <w:t>homothallic</w:t>
      </w:r>
    </w:p>
    <w:p>
      <w:pPr>
        <w:pStyle w:val="BodyText"/>
        <w:spacing w:before="6"/>
        <w:rPr>
          <w:rFonts w:ascii="Times New Roman"/>
          <w:sz w:val="10"/>
        </w:rPr>
      </w:pPr>
    </w:p>
    <w:p>
      <w:pPr>
        <w:pStyle w:val="ListParagraph"/>
        <w:numPr>
          <w:ilvl w:val="0"/>
          <w:numId w:val="18"/>
        </w:numPr>
        <w:tabs>
          <w:tab w:pos="1447" w:val="left" w:leader="none"/>
          <w:tab w:pos="1448" w:val="left" w:leader="none"/>
        </w:tabs>
        <w:spacing w:line="240" w:lineRule="auto" w:before="80" w:after="0"/>
        <w:ind w:left="1447" w:right="0" w:hanging="453"/>
        <w:jc w:val="left"/>
        <w:rPr>
          <w:sz w:val="17"/>
        </w:rPr>
      </w:pPr>
      <w:r>
        <w:rPr>
          <w:w w:val="105"/>
          <w:sz w:val="17"/>
        </w:rPr>
        <w:t>isolates of </w:t>
      </w:r>
      <w:r>
        <w:rPr>
          <w:i/>
          <w:w w:val="105"/>
          <w:sz w:val="17"/>
        </w:rPr>
        <w:t>P. infestans </w:t>
      </w:r>
      <w:r>
        <w:rPr>
          <w:w w:val="105"/>
          <w:sz w:val="17"/>
        </w:rPr>
        <w:t>to produce homothallic progeny through zoospores done   </w:t>
      </w:r>
      <w:r>
        <w:rPr>
          <w:spacing w:val="10"/>
          <w:w w:val="105"/>
          <w:sz w:val="17"/>
        </w:rPr>
        <w:t> </w:t>
      </w:r>
      <w:r>
        <w:rPr>
          <w:w w:val="105"/>
          <w:sz w:val="17"/>
        </w:rPr>
        <w:t>quickly</w:t>
      </w:r>
    </w:p>
    <w:p>
      <w:pPr>
        <w:pStyle w:val="BodyText"/>
        <w:spacing w:before="6"/>
        <w:rPr>
          <w:rFonts w:ascii="Times New Roman"/>
          <w:sz w:val="10"/>
        </w:rPr>
      </w:pPr>
    </w:p>
    <w:p>
      <w:pPr>
        <w:pStyle w:val="ListParagraph"/>
        <w:numPr>
          <w:ilvl w:val="0"/>
          <w:numId w:val="18"/>
        </w:numPr>
        <w:tabs>
          <w:tab w:pos="1447" w:val="left" w:leader="none"/>
          <w:tab w:pos="1448" w:val="left" w:leader="none"/>
        </w:tabs>
        <w:spacing w:line="240" w:lineRule="auto" w:before="80" w:after="0"/>
        <w:ind w:left="1447" w:right="0" w:hanging="453"/>
        <w:jc w:val="left"/>
        <w:rPr>
          <w:sz w:val="17"/>
        </w:rPr>
      </w:pPr>
      <w:r>
        <w:rPr>
          <w:w w:val="105"/>
          <w:sz w:val="17"/>
        </w:rPr>
        <w:t>increase</w:t>
      </w:r>
      <w:r>
        <w:rPr>
          <w:spacing w:val="-3"/>
          <w:w w:val="105"/>
          <w:sz w:val="17"/>
        </w:rPr>
        <w:t> </w:t>
      </w:r>
      <w:r>
        <w:rPr>
          <w:w w:val="105"/>
          <w:sz w:val="17"/>
        </w:rPr>
        <w:t>the</w:t>
      </w:r>
      <w:r>
        <w:rPr>
          <w:spacing w:val="-3"/>
          <w:w w:val="105"/>
          <w:sz w:val="17"/>
        </w:rPr>
        <w:t> </w:t>
      </w:r>
      <w:r>
        <w:rPr>
          <w:w w:val="105"/>
          <w:sz w:val="17"/>
        </w:rPr>
        <w:t>size</w:t>
      </w:r>
      <w:r>
        <w:rPr>
          <w:spacing w:val="-3"/>
          <w:w w:val="105"/>
          <w:sz w:val="17"/>
        </w:rPr>
        <w:t> </w:t>
      </w:r>
      <w:r>
        <w:rPr>
          <w:w w:val="105"/>
          <w:sz w:val="17"/>
        </w:rPr>
        <w:t>of</w:t>
      </w:r>
      <w:r>
        <w:rPr>
          <w:spacing w:val="-3"/>
          <w:w w:val="105"/>
          <w:sz w:val="17"/>
        </w:rPr>
        <w:t> </w:t>
      </w:r>
      <w:r>
        <w:rPr>
          <w:w w:val="105"/>
          <w:sz w:val="17"/>
        </w:rPr>
        <w:t>the</w:t>
      </w:r>
      <w:r>
        <w:rPr>
          <w:spacing w:val="-3"/>
          <w:w w:val="105"/>
          <w:sz w:val="17"/>
        </w:rPr>
        <w:t> </w:t>
      </w:r>
      <w:r>
        <w:rPr>
          <w:w w:val="105"/>
          <w:sz w:val="17"/>
        </w:rPr>
        <w:t>population</w:t>
      </w:r>
      <w:r>
        <w:rPr>
          <w:spacing w:val="-3"/>
          <w:w w:val="105"/>
          <w:sz w:val="17"/>
        </w:rPr>
        <w:t> </w:t>
      </w:r>
      <w:r>
        <w:rPr>
          <w:w w:val="105"/>
          <w:sz w:val="17"/>
        </w:rPr>
        <w:t>homothallic</w:t>
      </w:r>
      <w:r>
        <w:rPr>
          <w:spacing w:val="-3"/>
          <w:w w:val="105"/>
          <w:sz w:val="17"/>
        </w:rPr>
        <w:t> </w:t>
      </w:r>
      <w:r>
        <w:rPr>
          <w:w w:val="105"/>
          <w:sz w:val="17"/>
        </w:rPr>
        <w:t>in</w:t>
      </w:r>
      <w:r>
        <w:rPr>
          <w:spacing w:val="-3"/>
          <w:w w:val="105"/>
          <w:sz w:val="17"/>
        </w:rPr>
        <w:t> </w:t>
      </w:r>
      <w:r>
        <w:rPr>
          <w:w w:val="105"/>
          <w:sz w:val="17"/>
        </w:rPr>
        <w:t>the</w:t>
      </w:r>
      <w:r>
        <w:rPr>
          <w:spacing w:val="-3"/>
          <w:w w:val="105"/>
          <w:sz w:val="17"/>
        </w:rPr>
        <w:t> </w:t>
      </w:r>
      <w:r>
        <w:rPr>
          <w:w w:val="105"/>
          <w:sz w:val="17"/>
        </w:rPr>
        <w:t>crop,</w:t>
      </w:r>
      <w:r>
        <w:rPr>
          <w:spacing w:val="-3"/>
          <w:w w:val="105"/>
          <w:sz w:val="17"/>
        </w:rPr>
        <w:t> </w:t>
      </w:r>
      <w:r>
        <w:rPr>
          <w:w w:val="105"/>
          <w:sz w:val="17"/>
        </w:rPr>
        <w:t>allowing</w:t>
      </w:r>
      <w:r>
        <w:rPr>
          <w:spacing w:val="-3"/>
          <w:w w:val="105"/>
          <w:sz w:val="17"/>
        </w:rPr>
        <w:t> </w:t>
      </w:r>
      <w:r>
        <w:rPr>
          <w:w w:val="105"/>
          <w:sz w:val="17"/>
        </w:rPr>
        <w:t>spread</w:t>
      </w:r>
      <w:r>
        <w:rPr>
          <w:spacing w:val="-3"/>
          <w:w w:val="105"/>
          <w:sz w:val="17"/>
        </w:rPr>
        <w:t> </w:t>
      </w:r>
      <w:r>
        <w:rPr>
          <w:w w:val="105"/>
          <w:sz w:val="17"/>
        </w:rPr>
        <w:t>to</w:t>
      </w:r>
      <w:r>
        <w:rPr>
          <w:spacing w:val="-3"/>
          <w:w w:val="105"/>
          <w:sz w:val="17"/>
        </w:rPr>
        <w:t> </w:t>
      </w:r>
      <w:r>
        <w:rPr>
          <w:w w:val="105"/>
          <w:sz w:val="17"/>
        </w:rPr>
        <w:t>neighboring</w:t>
      </w:r>
    </w:p>
    <w:p>
      <w:pPr>
        <w:pStyle w:val="BodyText"/>
        <w:spacing w:before="6"/>
        <w:rPr>
          <w:rFonts w:ascii="Times New Roman"/>
          <w:sz w:val="10"/>
        </w:rPr>
      </w:pPr>
    </w:p>
    <w:p>
      <w:pPr>
        <w:pStyle w:val="ListParagraph"/>
        <w:numPr>
          <w:ilvl w:val="0"/>
          <w:numId w:val="18"/>
        </w:numPr>
        <w:tabs>
          <w:tab w:pos="1447" w:val="left" w:leader="none"/>
          <w:tab w:pos="1448" w:val="left" w:leader="none"/>
        </w:tabs>
        <w:spacing w:line="240" w:lineRule="auto" w:before="80" w:after="0"/>
        <w:ind w:left="1447" w:right="0" w:hanging="453"/>
        <w:jc w:val="left"/>
        <w:rPr>
          <w:sz w:val="17"/>
        </w:rPr>
      </w:pPr>
      <w:r>
        <w:rPr>
          <w:w w:val="105"/>
          <w:sz w:val="17"/>
        </w:rPr>
        <w:t>plots</w:t>
      </w:r>
      <w:r>
        <w:rPr>
          <w:spacing w:val="-11"/>
          <w:w w:val="105"/>
          <w:sz w:val="17"/>
        </w:rPr>
        <w:t> </w:t>
      </w:r>
      <w:r>
        <w:rPr>
          <w:w w:val="105"/>
          <w:sz w:val="17"/>
        </w:rPr>
        <w:t>and</w:t>
      </w:r>
      <w:r>
        <w:rPr>
          <w:spacing w:val="-11"/>
          <w:w w:val="105"/>
          <w:sz w:val="17"/>
        </w:rPr>
        <w:t> </w:t>
      </w:r>
      <w:r>
        <w:rPr>
          <w:w w:val="105"/>
          <w:sz w:val="17"/>
        </w:rPr>
        <w:t>thus</w:t>
      </w:r>
      <w:r>
        <w:rPr>
          <w:spacing w:val="-11"/>
          <w:w w:val="105"/>
          <w:sz w:val="17"/>
        </w:rPr>
        <w:t> </w:t>
      </w:r>
      <w:r>
        <w:rPr>
          <w:w w:val="105"/>
          <w:sz w:val="17"/>
        </w:rPr>
        <w:t>increase</w:t>
      </w:r>
      <w:r>
        <w:rPr>
          <w:spacing w:val="-11"/>
          <w:w w:val="105"/>
          <w:sz w:val="17"/>
        </w:rPr>
        <w:t> </w:t>
      </w:r>
      <w:r>
        <w:rPr>
          <w:w w:val="105"/>
          <w:sz w:val="17"/>
        </w:rPr>
        <w:t>the</w:t>
      </w:r>
      <w:r>
        <w:rPr>
          <w:spacing w:val="-11"/>
          <w:w w:val="105"/>
          <w:sz w:val="17"/>
        </w:rPr>
        <w:t> </w:t>
      </w:r>
      <w:r>
        <w:rPr>
          <w:w w:val="105"/>
          <w:sz w:val="17"/>
        </w:rPr>
        <w:t>inoculum</w:t>
      </w:r>
      <w:r>
        <w:rPr>
          <w:spacing w:val="-11"/>
          <w:w w:val="105"/>
          <w:sz w:val="17"/>
        </w:rPr>
        <w:t> </w:t>
      </w:r>
      <w:r>
        <w:rPr>
          <w:w w:val="105"/>
          <w:sz w:val="17"/>
        </w:rPr>
        <w:t>source</w:t>
      </w:r>
      <w:r>
        <w:rPr>
          <w:spacing w:val="-11"/>
          <w:w w:val="105"/>
          <w:sz w:val="17"/>
        </w:rPr>
        <w:t> </w:t>
      </w:r>
      <w:r>
        <w:rPr>
          <w:w w:val="105"/>
          <w:sz w:val="17"/>
        </w:rPr>
        <w:t>of</w:t>
      </w:r>
      <w:r>
        <w:rPr>
          <w:spacing w:val="-11"/>
          <w:w w:val="105"/>
          <w:sz w:val="17"/>
        </w:rPr>
        <w:t> </w:t>
      </w:r>
      <w:r>
        <w:rPr>
          <w:w w:val="105"/>
          <w:sz w:val="17"/>
        </w:rPr>
        <w:t>disease</w:t>
      </w:r>
      <w:r>
        <w:rPr>
          <w:spacing w:val="-11"/>
          <w:w w:val="105"/>
          <w:sz w:val="17"/>
        </w:rPr>
        <w:t> </w:t>
      </w:r>
      <w:r>
        <w:rPr>
          <w:w w:val="105"/>
          <w:sz w:val="17"/>
        </w:rPr>
        <w:t>Late</w:t>
      </w:r>
      <w:r>
        <w:rPr>
          <w:spacing w:val="-11"/>
          <w:w w:val="105"/>
          <w:sz w:val="17"/>
        </w:rPr>
        <w:t> </w:t>
      </w:r>
      <w:r>
        <w:rPr>
          <w:w w:val="105"/>
          <w:sz w:val="17"/>
        </w:rPr>
        <w:t>Blight.</w:t>
      </w:r>
      <w:r>
        <w:rPr>
          <w:spacing w:val="-11"/>
          <w:w w:val="105"/>
          <w:sz w:val="17"/>
        </w:rPr>
        <w:t> </w:t>
      </w:r>
      <w:r>
        <w:rPr>
          <w:w w:val="105"/>
          <w:sz w:val="17"/>
        </w:rPr>
        <w:t>The</w:t>
      </w:r>
      <w:r>
        <w:rPr>
          <w:spacing w:val="-11"/>
          <w:w w:val="105"/>
          <w:sz w:val="17"/>
        </w:rPr>
        <w:t> </w:t>
      </w:r>
      <w:r>
        <w:rPr>
          <w:w w:val="105"/>
          <w:sz w:val="17"/>
        </w:rPr>
        <w:t>number</w:t>
      </w:r>
      <w:r>
        <w:rPr>
          <w:spacing w:val="-11"/>
          <w:w w:val="105"/>
          <w:sz w:val="17"/>
        </w:rPr>
        <w:t> </w:t>
      </w:r>
      <w:r>
        <w:rPr>
          <w:w w:val="105"/>
          <w:sz w:val="17"/>
        </w:rPr>
        <w:t>of</w:t>
      </w:r>
      <w:r>
        <w:rPr>
          <w:spacing w:val="-11"/>
          <w:w w:val="105"/>
          <w:sz w:val="17"/>
        </w:rPr>
        <w:t> </w:t>
      </w:r>
      <w:r>
        <w:rPr>
          <w:w w:val="105"/>
          <w:sz w:val="17"/>
        </w:rPr>
        <w:t>oospores</w:t>
      </w:r>
    </w:p>
    <w:p>
      <w:pPr>
        <w:pStyle w:val="BodyText"/>
        <w:spacing w:before="6"/>
        <w:rPr>
          <w:rFonts w:ascii="Times New Roman"/>
          <w:sz w:val="10"/>
        </w:rPr>
      </w:pPr>
    </w:p>
    <w:p>
      <w:pPr>
        <w:pStyle w:val="ListParagraph"/>
        <w:numPr>
          <w:ilvl w:val="0"/>
          <w:numId w:val="18"/>
        </w:numPr>
        <w:tabs>
          <w:tab w:pos="1447" w:val="left" w:leader="none"/>
          <w:tab w:pos="1448" w:val="left" w:leader="none"/>
        </w:tabs>
        <w:spacing w:line="240" w:lineRule="auto" w:before="80" w:after="0"/>
        <w:ind w:left="1447" w:right="0" w:hanging="453"/>
        <w:jc w:val="left"/>
        <w:rPr>
          <w:sz w:val="17"/>
        </w:rPr>
      </w:pPr>
      <w:r>
        <w:rPr>
          <w:w w:val="105"/>
          <w:sz w:val="17"/>
        </w:rPr>
        <w:t>in</w:t>
      </w:r>
      <w:r>
        <w:rPr>
          <w:spacing w:val="15"/>
          <w:w w:val="105"/>
          <w:sz w:val="17"/>
        </w:rPr>
        <w:t> </w:t>
      </w:r>
      <w:r>
        <w:rPr>
          <w:w w:val="105"/>
          <w:sz w:val="17"/>
        </w:rPr>
        <w:t>crosses</w:t>
      </w:r>
      <w:r>
        <w:rPr>
          <w:spacing w:val="15"/>
          <w:w w:val="105"/>
          <w:sz w:val="17"/>
        </w:rPr>
        <w:t> </w:t>
      </w:r>
      <w:r>
        <w:rPr>
          <w:w w:val="105"/>
          <w:sz w:val="17"/>
        </w:rPr>
        <w:t>between</w:t>
      </w:r>
      <w:r>
        <w:rPr>
          <w:spacing w:val="15"/>
          <w:w w:val="105"/>
          <w:sz w:val="17"/>
        </w:rPr>
        <w:t> </w:t>
      </w:r>
      <w:r>
        <w:rPr>
          <w:w w:val="105"/>
          <w:sz w:val="17"/>
        </w:rPr>
        <w:t>heterothallic</w:t>
      </w:r>
      <w:r>
        <w:rPr>
          <w:spacing w:val="15"/>
          <w:w w:val="105"/>
          <w:sz w:val="17"/>
        </w:rPr>
        <w:t> </w:t>
      </w:r>
      <w:r>
        <w:rPr>
          <w:w w:val="105"/>
          <w:sz w:val="17"/>
        </w:rPr>
        <w:t>homothallic</w:t>
      </w:r>
      <w:r>
        <w:rPr>
          <w:spacing w:val="15"/>
          <w:w w:val="105"/>
          <w:sz w:val="17"/>
        </w:rPr>
        <w:t> </w:t>
      </w:r>
      <w:r>
        <w:rPr>
          <w:w w:val="105"/>
          <w:sz w:val="17"/>
        </w:rPr>
        <w:t>isolates</w:t>
      </w:r>
      <w:r>
        <w:rPr>
          <w:spacing w:val="15"/>
          <w:w w:val="105"/>
          <w:sz w:val="17"/>
        </w:rPr>
        <w:t> </w:t>
      </w:r>
      <w:r>
        <w:rPr>
          <w:w w:val="105"/>
          <w:sz w:val="17"/>
        </w:rPr>
        <w:t>and</w:t>
      </w:r>
      <w:r>
        <w:rPr>
          <w:spacing w:val="15"/>
          <w:w w:val="105"/>
          <w:sz w:val="17"/>
        </w:rPr>
        <w:t> </w:t>
      </w:r>
      <w:r>
        <w:rPr>
          <w:w w:val="105"/>
          <w:sz w:val="17"/>
        </w:rPr>
        <w:t>type</w:t>
      </w:r>
      <w:r>
        <w:rPr>
          <w:spacing w:val="15"/>
          <w:w w:val="105"/>
          <w:sz w:val="17"/>
        </w:rPr>
        <w:t> </w:t>
      </w:r>
      <w:r>
        <w:rPr>
          <w:w w:val="105"/>
          <w:sz w:val="17"/>
        </w:rPr>
        <w:t>A1</w:t>
      </w:r>
      <w:r>
        <w:rPr>
          <w:spacing w:val="15"/>
          <w:w w:val="105"/>
          <w:sz w:val="17"/>
        </w:rPr>
        <w:t> </w:t>
      </w:r>
      <w:r>
        <w:rPr>
          <w:w w:val="105"/>
          <w:sz w:val="17"/>
        </w:rPr>
        <w:t>was</w:t>
      </w:r>
      <w:r>
        <w:rPr>
          <w:spacing w:val="15"/>
          <w:w w:val="105"/>
          <w:sz w:val="17"/>
        </w:rPr>
        <w:t> </w:t>
      </w:r>
      <w:r>
        <w:rPr>
          <w:w w:val="105"/>
          <w:sz w:val="17"/>
        </w:rPr>
        <w:t>1.8</w:t>
      </w:r>
      <w:r>
        <w:rPr>
          <w:spacing w:val="15"/>
          <w:w w:val="105"/>
          <w:sz w:val="17"/>
        </w:rPr>
        <w:t> </w:t>
      </w:r>
      <w:r>
        <w:rPr>
          <w:w w:val="105"/>
          <w:sz w:val="17"/>
        </w:rPr>
        <w:t>times</w:t>
      </w:r>
      <w:r>
        <w:rPr>
          <w:spacing w:val="15"/>
          <w:w w:val="105"/>
          <w:sz w:val="17"/>
        </w:rPr>
        <w:t> </w:t>
      </w:r>
      <w:r>
        <w:rPr>
          <w:w w:val="105"/>
          <w:sz w:val="17"/>
        </w:rPr>
        <w:t>greater</w:t>
      </w:r>
    </w:p>
    <w:p>
      <w:pPr>
        <w:pStyle w:val="BodyText"/>
        <w:spacing w:before="6"/>
        <w:rPr>
          <w:rFonts w:ascii="Times New Roman"/>
          <w:sz w:val="10"/>
        </w:rPr>
      </w:pPr>
    </w:p>
    <w:p>
      <w:pPr>
        <w:pStyle w:val="ListParagraph"/>
        <w:numPr>
          <w:ilvl w:val="0"/>
          <w:numId w:val="18"/>
        </w:numPr>
        <w:tabs>
          <w:tab w:pos="1447" w:val="left" w:leader="none"/>
          <w:tab w:pos="1448" w:val="left" w:leader="none"/>
        </w:tabs>
        <w:spacing w:line="240" w:lineRule="auto" w:before="80" w:after="0"/>
        <w:ind w:left="1447" w:right="0" w:hanging="453"/>
        <w:jc w:val="left"/>
        <w:rPr>
          <w:sz w:val="17"/>
        </w:rPr>
      </w:pPr>
      <w:r>
        <w:rPr>
          <w:w w:val="105"/>
          <w:sz w:val="17"/>
        </w:rPr>
        <w:t>than</w:t>
      </w:r>
      <w:r>
        <w:rPr>
          <w:spacing w:val="37"/>
          <w:w w:val="105"/>
          <w:sz w:val="17"/>
        </w:rPr>
        <w:t> </w:t>
      </w:r>
      <w:r>
        <w:rPr>
          <w:w w:val="105"/>
          <w:sz w:val="17"/>
        </w:rPr>
        <w:t>the</w:t>
      </w:r>
      <w:r>
        <w:rPr>
          <w:spacing w:val="37"/>
          <w:w w:val="105"/>
          <w:sz w:val="17"/>
        </w:rPr>
        <w:t> </w:t>
      </w:r>
      <w:r>
        <w:rPr>
          <w:w w:val="105"/>
          <w:sz w:val="17"/>
        </w:rPr>
        <w:t>number</w:t>
      </w:r>
      <w:r>
        <w:rPr>
          <w:spacing w:val="37"/>
          <w:w w:val="105"/>
          <w:sz w:val="17"/>
        </w:rPr>
        <w:t> </w:t>
      </w:r>
      <w:r>
        <w:rPr>
          <w:w w:val="105"/>
          <w:sz w:val="17"/>
        </w:rPr>
        <w:t>of</w:t>
      </w:r>
      <w:r>
        <w:rPr>
          <w:spacing w:val="37"/>
          <w:w w:val="105"/>
          <w:sz w:val="17"/>
        </w:rPr>
        <w:t> </w:t>
      </w:r>
      <w:r>
        <w:rPr>
          <w:w w:val="105"/>
          <w:sz w:val="17"/>
        </w:rPr>
        <w:t>oospores</w:t>
      </w:r>
      <w:r>
        <w:rPr>
          <w:spacing w:val="37"/>
          <w:w w:val="105"/>
          <w:sz w:val="17"/>
        </w:rPr>
        <w:t> </w:t>
      </w:r>
      <w:r>
        <w:rPr>
          <w:w w:val="105"/>
          <w:sz w:val="17"/>
        </w:rPr>
        <w:t>produced</w:t>
      </w:r>
      <w:r>
        <w:rPr>
          <w:spacing w:val="37"/>
          <w:w w:val="105"/>
          <w:sz w:val="17"/>
        </w:rPr>
        <w:t> </w:t>
      </w:r>
      <w:r>
        <w:rPr>
          <w:w w:val="105"/>
          <w:sz w:val="17"/>
        </w:rPr>
        <w:t>strictly</w:t>
      </w:r>
      <w:r>
        <w:rPr>
          <w:spacing w:val="37"/>
          <w:w w:val="105"/>
          <w:sz w:val="17"/>
        </w:rPr>
        <w:t> </w:t>
      </w:r>
      <w:r>
        <w:rPr>
          <w:w w:val="105"/>
          <w:sz w:val="17"/>
        </w:rPr>
        <w:t>heterothallic</w:t>
      </w:r>
      <w:r>
        <w:rPr>
          <w:spacing w:val="37"/>
          <w:w w:val="105"/>
          <w:sz w:val="17"/>
        </w:rPr>
        <w:t> </w:t>
      </w:r>
      <w:r>
        <w:rPr>
          <w:w w:val="105"/>
          <w:sz w:val="17"/>
        </w:rPr>
        <w:t>crosses</w:t>
      </w:r>
      <w:r>
        <w:rPr>
          <w:spacing w:val="37"/>
          <w:w w:val="105"/>
          <w:sz w:val="17"/>
        </w:rPr>
        <w:t> </w:t>
      </w:r>
      <w:r>
        <w:rPr>
          <w:w w:val="105"/>
          <w:sz w:val="17"/>
        </w:rPr>
        <w:t>(A1</w:t>
      </w:r>
      <w:r>
        <w:rPr>
          <w:spacing w:val="37"/>
          <w:w w:val="105"/>
          <w:sz w:val="17"/>
        </w:rPr>
        <w:t> </w:t>
      </w:r>
      <w:r>
        <w:rPr>
          <w:w w:val="105"/>
          <w:sz w:val="17"/>
        </w:rPr>
        <w:t>x</w:t>
      </w:r>
      <w:r>
        <w:rPr>
          <w:spacing w:val="37"/>
          <w:w w:val="105"/>
          <w:sz w:val="17"/>
        </w:rPr>
        <w:t> </w:t>
      </w:r>
      <w:r>
        <w:rPr>
          <w:w w:val="105"/>
          <w:sz w:val="17"/>
        </w:rPr>
        <w:t>A2).</w:t>
      </w:r>
      <w:r>
        <w:rPr>
          <w:spacing w:val="37"/>
          <w:w w:val="105"/>
          <w:sz w:val="17"/>
        </w:rPr>
        <w:t> </w:t>
      </w:r>
      <w:r>
        <w:rPr>
          <w:w w:val="105"/>
          <w:sz w:val="17"/>
        </w:rPr>
        <w:t>This</w:t>
      </w:r>
    </w:p>
    <w:p>
      <w:pPr>
        <w:pStyle w:val="BodyText"/>
        <w:spacing w:before="6"/>
        <w:rPr>
          <w:rFonts w:ascii="Times New Roman"/>
          <w:sz w:val="10"/>
        </w:rPr>
      </w:pPr>
    </w:p>
    <w:p>
      <w:pPr>
        <w:pStyle w:val="ListParagraph"/>
        <w:numPr>
          <w:ilvl w:val="0"/>
          <w:numId w:val="18"/>
        </w:numPr>
        <w:tabs>
          <w:tab w:pos="1447" w:val="left" w:leader="none"/>
          <w:tab w:pos="1448" w:val="left" w:leader="none"/>
        </w:tabs>
        <w:spacing w:line="240" w:lineRule="auto" w:before="80" w:after="0"/>
        <w:ind w:left="1447" w:right="0" w:hanging="453"/>
        <w:jc w:val="left"/>
        <w:rPr>
          <w:sz w:val="17"/>
        </w:rPr>
      </w:pPr>
      <w:r>
        <w:rPr>
          <w:w w:val="105"/>
          <w:sz w:val="17"/>
        </w:rPr>
        <w:t>indicates</w:t>
      </w:r>
      <w:r>
        <w:rPr>
          <w:spacing w:val="-9"/>
          <w:w w:val="105"/>
          <w:sz w:val="17"/>
        </w:rPr>
        <w:t> </w:t>
      </w:r>
      <w:r>
        <w:rPr>
          <w:w w:val="105"/>
          <w:sz w:val="17"/>
        </w:rPr>
        <w:t>that</w:t>
      </w:r>
      <w:r>
        <w:rPr>
          <w:spacing w:val="-9"/>
          <w:w w:val="105"/>
          <w:sz w:val="17"/>
        </w:rPr>
        <w:t> </w:t>
      </w:r>
      <w:r>
        <w:rPr>
          <w:w w:val="105"/>
          <w:sz w:val="17"/>
        </w:rPr>
        <w:t>populations</w:t>
      </w:r>
      <w:r>
        <w:rPr>
          <w:spacing w:val="-9"/>
          <w:w w:val="105"/>
          <w:sz w:val="17"/>
        </w:rPr>
        <w:t> </w:t>
      </w:r>
      <w:r>
        <w:rPr>
          <w:w w:val="105"/>
          <w:sz w:val="17"/>
        </w:rPr>
        <w:t>of</w:t>
      </w:r>
      <w:r>
        <w:rPr>
          <w:spacing w:val="-9"/>
          <w:w w:val="105"/>
          <w:sz w:val="17"/>
        </w:rPr>
        <w:t> </w:t>
      </w:r>
      <w:r>
        <w:rPr>
          <w:i/>
          <w:w w:val="105"/>
          <w:sz w:val="17"/>
        </w:rPr>
        <w:t>P.</w:t>
      </w:r>
      <w:r>
        <w:rPr>
          <w:i/>
          <w:spacing w:val="-14"/>
          <w:w w:val="105"/>
          <w:sz w:val="17"/>
        </w:rPr>
        <w:t> </w:t>
      </w:r>
      <w:r>
        <w:rPr>
          <w:i/>
          <w:w w:val="105"/>
          <w:sz w:val="17"/>
        </w:rPr>
        <w:t>infestans</w:t>
      </w:r>
      <w:r>
        <w:rPr>
          <w:i/>
          <w:spacing w:val="-9"/>
          <w:w w:val="105"/>
          <w:sz w:val="17"/>
        </w:rPr>
        <w:t> </w:t>
      </w:r>
      <w:r>
        <w:rPr>
          <w:w w:val="105"/>
          <w:sz w:val="17"/>
        </w:rPr>
        <w:t>to</w:t>
      </w:r>
      <w:r>
        <w:rPr>
          <w:spacing w:val="-9"/>
          <w:w w:val="105"/>
          <w:sz w:val="17"/>
        </w:rPr>
        <w:t> </w:t>
      </w:r>
      <w:r>
        <w:rPr>
          <w:w w:val="105"/>
          <w:sz w:val="17"/>
        </w:rPr>
        <w:t>produce</w:t>
      </w:r>
      <w:r>
        <w:rPr>
          <w:spacing w:val="-9"/>
          <w:w w:val="105"/>
          <w:sz w:val="17"/>
        </w:rPr>
        <w:t> </w:t>
      </w:r>
      <w:r>
        <w:rPr>
          <w:w w:val="105"/>
          <w:sz w:val="17"/>
        </w:rPr>
        <w:t>more</w:t>
      </w:r>
      <w:r>
        <w:rPr>
          <w:spacing w:val="-9"/>
          <w:w w:val="105"/>
          <w:sz w:val="17"/>
        </w:rPr>
        <w:t> </w:t>
      </w:r>
      <w:r>
        <w:rPr>
          <w:w w:val="105"/>
          <w:sz w:val="17"/>
        </w:rPr>
        <w:t>probably</w:t>
      </w:r>
      <w:r>
        <w:rPr>
          <w:spacing w:val="-9"/>
          <w:w w:val="105"/>
          <w:sz w:val="17"/>
        </w:rPr>
        <w:t> </w:t>
      </w:r>
      <w:r>
        <w:rPr>
          <w:w w:val="105"/>
          <w:sz w:val="17"/>
        </w:rPr>
        <w:t>homothallic</w:t>
      </w:r>
      <w:r>
        <w:rPr>
          <w:spacing w:val="-9"/>
          <w:w w:val="105"/>
          <w:sz w:val="17"/>
        </w:rPr>
        <w:t> </w:t>
      </w:r>
      <w:r>
        <w:rPr>
          <w:w w:val="105"/>
          <w:sz w:val="17"/>
        </w:rPr>
        <w:t>oospores</w:t>
      </w:r>
      <w:r>
        <w:rPr>
          <w:spacing w:val="-9"/>
          <w:w w:val="105"/>
          <w:sz w:val="17"/>
        </w:rPr>
        <w:t> </w:t>
      </w:r>
      <w:r>
        <w:rPr>
          <w:w w:val="105"/>
          <w:sz w:val="17"/>
        </w:rPr>
        <w:t>a</w:t>
      </w:r>
    </w:p>
    <w:p>
      <w:pPr>
        <w:pStyle w:val="BodyText"/>
        <w:spacing w:before="6"/>
        <w:rPr>
          <w:rFonts w:ascii="Times New Roman"/>
          <w:sz w:val="10"/>
        </w:rPr>
      </w:pPr>
    </w:p>
    <w:p>
      <w:pPr>
        <w:pStyle w:val="ListParagraph"/>
        <w:numPr>
          <w:ilvl w:val="0"/>
          <w:numId w:val="18"/>
        </w:numPr>
        <w:tabs>
          <w:tab w:pos="1447" w:val="left" w:leader="none"/>
          <w:tab w:pos="1448" w:val="left" w:leader="none"/>
        </w:tabs>
        <w:spacing w:line="240" w:lineRule="auto" w:before="80" w:after="0"/>
        <w:ind w:left="1447" w:right="0" w:hanging="453"/>
        <w:jc w:val="left"/>
        <w:rPr>
          <w:sz w:val="17"/>
        </w:rPr>
      </w:pPr>
      <w:r>
        <w:rPr>
          <w:w w:val="105"/>
          <w:sz w:val="17"/>
        </w:rPr>
        <w:t>population</w:t>
      </w:r>
      <w:r>
        <w:rPr>
          <w:spacing w:val="-16"/>
          <w:w w:val="105"/>
          <w:sz w:val="17"/>
        </w:rPr>
        <w:t> </w:t>
      </w:r>
      <w:r>
        <w:rPr>
          <w:w w:val="105"/>
          <w:sz w:val="17"/>
        </w:rPr>
        <w:t>where</w:t>
      </w:r>
      <w:r>
        <w:rPr>
          <w:spacing w:val="-16"/>
          <w:w w:val="105"/>
          <w:sz w:val="17"/>
        </w:rPr>
        <w:t> </w:t>
      </w:r>
      <w:r>
        <w:rPr>
          <w:w w:val="105"/>
          <w:sz w:val="17"/>
        </w:rPr>
        <w:t>only</w:t>
      </w:r>
      <w:r>
        <w:rPr>
          <w:spacing w:val="-16"/>
          <w:w w:val="105"/>
          <w:sz w:val="17"/>
        </w:rPr>
        <w:t> </w:t>
      </w:r>
      <w:r>
        <w:rPr>
          <w:w w:val="105"/>
          <w:sz w:val="17"/>
        </w:rPr>
        <w:t>strains</w:t>
      </w:r>
      <w:r>
        <w:rPr>
          <w:spacing w:val="-16"/>
          <w:w w:val="105"/>
          <w:sz w:val="17"/>
        </w:rPr>
        <w:t> </w:t>
      </w:r>
      <w:r>
        <w:rPr>
          <w:w w:val="105"/>
          <w:sz w:val="17"/>
        </w:rPr>
        <w:t>are</w:t>
      </w:r>
      <w:r>
        <w:rPr>
          <w:spacing w:val="-16"/>
          <w:w w:val="105"/>
          <w:sz w:val="17"/>
        </w:rPr>
        <w:t> </w:t>
      </w:r>
      <w:r>
        <w:rPr>
          <w:w w:val="105"/>
          <w:sz w:val="17"/>
        </w:rPr>
        <w:t>heterothallic.</w:t>
      </w:r>
    </w:p>
    <w:p>
      <w:pPr>
        <w:pStyle w:val="BodyText"/>
        <w:spacing w:before="6"/>
        <w:rPr>
          <w:rFonts w:ascii="Times New Roman"/>
          <w:sz w:val="10"/>
        </w:rPr>
      </w:pPr>
    </w:p>
    <w:p>
      <w:pPr>
        <w:pStyle w:val="ListParagraph"/>
        <w:numPr>
          <w:ilvl w:val="0"/>
          <w:numId w:val="18"/>
        </w:numPr>
        <w:tabs>
          <w:tab w:pos="1447" w:val="left" w:leader="none"/>
          <w:tab w:pos="1448" w:val="left" w:leader="none"/>
        </w:tabs>
        <w:spacing w:line="240" w:lineRule="auto" w:before="80" w:after="0"/>
        <w:ind w:left="1447" w:right="0" w:hanging="453"/>
        <w:jc w:val="left"/>
        <w:rPr>
          <w:sz w:val="17"/>
        </w:rPr>
      </w:pPr>
      <w:r>
        <w:rPr>
          <w:w w:val="105"/>
          <w:sz w:val="17"/>
        </w:rPr>
        <w:t>Keywords:</w:t>
      </w:r>
      <w:r>
        <w:rPr>
          <w:spacing w:val="-25"/>
          <w:w w:val="105"/>
          <w:sz w:val="17"/>
        </w:rPr>
        <w:t> </w:t>
      </w:r>
      <w:r>
        <w:rPr>
          <w:w w:val="105"/>
          <w:sz w:val="17"/>
        </w:rPr>
        <w:t>homothallic,</w:t>
      </w:r>
      <w:r>
        <w:rPr>
          <w:spacing w:val="-25"/>
          <w:w w:val="105"/>
          <w:sz w:val="17"/>
        </w:rPr>
        <w:t> </w:t>
      </w:r>
      <w:r>
        <w:rPr>
          <w:w w:val="105"/>
          <w:sz w:val="17"/>
        </w:rPr>
        <w:t>oospore,</w:t>
      </w:r>
      <w:r>
        <w:rPr>
          <w:spacing w:val="-25"/>
          <w:w w:val="105"/>
          <w:sz w:val="17"/>
        </w:rPr>
        <w:t> </w:t>
      </w:r>
      <w:r>
        <w:rPr>
          <w:w w:val="105"/>
          <w:sz w:val="17"/>
        </w:rPr>
        <w:t>progeny.</w:t>
      </w:r>
    </w:p>
    <w:p>
      <w:pPr>
        <w:pStyle w:val="BodyText"/>
        <w:spacing w:before="5"/>
        <w:rPr>
          <w:rFonts w:ascii="Times New Roman"/>
          <w:sz w:val="17"/>
        </w:rPr>
      </w:pPr>
    </w:p>
    <w:p>
      <w:pPr>
        <w:spacing w:before="1"/>
        <w:ind w:left="994" w:right="0" w:firstLine="0"/>
        <w:jc w:val="left"/>
        <w:rPr>
          <w:rFonts w:ascii="Cambria"/>
          <w:sz w:val="17"/>
        </w:rPr>
      </w:pPr>
      <w:r>
        <w:rPr>
          <w:rFonts w:ascii="Cambria"/>
          <w:w w:val="105"/>
          <w:sz w:val="17"/>
        </w:rPr>
        <w:t>39</w:t>
      </w:r>
    </w:p>
    <w:p>
      <w:pPr>
        <w:pStyle w:val="BodyText"/>
        <w:spacing w:before="2"/>
        <w:rPr>
          <w:rFonts w:ascii="Cambria"/>
          <w:sz w:val="17"/>
        </w:rPr>
      </w:pPr>
    </w:p>
    <w:p>
      <w:pPr>
        <w:spacing w:before="0"/>
        <w:ind w:left="994" w:right="0" w:firstLine="0"/>
        <w:jc w:val="left"/>
        <w:rPr>
          <w:rFonts w:ascii="Cambria"/>
          <w:sz w:val="17"/>
        </w:rPr>
      </w:pPr>
      <w:r>
        <w:rPr>
          <w:rFonts w:ascii="Cambria"/>
          <w:w w:val="105"/>
          <w:sz w:val="17"/>
        </w:rPr>
        <w:t>40</w:t>
      </w:r>
    </w:p>
    <w:p>
      <w:pPr>
        <w:pStyle w:val="BodyText"/>
        <w:spacing w:before="2"/>
        <w:rPr>
          <w:rFonts w:ascii="Cambria"/>
          <w:sz w:val="17"/>
        </w:rPr>
      </w:pPr>
    </w:p>
    <w:p>
      <w:pPr>
        <w:spacing w:before="0"/>
        <w:ind w:left="994" w:right="0" w:firstLine="0"/>
        <w:jc w:val="left"/>
        <w:rPr>
          <w:rFonts w:ascii="Cambria"/>
          <w:sz w:val="17"/>
        </w:rPr>
      </w:pPr>
      <w:r>
        <w:rPr>
          <w:rFonts w:ascii="Cambria"/>
          <w:w w:val="105"/>
          <w:sz w:val="17"/>
        </w:rPr>
        <w:t>41</w:t>
      </w:r>
    </w:p>
    <w:p>
      <w:pPr>
        <w:pStyle w:val="BodyText"/>
        <w:spacing w:before="2"/>
        <w:rPr>
          <w:rFonts w:ascii="Cambria"/>
          <w:sz w:val="17"/>
        </w:rPr>
      </w:pPr>
    </w:p>
    <w:p>
      <w:pPr>
        <w:spacing w:before="0"/>
        <w:ind w:left="994" w:right="0" w:firstLine="0"/>
        <w:jc w:val="left"/>
        <w:rPr>
          <w:rFonts w:ascii="Cambria"/>
          <w:sz w:val="17"/>
        </w:rPr>
      </w:pPr>
      <w:r>
        <w:rPr>
          <w:rFonts w:ascii="Cambria"/>
          <w:w w:val="105"/>
          <w:sz w:val="17"/>
        </w:rPr>
        <w:t>42</w:t>
      </w:r>
    </w:p>
    <w:p>
      <w:pPr>
        <w:pStyle w:val="BodyText"/>
        <w:spacing w:before="2"/>
        <w:rPr>
          <w:rFonts w:ascii="Cambria"/>
          <w:sz w:val="17"/>
        </w:rPr>
      </w:pPr>
    </w:p>
    <w:p>
      <w:pPr>
        <w:spacing w:before="0"/>
        <w:ind w:left="994" w:right="0" w:firstLine="0"/>
        <w:jc w:val="left"/>
        <w:rPr>
          <w:rFonts w:ascii="Cambria"/>
          <w:sz w:val="17"/>
        </w:rPr>
      </w:pPr>
      <w:r>
        <w:rPr>
          <w:rFonts w:ascii="Cambria"/>
          <w:w w:val="105"/>
          <w:sz w:val="17"/>
        </w:rPr>
        <w:t>43</w:t>
      </w:r>
    </w:p>
    <w:p>
      <w:pPr>
        <w:pStyle w:val="BodyText"/>
        <w:spacing w:before="2"/>
        <w:rPr>
          <w:rFonts w:ascii="Cambria"/>
          <w:sz w:val="17"/>
        </w:rPr>
      </w:pPr>
    </w:p>
    <w:p>
      <w:pPr>
        <w:spacing w:before="0"/>
        <w:ind w:left="994" w:right="0" w:firstLine="0"/>
        <w:jc w:val="left"/>
        <w:rPr>
          <w:rFonts w:ascii="Cambria"/>
          <w:sz w:val="17"/>
        </w:rPr>
      </w:pPr>
      <w:r>
        <w:rPr>
          <w:rFonts w:ascii="Cambria"/>
          <w:w w:val="105"/>
          <w:sz w:val="17"/>
        </w:rPr>
        <w:t>44</w:t>
      </w:r>
    </w:p>
    <w:p>
      <w:pPr>
        <w:pStyle w:val="BodyText"/>
        <w:spacing w:before="2"/>
        <w:rPr>
          <w:rFonts w:ascii="Cambria"/>
          <w:sz w:val="17"/>
        </w:rPr>
      </w:pPr>
    </w:p>
    <w:p>
      <w:pPr>
        <w:spacing w:before="0"/>
        <w:ind w:left="994" w:right="0" w:firstLine="0"/>
        <w:jc w:val="left"/>
        <w:rPr>
          <w:rFonts w:ascii="Cambria"/>
          <w:sz w:val="17"/>
        </w:rPr>
      </w:pPr>
      <w:r>
        <w:rPr>
          <w:rFonts w:ascii="Cambria"/>
          <w:w w:val="105"/>
          <w:sz w:val="17"/>
        </w:rPr>
        <w:t>45</w:t>
      </w:r>
    </w:p>
    <w:p>
      <w:pPr>
        <w:pStyle w:val="BodyText"/>
        <w:spacing w:before="2"/>
        <w:rPr>
          <w:rFonts w:ascii="Cambria"/>
          <w:sz w:val="17"/>
        </w:rPr>
      </w:pPr>
    </w:p>
    <w:p>
      <w:pPr>
        <w:spacing w:before="0"/>
        <w:ind w:left="994" w:right="0" w:firstLine="0"/>
        <w:jc w:val="left"/>
        <w:rPr>
          <w:rFonts w:ascii="Cambria"/>
          <w:sz w:val="17"/>
        </w:rPr>
      </w:pPr>
      <w:r>
        <w:rPr>
          <w:rFonts w:ascii="Cambria"/>
          <w:w w:val="105"/>
          <w:sz w:val="17"/>
        </w:rPr>
        <w:t>46</w:t>
      </w:r>
    </w:p>
    <w:p>
      <w:pPr>
        <w:pStyle w:val="BodyText"/>
        <w:spacing w:before="2"/>
        <w:rPr>
          <w:rFonts w:ascii="Cambria"/>
          <w:sz w:val="17"/>
        </w:rPr>
      </w:pPr>
    </w:p>
    <w:p>
      <w:pPr>
        <w:spacing w:before="0"/>
        <w:ind w:left="994" w:right="0" w:firstLine="0"/>
        <w:jc w:val="left"/>
        <w:rPr>
          <w:rFonts w:ascii="Cambria"/>
          <w:sz w:val="17"/>
        </w:rPr>
      </w:pPr>
      <w:r>
        <w:rPr>
          <w:rFonts w:ascii="Cambria"/>
          <w:w w:val="105"/>
          <w:sz w:val="17"/>
        </w:rPr>
        <w:t>47</w:t>
      </w:r>
    </w:p>
    <w:p>
      <w:pPr>
        <w:pStyle w:val="BodyText"/>
        <w:spacing w:before="2"/>
        <w:rPr>
          <w:rFonts w:ascii="Cambria"/>
          <w:sz w:val="17"/>
        </w:rPr>
      </w:pPr>
    </w:p>
    <w:p>
      <w:pPr>
        <w:spacing w:before="0"/>
        <w:ind w:left="994" w:right="0" w:firstLine="0"/>
        <w:jc w:val="left"/>
        <w:rPr>
          <w:rFonts w:ascii="Cambria"/>
          <w:sz w:val="17"/>
        </w:rPr>
      </w:pPr>
      <w:r>
        <w:rPr>
          <w:rFonts w:ascii="Cambria"/>
          <w:w w:val="105"/>
          <w:sz w:val="17"/>
        </w:rPr>
        <w:t>48</w:t>
      </w:r>
    </w:p>
    <w:p>
      <w:pPr>
        <w:spacing w:after="0"/>
        <w:jc w:val="left"/>
        <w:rPr>
          <w:rFonts w:ascii="Cambria"/>
          <w:sz w:val="17"/>
        </w:rPr>
        <w:sectPr>
          <w:pgSz w:w="12240" w:h="15840"/>
          <w:pgMar w:header="719" w:footer="740" w:top="1260" w:bottom="920" w:left="1460" w:right="1440"/>
        </w:sect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19"/>
        </w:rPr>
      </w:pPr>
    </w:p>
    <w:p>
      <w:pPr>
        <w:pStyle w:val="ListParagraph"/>
        <w:numPr>
          <w:ilvl w:val="0"/>
          <w:numId w:val="19"/>
        </w:numPr>
        <w:tabs>
          <w:tab w:pos="1448" w:val="left" w:leader="none"/>
          <w:tab w:pos="1449" w:val="left" w:leader="none"/>
        </w:tabs>
        <w:spacing w:line="240" w:lineRule="auto" w:before="80" w:after="0"/>
        <w:ind w:left="1448" w:right="0" w:hanging="453"/>
        <w:jc w:val="left"/>
        <w:rPr>
          <w:b/>
          <w:sz w:val="17"/>
        </w:rPr>
      </w:pPr>
      <w:r>
        <w:rPr>
          <w:b/>
          <w:sz w:val="17"/>
        </w:rPr>
        <w:t>INTRODUCCIÓN</w:t>
      </w:r>
    </w:p>
    <w:p>
      <w:pPr>
        <w:pStyle w:val="BodyText"/>
        <w:spacing w:before="6"/>
        <w:rPr>
          <w:rFonts w:ascii="Times New Roman"/>
          <w:b/>
          <w:sz w:val="10"/>
        </w:rPr>
      </w:pPr>
    </w:p>
    <w:p>
      <w:pPr>
        <w:pStyle w:val="ListParagraph"/>
        <w:numPr>
          <w:ilvl w:val="0"/>
          <w:numId w:val="19"/>
        </w:numPr>
        <w:tabs>
          <w:tab w:pos="1448" w:val="left" w:leader="none"/>
          <w:tab w:pos="1449" w:val="left" w:leader="none"/>
        </w:tabs>
        <w:spacing w:line="240" w:lineRule="auto" w:before="80" w:after="0"/>
        <w:ind w:left="1448" w:right="0" w:hanging="453"/>
        <w:jc w:val="left"/>
        <w:rPr>
          <w:sz w:val="17"/>
        </w:rPr>
      </w:pPr>
      <w:r>
        <w:rPr>
          <w:sz w:val="17"/>
        </w:rPr>
        <w:t>El tizón tardío, enfermedad de la papa causada por el patógeno  </w:t>
      </w:r>
      <w:r>
        <w:rPr>
          <w:spacing w:val="36"/>
          <w:sz w:val="17"/>
        </w:rPr>
        <w:t> </w:t>
      </w:r>
      <w:r>
        <w:rPr>
          <w:i/>
          <w:sz w:val="17"/>
        </w:rPr>
        <w:t>Phytophthora infestans </w:t>
      </w:r>
      <w:r>
        <w:rPr>
          <w:sz w:val="17"/>
        </w:rPr>
        <w:t>(Fry</w:t>
      </w:r>
    </w:p>
    <w:p>
      <w:pPr>
        <w:pStyle w:val="BodyText"/>
        <w:spacing w:before="6"/>
        <w:rPr>
          <w:rFonts w:ascii="Times New Roman"/>
          <w:sz w:val="10"/>
        </w:rPr>
      </w:pPr>
    </w:p>
    <w:p>
      <w:pPr>
        <w:pStyle w:val="ListParagraph"/>
        <w:numPr>
          <w:ilvl w:val="0"/>
          <w:numId w:val="19"/>
        </w:numPr>
        <w:tabs>
          <w:tab w:pos="1448" w:val="left" w:leader="none"/>
          <w:tab w:pos="1449" w:val="left" w:leader="none"/>
        </w:tabs>
        <w:spacing w:line="240" w:lineRule="auto" w:before="80" w:after="0"/>
        <w:ind w:left="1448" w:right="0" w:hanging="453"/>
        <w:jc w:val="left"/>
        <w:rPr>
          <w:sz w:val="17"/>
        </w:rPr>
      </w:pPr>
      <w:r>
        <w:rPr>
          <w:sz w:val="17"/>
        </w:rPr>
        <w:t>y</w:t>
      </w:r>
      <w:r>
        <w:rPr>
          <w:spacing w:val="31"/>
          <w:sz w:val="17"/>
        </w:rPr>
        <w:t> </w:t>
      </w:r>
      <w:r>
        <w:rPr>
          <w:sz w:val="17"/>
        </w:rPr>
        <w:t>Goodwin,</w:t>
      </w:r>
      <w:r>
        <w:rPr>
          <w:spacing w:val="31"/>
          <w:sz w:val="17"/>
        </w:rPr>
        <w:t> </w:t>
      </w:r>
      <w:r>
        <w:rPr>
          <w:sz w:val="17"/>
        </w:rPr>
        <w:t>1997),</w:t>
      </w:r>
      <w:r>
        <w:rPr>
          <w:spacing w:val="31"/>
          <w:sz w:val="17"/>
        </w:rPr>
        <w:t> </w:t>
      </w:r>
      <w:r>
        <w:rPr>
          <w:sz w:val="17"/>
        </w:rPr>
        <w:t>ocasiona</w:t>
      </w:r>
      <w:r>
        <w:rPr>
          <w:spacing w:val="19"/>
          <w:sz w:val="17"/>
        </w:rPr>
        <w:t> </w:t>
      </w:r>
      <w:r>
        <w:rPr>
          <w:sz w:val="17"/>
        </w:rPr>
        <w:t>pérdidas</w:t>
      </w:r>
      <w:r>
        <w:rPr>
          <w:spacing w:val="31"/>
          <w:sz w:val="17"/>
        </w:rPr>
        <w:t> </w:t>
      </w:r>
      <w:r>
        <w:rPr>
          <w:sz w:val="17"/>
        </w:rPr>
        <w:t>económicas</w:t>
      </w:r>
      <w:r>
        <w:rPr>
          <w:spacing w:val="31"/>
          <w:sz w:val="17"/>
        </w:rPr>
        <w:t> </w:t>
      </w:r>
      <w:r>
        <w:rPr>
          <w:sz w:val="17"/>
        </w:rPr>
        <w:t>aproximadas</w:t>
      </w:r>
      <w:r>
        <w:rPr>
          <w:spacing w:val="31"/>
          <w:sz w:val="17"/>
        </w:rPr>
        <w:t> </w:t>
      </w:r>
      <w:r>
        <w:rPr>
          <w:sz w:val="17"/>
        </w:rPr>
        <w:t>a</w:t>
      </w:r>
      <w:r>
        <w:rPr>
          <w:spacing w:val="31"/>
          <w:sz w:val="17"/>
        </w:rPr>
        <w:t> </w:t>
      </w:r>
      <w:r>
        <w:rPr>
          <w:sz w:val="17"/>
        </w:rPr>
        <w:t>6.70</w:t>
      </w:r>
      <w:r>
        <w:rPr>
          <w:spacing w:val="31"/>
          <w:sz w:val="17"/>
        </w:rPr>
        <w:t> </w:t>
      </w:r>
      <w:r>
        <w:rPr>
          <w:sz w:val="17"/>
        </w:rPr>
        <w:t>billones</w:t>
      </w:r>
      <w:r>
        <w:rPr>
          <w:spacing w:val="31"/>
          <w:sz w:val="17"/>
        </w:rPr>
        <w:t> </w:t>
      </w:r>
      <w:r>
        <w:rPr>
          <w:sz w:val="17"/>
        </w:rPr>
        <w:t>de</w:t>
      </w:r>
      <w:r>
        <w:rPr>
          <w:spacing w:val="31"/>
          <w:sz w:val="17"/>
        </w:rPr>
        <w:t> </w:t>
      </w:r>
      <w:r>
        <w:rPr>
          <w:sz w:val="17"/>
        </w:rPr>
        <w:t>dólares</w:t>
      </w:r>
    </w:p>
    <w:p>
      <w:pPr>
        <w:pStyle w:val="BodyText"/>
        <w:spacing w:before="6"/>
        <w:rPr>
          <w:rFonts w:ascii="Times New Roman"/>
          <w:sz w:val="10"/>
        </w:rPr>
      </w:pPr>
    </w:p>
    <w:p>
      <w:pPr>
        <w:pStyle w:val="ListParagraph"/>
        <w:numPr>
          <w:ilvl w:val="0"/>
          <w:numId w:val="19"/>
        </w:numPr>
        <w:tabs>
          <w:tab w:pos="1448" w:val="left" w:leader="none"/>
          <w:tab w:pos="1449" w:val="left" w:leader="none"/>
        </w:tabs>
        <w:spacing w:line="240" w:lineRule="auto" w:before="80" w:after="0"/>
        <w:ind w:left="1448" w:right="0" w:hanging="453"/>
        <w:jc w:val="left"/>
        <w:rPr>
          <w:sz w:val="17"/>
        </w:rPr>
      </w:pPr>
      <w:r>
        <w:rPr>
          <w:sz w:val="17"/>
        </w:rPr>
        <w:t>anuales  en  todo  el  mundo  (Haverkort  </w:t>
      </w:r>
      <w:r>
        <w:rPr>
          <w:i/>
          <w:sz w:val="17"/>
        </w:rPr>
        <w:t>et al</w:t>
      </w:r>
      <w:r>
        <w:rPr>
          <w:sz w:val="17"/>
        </w:rPr>
        <w:t>.,  2008).  </w:t>
      </w:r>
      <w:r>
        <w:rPr>
          <w:i/>
          <w:sz w:val="17"/>
        </w:rPr>
        <w:t>P. infestans  </w:t>
      </w:r>
      <w:r>
        <w:rPr>
          <w:sz w:val="17"/>
        </w:rPr>
        <w:t>se  reproduce  de</w:t>
      </w:r>
      <w:r>
        <w:rPr>
          <w:spacing w:val="16"/>
          <w:sz w:val="17"/>
        </w:rPr>
        <w:t> </w:t>
      </w:r>
      <w:r>
        <w:rPr>
          <w:sz w:val="17"/>
        </w:rPr>
        <w:t>manera</w:t>
      </w:r>
    </w:p>
    <w:p>
      <w:pPr>
        <w:pStyle w:val="BodyText"/>
        <w:spacing w:before="6"/>
        <w:rPr>
          <w:rFonts w:ascii="Times New Roman"/>
          <w:sz w:val="10"/>
        </w:rPr>
      </w:pPr>
    </w:p>
    <w:p>
      <w:pPr>
        <w:pStyle w:val="ListParagraph"/>
        <w:numPr>
          <w:ilvl w:val="0"/>
          <w:numId w:val="19"/>
        </w:numPr>
        <w:tabs>
          <w:tab w:pos="1448" w:val="left" w:leader="none"/>
          <w:tab w:pos="1449" w:val="left" w:leader="none"/>
        </w:tabs>
        <w:spacing w:line="240" w:lineRule="auto" w:before="80" w:after="0"/>
        <w:ind w:left="1448" w:right="0" w:hanging="453"/>
        <w:jc w:val="left"/>
        <w:rPr>
          <w:sz w:val="17"/>
        </w:rPr>
      </w:pPr>
      <w:r>
        <w:rPr>
          <w:sz w:val="17"/>
        </w:rPr>
        <w:t>asexual</w:t>
      </w:r>
      <w:r>
        <w:rPr>
          <w:spacing w:val="13"/>
          <w:sz w:val="17"/>
        </w:rPr>
        <w:t> </w:t>
      </w:r>
      <w:r>
        <w:rPr>
          <w:sz w:val="17"/>
        </w:rPr>
        <w:t>(mediante</w:t>
      </w:r>
      <w:r>
        <w:rPr>
          <w:spacing w:val="13"/>
          <w:sz w:val="17"/>
        </w:rPr>
        <w:t> </w:t>
      </w:r>
      <w:r>
        <w:rPr>
          <w:sz w:val="17"/>
        </w:rPr>
        <w:t>la</w:t>
      </w:r>
      <w:r>
        <w:rPr>
          <w:spacing w:val="13"/>
          <w:sz w:val="17"/>
        </w:rPr>
        <w:t> </w:t>
      </w:r>
      <w:r>
        <w:rPr>
          <w:sz w:val="17"/>
        </w:rPr>
        <w:t>producción</w:t>
      </w:r>
      <w:r>
        <w:rPr>
          <w:spacing w:val="13"/>
          <w:sz w:val="17"/>
        </w:rPr>
        <w:t> </w:t>
      </w:r>
      <w:r>
        <w:rPr>
          <w:sz w:val="17"/>
        </w:rPr>
        <w:t>de</w:t>
      </w:r>
      <w:r>
        <w:rPr>
          <w:spacing w:val="13"/>
          <w:sz w:val="17"/>
        </w:rPr>
        <w:t> </w:t>
      </w:r>
      <w:r>
        <w:rPr>
          <w:sz w:val="17"/>
        </w:rPr>
        <w:t>esporangios</w:t>
      </w:r>
      <w:r>
        <w:rPr>
          <w:spacing w:val="13"/>
          <w:sz w:val="17"/>
        </w:rPr>
        <w:t> </w:t>
      </w:r>
      <w:r>
        <w:rPr>
          <w:sz w:val="17"/>
        </w:rPr>
        <w:t>y</w:t>
      </w:r>
      <w:r>
        <w:rPr>
          <w:spacing w:val="13"/>
          <w:sz w:val="17"/>
        </w:rPr>
        <w:t> </w:t>
      </w:r>
      <w:r>
        <w:rPr>
          <w:sz w:val="17"/>
        </w:rPr>
        <w:t>zoosporas,</w:t>
      </w:r>
      <w:r>
        <w:rPr>
          <w:spacing w:val="13"/>
          <w:sz w:val="17"/>
        </w:rPr>
        <w:t> </w:t>
      </w:r>
      <w:r>
        <w:rPr>
          <w:sz w:val="17"/>
        </w:rPr>
        <w:t>y</w:t>
      </w:r>
      <w:r>
        <w:rPr>
          <w:spacing w:val="13"/>
          <w:sz w:val="17"/>
        </w:rPr>
        <w:t> </w:t>
      </w:r>
      <w:r>
        <w:rPr>
          <w:sz w:val="17"/>
        </w:rPr>
        <w:t>fragmentación</w:t>
      </w:r>
      <w:r>
        <w:rPr>
          <w:spacing w:val="13"/>
          <w:sz w:val="17"/>
        </w:rPr>
        <w:t> </w:t>
      </w:r>
      <w:r>
        <w:rPr>
          <w:sz w:val="17"/>
        </w:rPr>
        <w:t>de</w:t>
      </w:r>
      <w:r>
        <w:rPr>
          <w:spacing w:val="13"/>
          <w:sz w:val="17"/>
        </w:rPr>
        <w:t> </w:t>
      </w:r>
      <w:r>
        <w:rPr>
          <w:sz w:val="17"/>
        </w:rPr>
        <w:t>micelio)</w:t>
      </w:r>
      <w:r>
        <w:rPr>
          <w:spacing w:val="13"/>
          <w:sz w:val="17"/>
        </w:rPr>
        <w:t> </w:t>
      </w:r>
      <w:r>
        <w:rPr>
          <w:sz w:val="17"/>
        </w:rPr>
        <w:t>y</w:t>
      </w:r>
    </w:p>
    <w:p>
      <w:pPr>
        <w:pStyle w:val="BodyText"/>
        <w:spacing w:before="6"/>
        <w:rPr>
          <w:rFonts w:ascii="Times New Roman"/>
          <w:sz w:val="10"/>
        </w:rPr>
      </w:pPr>
    </w:p>
    <w:p>
      <w:pPr>
        <w:pStyle w:val="ListParagraph"/>
        <w:numPr>
          <w:ilvl w:val="0"/>
          <w:numId w:val="19"/>
        </w:numPr>
        <w:tabs>
          <w:tab w:pos="1448" w:val="left" w:leader="none"/>
          <w:tab w:pos="1449" w:val="left" w:leader="none"/>
        </w:tabs>
        <w:spacing w:line="240" w:lineRule="auto" w:before="80" w:after="0"/>
        <w:ind w:left="1448" w:right="0" w:hanging="453"/>
        <w:jc w:val="left"/>
        <w:rPr>
          <w:i/>
          <w:sz w:val="17"/>
        </w:rPr>
      </w:pPr>
      <w:r>
        <w:rPr>
          <w:sz w:val="17"/>
        </w:rPr>
        <w:t>sexual</w:t>
      </w:r>
      <w:r>
        <w:rPr>
          <w:spacing w:val="11"/>
          <w:sz w:val="17"/>
        </w:rPr>
        <w:t> </w:t>
      </w:r>
      <w:r>
        <w:rPr>
          <w:sz w:val="17"/>
        </w:rPr>
        <w:t>(mediante</w:t>
      </w:r>
      <w:r>
        <w:rPr>
          <w:spacing w:val="9"/>
          <w:sz w:val="17"/>
        </w:rPr>
        <w:t> </w:t>
      </w:r>
      <w:r>
        <w:rPr>
          <w:sz w:val="17"/>
        </w:rPr>
        <w:t>la</w:t>
      </w:r>
      <w:r>
        <w:rPr>
          <w:spacing w:val="11"/>
          <w:sz w:val="17"/>
        </w:rPr>
        <w:t> </w:t>
      </w:r>
      <w:r>
        <w:rPr>
          <w:sz w:val="17"/>
        </w:rPr>
        <w:t>producción</w:t>
      </w:r>
      <w:r>
        <w:rPr>
          <w:spacing w:val="11"/>
          <w:sz w:val="17"/>
        </w:rPr>
        <w:t> </w:t>
      </w:r>
      <w:r>
        <w:rPr>
          <w:sz w:val="17"/>
        </w:rPr>
        <w:t>de</w:t>
      </w:r>
      <w:r>
        <w:rPr>
          <w:spacing w:val="11"/>
          <w:sz w:val="17"/>
        </w:rPr>
        <w:t> </w:t>
      </w:r>
      <w:r>
        <w:rPr>
          <w:sz w:val="17"/>
        </w:rPr>
        <w:t>oosporas).</w:t>
      </w:r>
      <w:r>
        <w:rPr>
          <w:spacing w:val="11"/>
          <w:sz w:val="17"/>
        </w:rPr>
        <w:t> </w:t>
      </w:r>
      <w:r>
        <w:rPr>
          <w:sz w:val="17"/>
        </w:rPr>
        <w:t>Se</w:t>
      </w:r>
      <w:r>
        <w:rPr>
          <w:spacing w:val="11"/>
          <w:sz w:val="17"/>
        </w:rPr>
        <w:t> </w:t>
      </w:r>
      <w:r>
        <w:rPr>
          <w:sz w:val="17"/>
        </w:rPr>
        <w:t>ha</w:t>
      </w:r>
      <w:r>
        <w:rPr>
          <w:spacing w:val="11"/>
          <w:sz w:val="17"/>
        </w:rPr>
        <w:t> </w:t>
      </w:r>
      <w:r>
        <w:rPr>
          <w:sz w:val="17"/>
        </w:rPr>
        <w:t>observado</w:t>
      </w:r>
      <w:r>
        <w:rPr>
          <w:spacing w:val="11"/>
          <w:sz w:val="17"/>
        </w:rPr>
        <w:t> </w:t>
      </w:r>
      <w:r>
        <w:rPr>
          <w:sz w:val="17"/>
        </w:rPr>
        <w:t>que</w:t>
      </w:r>
      <w:r>
        <w:rPr>
          <w:spacing w:val="11"/>
          <w:sz w:val="17"/>
        </w:rPr>
        <w:t> </w:t>
      </w:r>
      <w:r>
        <w:rPr>
          <w:sz w:val="17"/>
        </w:rPr>
        <w:t>las</w:t>
      </w:r>
      <w:r>
        <w:rPr>
          <w:spacing w:val="11"/>
          <w:sz w:val="17"/>
        </w:rPr>
        <w:t> </w:t>
      </w:r>
      <w:r>
        <w:rPr>
          <w:sz w:val="17"/>
        </w:rPr>
        <w:t>cepas</w:t>
      </w:r>
      <w:r>
        <w:rPr>
          <w:spacing w:val="11"/>
          <w:sz w:val="17"/>
        </w:rPr>
        <w:t> </w:t>
      </w:r>
      <w:r>
        <w:rPr>
          <w:sz w:val="17"/>
        </w:rPr>
        <w:t>de</w:t>
      </w:r>
      <w:r>
        <w:rPr>
          <w:spacing w:val="9"/>
          <w:sz w:val="17"/>
        </w:rPr>
        <w:t> </w:t>
      </w:r>
      <w:r>
        <w:rPr>
          <w:i/>
          <w:sz w:val="17"/>
        </w:rPr>
        <w:t>P.</w:t>
      </w:r>
      <w:r>
        <w:rPr>
          <w:i/>
          <w:spacing w:val="5"/>
          <w:sz w:val="17"/>
        </w:rPr>
        <w:t> </w:t>
      </w:r>
      <w:r>
        <w:rPr>
          <w:i/>
          <w:sz w:val="17"/>
        </w:rPr>
        <w:t>infestans</w:t>
      </w:r>
    </w:p>
    <w:p>
      <w:pPr>
        <w:pStyle w:val="BodyText"/>
        <w:spacing w:before="6"/>
        <w:rPr>
          <w:rFonts w:ascii="Times New Roman"/>
          <w:i/>
          <w:sz w:val="10"/>
        </w:rPr>
      </w:pPr>
    </w:p>
    <w:p>
      <w:pPr>
        <w:pStyle w:val="ListParagraph"/>
        <w:numPr>
          <w:ilvl w:val="0"/>
          <w:numId w:val="19"/>
        </w:numPr>
        <w:tabs>
          <w:tab w:pos="1448" w:val="left" w:leader="none"/>
          <w:tab w:pos="1449" w:val="left" w:leader="none"/>
        </w:tabs>
        <w:spacing w:line="240" w:lineRule="auto" w:before="80" w:after="0"/>
        <w:ind w:left="1448" w:right="0" w:hanging="453"/>
        <w:jc w:val="left"/>
        <w:rPr>
          <w:sz w:val="17"/>
        </w:rPr>
      </w:pPr>
      <w:r>
        <w:rPr>
          <w:sz w:val="17"/>
        </w:rPr>
        <w:t>colectadas</w:t>
      </w:r>
      <w:r>
        <w:rPr>
          <w:spacing w:val="18"/>
          <w:sz w:val="17"/>
        </w:rPr>
        <w:t> </w:t>
      </w:r>
      <w:r>
        <w:rPr>
          <w:sz w:val="17"/>
        </w:rPr>
        <w:t>en</w:t>
      </w:r>
      <w:r>
        <w:rPr>
          <w:spacing w:val="18"/>
          <w:sz w:val="17"/>
        </w:rPr>
        <w:t> </w:t>
      </w:r>
      <w:r>
        <w:rPr>
          <w:sz w:val="17"/>
        </w:rPr>
        <w:t>el</w:t>
      </w:r>
      <w:r>
        <w:rPr>
          <w:spacing w:val="18"/>
          <w:sz w:val="17"/>
        </w:rPr>
        <w:t> </w:t>
      </w:r>
      <w:r>
        <w:rPr>
          <w:sz w:val="17"/>
        </w:rPr>
        <w:t>Valle</w:t>
      </w:r>
      <w:r>
        <w:rPr>
          <w:spacing w:val="18"/>
          <w:sz w:val="17"/>
        </w:rPr>
        <w:t> </w:t>
      </w:r>
      <w:r>
        <w:rPr>
          <w:sz w:val="17"/>
        </w:rPr>
        <w:t>de</w:t>
      </w:r>
      <w:r>
        <w:rPr>
          <w:spacing w:val="18"/>
          <w:sz w:val="17"/>
        </w:rPr>
        <w:t> </w:t>
      </w:r>
      <w:r>
        <w:rPr>
          <w:sz w:val="17"/>
        </w:rPr>
        <w:t>Toluca</w:t>
      </w:r>
      <w:r>
        <w:rPr>
          <w:spacing w:val="18"/>
          <w:sz w:val="17"/>
        </w:rPr>
        <w:t> </w:t>
      </w:r>
      <w:r>
        <w:rPr>
          <w:sz w:val="17"/>
        </w:rPr>
        <w:t>son</w:t>
      </w:r>
      <w:r>
        <w:rPr>
          <w:spacing w:val="18"/>
          <w:sz w:val="17"/>
        </w:rPr>
        <w:t> </w:t>
      </w:r>
      <w:r>
        <w:rPr>
          <w:sz w:val="17"/>
        </w:rPr>
        <w:t>genéticamente</w:t>
      </w:r>
      <w:r>
        <w:rPr>
          <w:spacing w:val="18"/>
          <w:sz w:val="17"/>
        </w:rPr>
        <w:t> </w:t>
      </w:r>
      <w:r>
        <w:rPr>
          <w:sz w:val="17"/>
        </w:rPr>
        <w:t>diversas,</w:t>
      </w:r>
      <w:r>
        <w:rPr>
          <w:spacing w:val="18"/>
          <w:sz w:val="17"/>
        </w:rPr>
        <w:t> </w:t>
      </w:r>
      <w:r>
        <w:rPr>
          <w:sz w:val="17"/>
        </w:rPr>
        <w:t>donde</w:t>
      </w:r>
      <w:r>
        <w:rPr>
          <w:spacing w:val="18"/>
          <w:sz w:val="17"/>
        </w:rPr>
        <w:t> </w:t>
      </w:r>
      <w:r>
        <w:rPr>
          <w:sz w:val="17"/>
        </w:rPr>
        <w:t>la</w:t>
      </w:r>
      <w:r>
        <w:rPr>
          <w:spacing w:val="18"/>
          <w:sz w:val="17"/>
        </w:rPr>
        <w:t> </w:t>
      </w:r>
      <w:r>
        <w:rPr>
          <w:sz w:val="17"/>
        </w:rPr>
        <w:t>reproducción</w:t>
      </w:r>
      <w:r>
        <w:rPr>
          <w:spacing w:val="18"/>
          <w:sz w:val="17"/>
        </w:rPr>
        <w:t> </w:t>
      </w:r>
      <w:r>
        <w:rPr>
          <w:sz w:val="17"/>
        </w:rPr>
        <w:t>sexual</w:t>
      </w:r>
    </w:p>
    <w:p>
      <w:pPr>
        <w:pStyle w:val="BodyText"/>
        <w:spacing w:before="6"/>
        <w:rPr>
          <w:rFonts w:ascii="Times New Roman"/>
          <w:sz w:val="10"/>
        </w:rPr>
      </w:pPr>
    </w:p>
    <w:p>
      <w:pPr>
        <w:pStyle w:val="ListParagraph"/>
        <w:numPr>
          <w:ilvl w:val="0"/>
          <w:numId w:val="19"/>
        </w:numPr>
        <w:tabs>
          <w:tab w:pos="1448" w:val="left" w:leader="none"/>
          <w:tab w:pos="1449" w:val="left" w:leader="none"/>
        </w:tabs>
        <w:spacing w:line="240" w:lineRule="auto" w:before="80" w:after="0"/>
        <w:ind w:left="1448" w:right="0" w:hanging="453"/>
        <w:jc w:val="left"/>
        <w:rPr>
          <w:sz w:val="17"/>
        </w:rPr>
      </w:pPr>
      <w:r>
        <w:rPr>
          <w:sz w:val="17"/>
        </w:rPr>
        <w:t>juega  un  papel  importante  vía  la  producción  de  oosporas,  las  cuales  son  capaces      </w:t>
      </w:r>
      <w:r>
        <w:rPr>
          <w:spacing w:val="4"/>
          <w:sz w:val="17"/>
        </w:rPr>
        <w:t> </w:t>
      </w:r>
      <w:r>
        <w:rPr>
          <w:sz w:val="17"/>
        </w:rPr>
        <w:t>de</w:t>
      </w:r>
    </w:p>
    <w:p>
      <w:pPr>
        <w:pStyle w:val="BodyText"/>
        <w:spacing w:before="6"/>
        <w:rPr>
          <w:rFonts w:ascii="Times New Roman"/>
          <w:sz w:val="10"/>
        </w:rPr>
      </w:pPr>
    </w:p>
    <w:p>
      <w:pPr>
        <w:pStyle w:val="ListParagraph"/>
        <w:numPr>
          <w:ilvl w:val="0"/>
          <w:numId w:val="19"/>
        </w:numPr>
        <w:tabs>
          <w:tab w:pos="1448" w:val="left" w:leader="none"/>
          <w:tab w:pos="1449" w:val="left" w:leader="none"/>
        </w:tabs>
        <w:spacing w:line="240" w:lineRule="auto" w:before="80" w:after="0"/>
        <w:ind w:left="1448" w:right="0" w:hanging="453"/>
        <w:jc w:val="left"/>
        <w:rPr>
          <w:sz w:val="17"/>
        </w:rPr>
      </w:pPr>
      <w:r>
        <w:rPr>
          <w:sz w:val="17"/>
        </w:rPr>
        <w:t>sobrevivir</w:t>
      </w:r>
      <w:r>
        <w:rPr>
          <w:spacing w:val="22"/>
          <w:sz w:val="17"/>
        </w:rPr>
        <w:t> </w:t>
      </w:r>
      <w:r>
        <w:rPr>
          <w:sz w:val="17"/>
        </w:rPr>
        <w:t>en</w:t>
      </w:r>
      <w:r>
        <w:rPr>
          <w:spacing w:val="22"/>
          <w:sz w:val="17"/>
        </w:rPr>
        <w:t> </w:t>
      </w:r>
      <w:r>
        <w:rPr>
          <w:sz w:val="17"/>
        </w:rPr>
        <w:t>el</w:t>
      </w:r>
      <w:r>
        <w:rPr>
          <w:spacing w:val="22"/>
          <w:sz w:val="17"/>
        </w:rPr>
        <w:t> </w:t>
      </w:r>
      <w:r>
        <w:rPr>
          <w:sz w:val="17"/>
        </w:rPr>
        <w:t>suelo</w:t>
      </w:r>
      <w:r>
        <w:rPr>
          <w:spacing w:val="23"/>
          <w:sz w:val="17"/>
        </w:rPr>
        <w:t> </w:t>
      </w:r>
      <w:r>
        <w:rPr>
          <w:sz w:val="17"/>
        </w:rPr>
        <w:t>por</w:t>
      </w:r>
      <w:r>
        <w:rPr>
          <w:spacing w:val="22"/>
          <w:sz w:val="17"/>
        </w:rPr>
        <w:t> </w:t>
      </w:r>
      <w:r>
        <w:rPr>
          <w:sz w:val="17"/>
        </w:rPr>
        <w:t>años,</w:t>
      </w:r>
      <w:r>
        <w:rPr>
          <w:spacing w:val="22"/>
          <w:sz w:val="17"/>
        </w:rPr>
        <w:t> </w:t>
      </w:r>
      <w:r>
        <w:rPr>
          <w:sz w:val="17"/>
        </w:rPr>
        <w:t>resistiendo</w:t>
      </w:r>
      <w:r>
        <w:rPr>
          <w:spacing w:val="22"/>
          <w:sz w:val="17"/>
        </w:rPr>
        <w:t> </w:t>
      </w:r>
      <w:r>
        <w:rPr>
          <w:sz w:val="17"/>
        </w:rPr>
        <w:t>condiciones</w:t>
      </w:r>
      <w:r>
        <w:rPr>
          <w:spacing w:val="22"/>
          <w:sz w:val="17"/>
        </w:rPr>
        <w:t> </w:t>
      </w:r>
      <w:r>
        <w:rPr>
          <w:sz w:val="17"/>
        </w:rPr>
        <w:t>ambientales</w:t>
      </w:r>
      <w:r>
        <w:rPr>
          <w:spacing w:val="22"/>
          <w:sz w:val="17"/>
        </w:rPr>
        <w:t> </w:t>
      </w:r>
      <w:r>
        <w:rPr>
          <w:sz w:val="17"/>
        </w:rPr>
        <w:t>adversas</w:t>
      </w:r>
      <w:r>
        <w:rPr>
          <w:spacing w:val="23"/>
          <w:sz w:val="17"/>
        </w:rPr>
        <w:t> </w:t>
      </w:r>
      <w:r>
        <w:rPr>
          <w:sz w:val="17"/>
        </w:rPr>
        <w:t>y</w:t>
      </w:r>
      <w:r>
        <w:rPr>
          <w:spacing w:val="22"/>
          <w:sz w:val="17"/>
        </w:rPr>
        <w:t> </w:t>
      </w:r>
      <w:r>
        <w:rPr>
          <w:sz w:val="17"/>
        </w:rPr>
        <w:t>mejoran</w:t>
      </w:r>
      <w:r>
        <w:rPr>
          <w:spacing w:val="22"/>
          <w:sz w:val="17"/>
        </w:rPr>
        <w:t> </w:t>
      </w:r>
      <w:r>
        <w:rPr>
          <w:sz w:val="17"/>
        </w:rPr>
        <w:t>la</w:t>
      </w:r>
    </w:p>
    <w:p>
      <w:pPr>
        <w:pStyle w:val="BodyText"/>
        <w:spacing w:before="6"/>
        <w:rPr>
          <w:rFonts w:ascii="Times New Roman"/>
          <w:sz w:val="10"/>
        </w:rPr>
      </w:pPr>
    </w:p>
    <w:p>
      <w:pPr>
        <w:pStyle w:val="ListParagraph"/>
        <w:numPr>
          <w:ilvl w:val="0"/>
          <w:numId w:val="19"/>
        </w:numPr>
        <w:tabs>
          <w:tab w:pos="1448" w:val="left" w:leader="none"/>
          <w:tab w:pos="1449" w:val="left" w:leader="none"/>
        </w:tabs>
        <w:spacing w:line="240" w:lineRule="auto" w:before="80" w:after="0"/>
        <w:ind w:left="1448" w:right="0" w:hanging="453"/>
        <w:jc w:val="left"/>
        <w:rPr>
          <w:sz w:val="17"/>
        </w:rPr>
      </w:pPr>
      <w:r>
        <w:rPr>
          <w:sz w:val="17"/>
        </w:rPr>
        <w:t>aptitud</w:t>
      </w:r>
      <w:r>
        <w:rPr>
          <w:spacing w:val="30"/>
          <w:sz w:val="17"/>
        </w:rPr>
        <w:t> </w:t>
      </w:r>
      <w:r>
        <w:rPr>
          <w:sz w:val="17"/>
        </w:rPr>
        <w:t>del</w:t>
      </w:r>
      <w:r>
        <w:rPr>
          <w:spacing w:val="30"/>
          <w:sz w:val="17"/>
        </w:rPr>
        <w:t> </w:t>
      </w:r>
      <w:r>
        <w:rPr>
          <w:sz w:val="17"/>
        </w:rPr>
        <w:t>patógeno</w:t>
      </w:r>
      <w:r>
        <w:rPr>
          <w:spacing w:val="30"/>
          <w:sz w:val="17"/>
        </w:rPr>
        <w:t> </w:t>
      </w:r>
      <w:r>
        <w:rPr>
          <w:sz w:val="17"/>
        </w:rPr>
        <w:t>al</w:t>
      </w:r>
      <w:r>
        <w:rPr>
          <w:spacing w:val="30"/>
          <w:sz w:val="17"/>
        </w:rPr>
        <w:t> </w:t>
      </w:r>
      <w:r>
        <w:rPr>
          <w:sz w:val="17"/>
        </w:rPr>
        <w:t>generar</w:t>
      </w:r>
      <w:r>
        <w:rPr>
          <w:spacing w:val="30"/>
          <w:sz w:val="17"/>
        </w:rPr>
        <w:t> </w:t>
      </w:r>
      <w:r>
        <w:rPr>
          <w:sz w:val="17"/>
        </w:rPr>
        <w:t>genotipos</w:t>
      </w:r>
      <w:r>
        <w:rPr>
          <w:spacing w:val="30"/>
          <w:sz w:val="17"/>
        </w:rPr>
        <w:t> </w:t>
      </w:r>
      <w:r>
        <w:rPr>
          <w:sz w:val="17"/>
        </w:rPr>
        <w:t>recombinantes</w:t>
      </w:r>
      <w:r>
        <w:rPr>
          <w:spacing w:val="30"/>
          <w:sz w:val="17"/>
        </w:rPr>
        <w:t> </w:t>
      </w:r>
      <w:r>
        <w:rPr>
          <w:sz w:val="17"/>
        </w:rPr>
        <w:t>que</w:t>
      </w:r>
      <w:r>
        <w:rPr>
          <w:spacing w:val="30"/>
          <w:sz w:val="17"/>
        </w:rPr>
        <w:t> </w:t>
      </w:r>
      <w:r>
        <w:rPr>
          <w:sz w:val="17"/>
        </w:rPr>
        <w:t>pueden</w:t>
      </w:r>
      <w:r>
        <w:rPr>
          <w:spacing w:val="30"/>
          <w:sz w:val="17"/>
        </w:rPr>
        <w:t> </w:t>
      </w:r>
      <w:r>
        <w:rPr>
          <w:sz w:val="17"/>
        </w:rPr>
        <w:t>ser</w:t>
      </w:r>
      <w:r>
        <w:rPr>
          <w:spacing w:val="30"/>
          <w:sz w:val="17"/>
        </w:rPr>
        <w:t> </w:t>
      </w:r>
      <w:r>
        <w:rPr>
          <w:sz w:val="17"/>
        </w:rPr>
        <w:t>mas</w:t>
      </w:r>
      <w:r>
        <w:rPr>
          <w:spacing w:val="30"/>
          <w:sz w:val="17"/>
        </w:rPr>
        <w:t> </w:t>
      </w:r>
      <w:r>
        <w:rPr>
          <w:sz w:val="17"/>
        </w:rPr>
        <w:t>patogénicos</w:t>
      </w:r>
    </w:p>
    <w:p>
      <w:pPr>
        <w:pStyle w:val="BodyText"/>
        <w:spacing w:before="6"/>
        <w:rPr>
          <w:rFonts w:ascii="Times New Roman"/>
          <w:sz w:val="10"/>
        </w:rPr>
      </w:pPr>
    </w:p>
    <w:p>
      <w:pPr>
        <w:pStyle w:val="ListParagraph"/>
        <w:numPr>
          <w:ilvl w:val="0"/>
          <w:numId w:val="19"/>
        </w:numPr>
        <w:tabs>
          <w:tab w:pos="1448" w:val="left" w:leader="none"/>
          <w:tab w:pos="1449" w:val="left" w:leader="none"/>
        </w:tabs>
        <w:spacing w:line="240" w:lineRule="auto" w:before="80" w:after="0"/>
        <w:ind w:left="1448" w:right="0" w:hanging="453"/>
        <w:jc w:val="left"/>
        <w:rPr>
          <w:sz w:val="17"/>
        </w:rPr>
      </w:pPr>
      <w:r>
        <w:rPr>
          <w:sz w:val="17"/>
        </w:rPr>
        <w:t>(Gavino</w:t>
      </w:r>
      <w:r>
        <w:rPr>
          <w:spacing w:val="23"/>
          <w:sz w:val="17"/>
        </w:rPr>
        <w:t> </w:t>
      </w:r>
      <w:r>
        <w:rPr>
          <w:i/>
          <w:sz w:val="17"/>
        </w:rPr>
        <w:t>et</w:t>
      </w:r>
      <w:r>
        <w:rPr>
          <w:i/>
          <w:spacing w:val="11"/>
          <w:sz w:val="17"/>
        </w:rPr>
        <w:t> </w:t>
      </w:r>
      <w:r>
        <w:rPr>
          <w:i/>
          <w:sz w:val="17"/>
        </w:rPr>
        <w:t>al</w:t>
      </w:r>
      <w:r>
        <w:rPr>
          <w:sz w:val="17"/>
        </w:rPr>
        <w:t>.,</w:t>
      </w:r>
      <w:r>
        <w:rPr>
          <w:spacing w:val="23"/>
          <w:sz w:val="17"/>
        </w:rPr>
        <w:t> </w:t>
      </w:r>
      <w:r>
        <w:rPr>
          <w:sz w:val="17"/>
        </w:rPr>
        <w:t>2000).</w:t>
      </w:r>
      <w:r>
        <w:rPr>
          <w:spacing w:val="23"/>
          <w:sz w:val="17"/>
        </w:rPr>
        <w:t> </w:t>
      </w:r>
      <w:r>
        <w:rPr>
          <w:sz w:val="17"/>
        </w:rPr>
        <w:t>En</w:t>
      </w:r>
      <w:r>
        <w:rPr>
          <w:spacing w:val="23"/>
          <w:sz w:val="17"/>
        </w:rPr>
        <w:t> </w:t>
      </w:r>
      <w:r>
        <w:rPr>
          <w:sz w:val="17"/>
        </w:rPr>
        <w:t>muchos</w:t>
      </w:r>
      <w:r>
        <w:rPr>
          <w:spacing w:val="23"/>
          <w:sz w:val="17"/>
        </w:rPr>
        <w:t> </w:t>
      </w:r>
      <w:r>
        <w:rPr>
          <w:sz w:val="17"/>
        </w:rPr>
        <w:t>agroecosistemas,</w:t>
      </w:r>
      <w:r>
        <w:rPr>
          <w:spacing w:val="23"/>
          <w:sz w:val="17"/>
        </w:rPr>
        <w:t> </w:t>
      </w:r>
      <w:r>
        <w:rPr>
          <w:sz w:val="17"/>
        </w:rPr>
        <w:t>las</w:t>
      </w:r>
      <w:r>
        <w:rPr>
          <w:spacing w:val="23"/>
          <w:sz w:val="17"/>
        </w:rPr>
        <w:t> </w:t>
      </w:r>
      <w:r>
        <w:rPr>
          <w:sz w:val="17"/>
        </w:rPr>
        <w:t>oosporas</w:t>
      </w:r>
      <w:r>
        <w:rPr>
          <w:spacing w:val="23"/>
          <w:sz w:val="17"/>
        </w:rPr>
        <w:t> </w:t>
      </w:r>
      <w:r>
        <w:rPr>
          <w:sz w:val="17"/>
        </w:rPr>
        <w:t>germinan</w:t>
      </w:r>
      <w:r>
        <w:rPr>
          <w:spacing w:val="23"/>
          <w:sz w:val="17"/>
        </w:rPr>
        <w:t> </w:t>
      </w:r>
      <w:r>
        <w:rPr>
          <w:sz w:val="17"/>
        </w:rPr>
        <w:t>al</w:t>
      </w:r>
      <w:r>
        <w:rPr>
          <w:spacing w:val="23"/>
          <w:sz w:val="17"/>
        </w:rPr>
        <w:t> </w:t>
      </w:r>
      <w:r>
        <w:rPr>
          <w:sz w:val="17"/>
        </w:rPr>
        <w:t>inicio</w:t>
      </w:r>
      <w:r>
        <w:rPr>
          <w:spacing w:val="23"/>
          <w:sz w:val="17"/>
        </w:rPr>
        <w:t> </w:t>
      </w:r>
      <w:r>
        <w:rPr>
          <w:sz w:val="17"/>
        </w:rPr>
        <w:t>de</w:t>
      </w:r>
      <w:r>
        <w:rPr>
          <w:spacing w:val="23"/>
          <w:sz w:val="17"/>
        </w:rPr>
        <w:t> </w:t>
      </w:r>
      <w:r>
        <w:rPr>
          <w:sz w:val="17"/>
        </w:rPr>
        <w:t>una</w:t>
      </w:r>
    </w:p>
    <w:p>
      <w:pPr>
        <w:pStyle w:val="BodyText"/>
        <w:spacing w:before="6"/>
        <w:rPr>
          <w:rFonts w:ascii="Times New Roman"/>
          <w:sz w:val="10"/>
        </w:rPr>
      </w:pPr>
    </w:p>
    <w:p>
      <w:pPr>
        <w:pStyle w:val="ListParagraph"/>
        <w:numPr>
          <w:ilvl w:val="0"/>
          <w:numId w:val="19"/>
        </w:numPr>
        <w:tabs>
          <w:tab w:pos="1448" w:val="left" w:leader="none"/>
          <w:tab w:pos="1449" w:val="left" w:leader="none"/>
        </w:tabs>
        <w:spacing w:line="240" w:lineRule="auto" w:before="80" w:after="0"/>
        <w:ind w:left="1448" w:right="0" w:hanging="453"/>
        <w:jc w:val="left"/>
        <w:rPr>
          <w:sz w:val="17"/>
        </w:rPr>
      </w:pPr>
      <w:r>
        <w:rPr>
          <w:sz w:val="17"/>
        </w:rPr>
        <w:t>temporada, </w:t>
      </w:r>
      <w:r>
        <w:rPr>
          <w:spacing w:val="32"/>
          <w:sz w:val="17"/>
        </w:rPr>
        <w:t> </w:t>
      </w:r>
      <w:r>
        <w:rPr>
          <w:sz w:val="17"/>
        </w:rPr>
        <w:t>lo </w:t>
      </w:r>
      <w:r>
        <w:rPr>
          <w:spacing w:val="32"/>
          <w:sz w:val="17"/>
        </w:rPr>
        <w:t> </w:t>
      </w:r>
      <w:r>
        <w:rPr>
          <w:sz w:val="17"/>
        </w:rPr>
        <w:t>cual </w:t>
      </w:r>
      <w:r>
        <w:rPr>
          <w:spacing w:val="32"/>
          <w:sz w:val="17"/>
        </w:rPr>
        <w:t> </w:t>
      </w:r>
      <w:r>
        <w:rPr>
          <w:sz w:val="17"/>
        </w:rPr>
        <w:t>representa </w:t>
      </w:r>
      <w:r>
        <w:rPr>
          <w:spacing w:val="32"/>
          <w:sz w:val="17"/>
        </w:rPr>
        <w:t> </w:t>
      </w:r>
      <w:r>
        <w:rPr>
          <w:sz w:val="17"/>
        </w:rPr>
        <w:t>el </w:t>
      </w:r>
      <w:r>
        <w:rPr>
          <w:spacing w:val="32"/>
          <w:sz w:val="17"/>
        </w:rPr>
        <w:t> </w:t>
      </w:r>
      <w:r>
        <w:rPr>
          <w:sz w:val="17"/>
        </w:rPr>
        <w:t>inóculo </w:t>
      </w:r>
      <w:r>
        <w:rPr>
          <w:spacing w:val="32"/>
          <w:sz w:val="17"/>
        </w:rPr>
        <w:t> </w:t>
      </w:r>
      <w:r>
        <w:rPr>
          <w:sz w:val="17"/>
        </w:rPr>
        <w:t>inicial </w:t>
      </w:r>
      <w:r>
        <w:rPr>
          <w:spacing w:val="32"/>
          <w:sz w:val="17"/>
        </w:rPr>
        <w:t> </w:t>
      </w:r>
      <w:r>
        <w:rPr>
          <w:sz w:val="17"/>
        </w:rPr>
        <w:t>para </w:t>
      </w:r>
      <w:r>
        <w:rPr>
          <w:spacing w:val="32"/>
          <w:sz w:val="17"/>
        </w:rPr>
        <w:t> </w:t>
      </w:r>
      <w:r>
        <w:rPr>
          <w:sz w:val="17"/>
        </w:rPr>
        <w:t>las </w:t>
      </w:r>
      <w:r>
        <w:rPr>
          <w:spacing w:val="32"/>
          <w:sz w:val="17"/>
        </w:rPr>
        <w:t> </w:t>
      </w:r>
      <w:r>
        <w:rPr>
          <w:sz w:val="17"/>
        </w:rPr>
        <w:t>epidemias </w:t>
      </w:r>
      <w:r>
        <w:rPr>
          <w:spacing w:val="32"/>
          <w:sz w:val="17"/>
        </w:rPr>
        <w:t> </w:t>
      </w:r>
      <w:r>
        <w:rPr>
          <w:sz w:val="17"/>
        </w:rPr>
        <w:t>en </w:t>
      </w:r>
      <w:r>
        <w:rPr>
          <w:spacing w:val="32"/>
          <w:sz w:val="17"/>
        </w:rPr>
        <w:t> </w:t>
      </w:r>
      <w:r>
        <w:rPr>
          <w:sz w:val="17"/>
        </w:rPr>
        <w:t>los </w:t>
      </w:r>
      <w:r>
        <w:rPr>
          <w:spacing w:val="32"/>
          <w:sz w:val="17"/>
        </w:rPr>
        <w:t> </w:t>
      </w:r>
      <w:r>
        <w:rPr>
          <w:sz w:val="17"/>
        </w:rPr>
        <w:t>cultivos</w:t>
      </w:r>
    </w:p>
    <w:p>
      <w:pPr>
        <w:pStyle w:val="BodyText"/>
        <w:spacing w:before="6"/>
        <w:rPr>
          <w:rFonts w:ascii="Times New Roman"/>
          <w:sz w:val="10"/>
        </w:rPr>
      </w:pPr>
    </w:p>
    <w:p>
      <w:pPr>
        <w:pStyle w:val="ListParagraph"/>
        <w:numPr>
          <w:ilvl w:val="0"/>
          <w:numId w:val="19"/>
        </w:numPr>
        <w:tabs>
          <w:tab w:pos="1448" w:val="left" w:leader="none"/>
          <w:tab w:pos="1449" w:val="left" w:leader="none"/>
        </w:tabs>
        <w:spacing w:line="240" w:lineRule="auto" w:before="80" w:after="0"/>
        <w:ind w:left="1448" w:right="0" w:hanging="453"/>
        <w:jc w:val="left"/>
        <w:rPr>
          <w:sz w:val="17"/>
        </w:rPr>
      </w:pPr>
      <w:r>
        <w:rPr>
          <w:sz w:val="17"/>
        </w:rPr>
        <w:t>(Grünwald   y   Flier,   2005).   Las   oosporas   se   forman   cuando   dos   cepas   de   tipo</w:t>
      </w:r>
      <w:r>
        <w:rPr>
          <w:spacing w:val="34"/>
          <w:sz w:val="17"/>
        </w:rPr>
        <w:t> </w:t>
      </w:r>
      <w:r>
        <w:rPr>
          <w:sz w:val="17"/>
        </w:rPr>
        <w:t>de</w:t>
      </w:r>
    </w:p>
    <w:p>
      <w:pPr>
        <w:pStyle w:val="BodyText"/>
        <w:spacing w:before="6"/>
        <w:rPr>
          <w:rFonts w:ascii="Times New Roman"/>
          <w:sz w:val="10"/>
        </w:rPr>
      </w:pPr>
    </w:p>
    <w:p>
      <w:pPr>
        <w:pStyle w:val="ListParagraph"/>
        <w:numPr>
          <w:ilvl w:val="0"/>
          <w:numId w:val="19"/>
        </w:numPr>
        <w:tabs>
          <w:tab w:pos="1448" w:val="left" w:leader="none"/>
          <w:tab w:pos="1449" w:val="left" w:leader="none"/>
        </w:tabs>
        <w:spacing w:line="240" w:lineRule="auto" w:before="80" w:after="0"/>
        <w:ind w:left="1448" w:right="0" w:hanging="453"/>
        <w:jc w:val="left"/>
        <w:rPr>
          <w:sz w:val="17"/>
        </w:rPr>
      </w:pPr>
      <w:r>
        <w:rPr>
          <w:sz w:val="17"/>
        </w:rPr>
        <w:t>apareamiento</w:t>
      </w:r>
      <w:r>
        <w:rPr>
          <w:spacing w:val="33"/>
          <w:sz w:val="17"/>
        </w:rPr>
        <w:t> </w:t>
      </w:r>
      <w:r>
        <w:rPr>
          <w:sz w:val="17"/>
        </w:rPr>
        <w:t>opuesto,</w:t>
      </w:r>
      <w:r>
        <w:rPr>
          <w:spacing w:val="33"/>
          <w:sz w:val="17"/>
        </w:rPr>
        <w:t> </w:t>
      </w:r>
      <w:r>
        <w:rPr>
          <w:sz w:val="17"/>
        </w:rPr>
        <w:t>denominados</w:t>
      </w:r>
      <w:r>
        <w:rPr>
          <w:spacing w:val="33"/>
          <w:sz w:val="17"/>
        </w:rPr>
        <w:t> </w:t>
      </w:r>
      <w:r>
        <w:rPr>
          <w:sz w:val="17"/>
        </w:rPr>
        <w:t>A1</w:t>
      </w:r>
      <w:r>
        <w:rPr>
          <w:spacing w:val="33"/>
          <w:sz w:val="17"/>
        </w:rPr>
        <w:t> </w:t>
      </w:r>
      <w:r>
        <w:rPr>
          <w:sz w:val="17"/>
        </w:rPr>
        <w:t>y</w:t>
      </w:r>
      <w:r>
        <w:rPr>
          <w:spacing w:val="33"/>
          <w:sz w:val="17"/>
        </w:rPr>
        <w:t> </w:t>
      </w:r>
      <w:r>
        <w:rPr>
          <w:sz w:val="17"/>
        </w:rPr>
        <w:t>A2,</w:t>
      </w:r>
      <w:r>
        <w:rPr>
          <w:spacing w:val="33"/>
          <w:sz w:val="17"/>
        </w:rPr>
        <w:t> </w:t>
      </w:r>
      <w:r>
        <w:rPr>
          <w:sz w:val="17"/>
        </w:rPr>
        <w:t>interactúan.</w:t>
      </w:r>
      <w:r>
        <w:rPr>
          <w:spacing w:val="33"/>
          <w:sz w:val="17"/>
        </w:rPr>
        <w:t> </w:t>
      </w:r>
      <w:r>
        <w:rPr>
          <w:sz w:val="17"/>
        </w:rPr>
        <w:t>Sin</w:t>
      </w:r>
      <w:r>
        <w:rPr>
          <w:spacing w:val="33"/>
          <w:sz w:val="17"/>
        </w:rPr>
        <w:t> </w:t>
      </w:r>
      <w:r>
        <w:rPr>
          <w:sz w:val="17"/>
        </w:rPr>
        <w:t>embargo,</w:t>
      </w:r>
      <w:r>
        <w:rPr>
          <w:spacing w:val="33"/>
          <w:sz w:val="17"/>
        </w:rPr>
        <w:t> </w:t>
      </w:r>
      <w:r>
        <w:rPr>
          <w:sz w:val="17"/>
        </w:rPr>
        <w:t>los</w:t>
      </w:r>
      <w:r>
        <w:rPr>
          <w:spacing w:val="33"/>
          <w:sz w:val="17"/>
        </w:rPr>
        <w:t> </w:t>
      </w:r>
      <w:r>
        <w:rPr>
          <w:sz w:val="17"/>
        </w:rPr>
        <w:t>aislamientos</w:t>
      </w:r>
    </w:p>
    <w:p>
      <w:pPr>
        <w:pStyle w:val="BodyText"/>
        <w:spacing w:before="6"/>
        <w:rPr>
          <w:rFonts w:ascii="Times New Roman"/>
          <w:sz w:val="10"/>
        </w:rPr>
      </w:pPr>
    </w:p>
    <w:p>
      <w:pPr>
        <w:pStyle w:val="ListParagraph"/>
        <w:numPr>
          <w:ilvl w:val="0"/>
          <w:numId w:val="19"/>
        </w:numPr>
        <w:tabs>
          <w:tab w:pos="1448" w:val="left" w:leader="none"/>
          <w:tab w:pos="1449" w:val="left" w:leader="none"/>
        </w:tabs>
        <w:spacing w:line="240" w:lineRule="auto" w:before="80" w:after="0"/>
        <w:ind w:left="1448" w:right="0" w:hanging="453"/>
        <w:jc w:val="left"/>
        <w:rPr>
          <w:sz w:val="17"/>
        </w:rPr>
      </w:pPr>
      <w:r>
        <w:rPr>
          <w:sz w:val="17"/>
        </w:rPr>
        <w:t>homotálicos</w:t>
      </w:r>
      <w:r>
        <w:rPr>
          <w:spacing w:val="18"/>
          <w:sz w:val="17"/>
        </w:rPr>
        <w:t> </w:t>
      </w:r>
      <w:r>
        <w:rPr>
          <w:sz w:val="17"/>
        </w:rPr>
        <w:t>son</w:t>
      </w:r>
      <w:r>
        <w:rPr>
          <w:spacing w:val="18"/>
          <w:sz w:val="17"/>
        </w:rPr>
        <w:t> </w:t>
      </w:r>
      <w:r>
        <w:rPr>
          <w:sz w:val="17"/>
        </w:rPr>
        <w:t>capaces</w:t>
      </w:r>
      <w:r>
        <w:rPr>
          <w:spacing w:val="18"/>
          <w:sz w:val="17"/>
        </w:rPr>
        <w:t> </w:t>
      </w:r>
      <w:r>
        <w:rPr>
          <w:sz w:val="17"/>
        </w:rPr>
        <w:t>de</w:t>
      </w:r>
      <w:r>
        <w:rPr>
          <w:spacing w:val="18"/>
          <w:sz w:val="17"/>
        </w:rPr>
        <w:t> </w:t>
      </w:r>
      <w:r>
        <w:rPr>
          <w:sz w:val="17"/>
        </w:rPr>
        <w:t>producir</w:t>
      </w:r>
      <w:r>
        <w:rPr>
          <w:spacing w:val="18"/>
          <w:sz w:val="17"/>
        </w:rPr>
        <w:t> </w:t>
      </w:r>
      <w:r>
        <w:rPr>
          <w:sz w:val="17"/>
        </w:rPr>
        <w:t>oosporas</w:t>
      </w:r>
      <w:r>
        <w:rPr>
          <w:spacing w:val="18"/>
          <w:sz w:val="17"/>
        </w:rPr>
        <w:t> </w:t>
      </w:r>
      <w:r>
        <w:rPr>
          <w:sz w:val="17"/>
        </w:rPr>
        <w:t>por</w:t>
      </w:r>
      <w:r>
        <w:rPr>
          <w:spacing w:val="18"/>
          <w:sz w:val="17"/>
        </w:rPr>
        <w:t> </w:t>
      </w:r>
      <w:r>
        <w:rPr>
          <w:sz w:val="17"/>
        </w:rPr>
        <w:t>sí</w:t>
      </w:r>
      <w:r>
        <w:rPr>
          <w:spacing w:val="18"/>
          <w:sz w:val="17"/>
        </w:rPr>
        <w:t> </w:t>
      </w:r>
      <w:r>
        <w:rPr>
          <w:sz w:val="17"/>
        </w:rPr>
        <w:t>solos,</w:t>
      </w:r>
      <w:r>
        <w:rPr>
          <w:spacing w:val="18"/>
          <w:sz w:val="17"/>
        </w:rPr>
        <w:t> </w:t>
      </w:r>
      <w:r>
        <w:rPr>
          <w:sz w:val="17"/>
        </w:rPr>
        <w:t>y</w:t>
      </w:r>
      <w:r>
        <w:rPr>
          <w:spacing w:val="18"/>
          <w:sz w:val="17"/>
        </w:rPr>
        <w:t> </w:t>
      </w:r>
      <w:r>
        <w:rPr>
          <w:sz w:val="17"/>
        </w:rPr>
        <w:t>tienen</w:t>
      </w:r>
      <w:r>
        <w:rPr>
          <w:spacing w:val="18"/>
          <w:sz w:val="17"/>
        </w:rPr>
        <w:t> </w:t>
      </w:r>
      <w:r>
        <w:rPr>
          <w:sz w:val="17"/>
        </w:rPr>
        <w:t>la</w:t>
      </w:r>
      <w:r>
        <w:rPr>
          <w:spacing w:val="18"/>
          <w:sz w:val="17"/>
        </w:rPr>
        <w:t> </w:t>
      </w:r>
      <w:r>
        <w:rPr>
          <w:sz w:val="17"/>
        </w:rPr>
        <w:t>capacidad</w:t>
      </w:r>
      <w:r>
        <w:rPr>
          <w:spacing w:val="18"/>
          <w:sz w:val="17"/>
        </w:rPr>
        <w:t> </w:t>
      </w:r>
      <w:r>
        <w:rPr>
          <w:sz w:val="17"/>
        </w:rPr>
        <w:t>de</w:t>
      </w:r>
      <w:r>
        <w:rPr>
          <w:spacing w:val="18"/>
          <w:sz w:val="17"/>
        </w:rPr>
        <w:t> </w:t>
      </w:r>
      <w:r>
        <w:rPr>
          <w:sz w:val="17"/>
        </w:rPr>
        <w:t>actuar</w:t>
      </w:r>
    </w:p>
    <w:p>
      <w:pPr>
        <w:pStyle w:val="BodyText"/>
        <w:spacing w:before="6"/>
        <w:rPr>
          <w:rFonts w:ascii="Times New Roman"/>
          <w:sz w:val="10"/>
        </w:rPr>
      </w:pPr>
    </w:p>
    <w:p>
      <w:pPr>
        <w:pStyle w:val="ListParagraph"/>
        <w:numPr>
          <w:ilvl w:val="0"/>
          <w:numId w:val="19"/>
        </w:numPr>
        <w:tabs>
          <w:tab w:pos="1448" w:val="left" w:leader="none"/>
          <w:tab w:pos="1449" w:val="left" w:leader="none"/>
        </w:tabs>
        <w:spacing w:line="240" w:lineRule="auto" w:before="80" w:after="0"/>
        <w:ind w:left="1448" w:right="0" w:hanging="453"/>
        <w:jc w:val="left"/>
        <w:rPr>
          <w:sz w:val="17"/>
        </w:rPr>
      </w:pPr>
      <w:r>
        <w:rPr>
          <w:sz w:val="17"/>
        </w:rPr>
        <w:t>como</w:t>
      </w:r>
      <w:r>
        <w:rPr>
          <w:spacing w:val="33"/>
          <w:sz w:val="17"/>
        </w:rPr>
        <w:t> </w:t>
      </w:r>
      <w:r>
        <w:rPr>
          <w:sz w:val="17"/>
        </w:rPr>
        <w:t>A1</w:t>
      </w:r>
      <w:r>
        <w:rPr>
          <w:spacing w:val="33"/>
          <w:sz w:val="17"/>
        </w:rPr>
        <w:t> </w:t>
      </w:r>
      <w:r>
        <w:rPr>
          <w:sz w:val="17"/>
        </w:rPr>
        <w:t>y</w:t>
      </w:r>
      <w:r>
        <w:rPr>
          <w:spacing w:val="33"/>
          <w:sz w:val="17"/>
        </w:rPr>
        <w:t> </w:t>
      </w:r>
      <w:r>
        <w:rPr>
          <w:sz w:val="17"/>
        </w:rPr>
        <w:t>A2</w:t>
      </w:r>
      <w:r>
        <w:rPr>
          <w:spacing w:val="33"/>
          <w:sz w:val="17"/>
        </w:rPr>
        <w:t> </w:t>
      </w:r>
      <w:r>
        <w:rPr>
          <w:sz w:val="17"/>
        </w:rPr>
        <w:t>en</w:t>
      </w:r>
      <w:r>
        <w:rPr>
          <w:spacing w:val="33"/>
          <w:sz w:val="17"/>
        </w:rPr>
        <w:t> </w:t>
      </w:r>
      <w:r>
        <w:rPr>
          <w:sz w:val="17"/>
        </w:rPr>
        <w:t>los</w:t>
      </w:r>
      <w:r>
        <w:rPr>
          <w:spacing w:val="33"/>
          <w:sz w:val="17"/>
        </w:rPr>
        <w:t> </w:t>
      </w:r>
      <w:r>
        <w:rPr>
          <w:sz w:val="17"/>
        </w:rPr>
        <w:t>enfrentamientos</w:t>
      </w:r>
      <w:r>
        <w:rPr>
          <w:spacing w:val="33"/>
          <w:sz w:val="17"/>
        </w:rPr>
        <w:t> </w:t>
      </w:r>
      <w:r>
        <w:rPr>
          <w:sz w:val="17"/>
        </w:rPr>
        <w:t>heterotálicos</w:t>
      </w:r>
      <w:r>
        <w:rPr>
          <w:spacing w:val="33"/>
          <w:sz w:val="17"/>
        </w:rPr>
        <w:t> </w:t>
      </w:r>
      <w:r>
        <w:rPr>
          <w:sz w:val="17"/>
        </w:rPr>
        <w:t>(Guo</w:t>
      </w:r>
      <w:r>
        <w:rPr>
          <w:spacing w:val="33"/>
          <w:sz w:val="17"/>
        </w:rPr>
        <w:t> </w:t>
      </w:r>
      <w:r>
        <w:rPr>
          <w:i/>
          <w:sz w:val="17"/>
        </w:rPr>
        <w:t>et</w:t>
      </w:r>
      <w:r>
        <w:rPr>
          <w:i/>
          <w:spacing w:val="22"/>
          <w:sz w:val="17"/>
        </w:rPr>
        <w:t> </w:t>
      </w:r>
      <w:r>
        <w:rPr>
          <w:i/>
          <w:sz w:val="17"/>
        </w:rPr>
        <w:t>al</w:t>
      </w:r>
      <w:r>
        <w:rPr>
          <w:sz w:val="17"/>
        </w:rPr>
        <w:t>.,</w:t>
      </w:r>
      <w:r>
        <w:rPr>
          <w:spacing w:val="33"/>
          <w:sz w:val="17"/>
        </w:rPr>
        <w:t> </w:t>
      </w:r>
      <w:r>
        <w:rPr>
          <w:sz w:val="17"/>
        </w:rPr>
        <w:t>2010;</w:t>
      </w:r>
      <w:r>
        <w:rPr>
          <w:spacing w:val="33"/>
          <w:sz w:val="17"/>
        </w:rPr>
        <w:t> </w:t>
      </w:r>
      <w:r>
        <w:rPr>
          <w:sz w:val="17"/>
        </w:rPr>
        <w:t>Han</w:t>
      </w:r>
      <w:r>
        <w:rPr>
          <w:spacing w:val="33"/>
          <w:sz w:val="17"/>
        </w:rPr>
        <w:t> </w:t>
      </w:r>
      <w:r>
        <w:rPr>
          <w:i/>
          <w:sz w:val="17"/>
        </w:rPr>
        <w:t>et</w:t>
      </w:r>
      <w:r>
        <w:rPr>
          <w:i/>
          <w:spacing w:val="22"/>
          <w:sz w:val="17"/>
        </w:rPr>
        <w:t> </w:t>
      </w:r>
      <w:r>
        <w:rPr>
          <w:i/>
          <w:sz w:val="17"/>
        </w:rPr>
        <w:t>al</w:t>
      </w:r>
      <w:r>
        <w:rPr>
          <w:sz w:val="17"/>
        </w:rPr>
        <w:t>.,</w:t>
      </w:r>
      <w:r>
        <w:rPr>
          <w:spacing w:val="33"/>
          <w:sz w:val="17"/>
        </w:rPr>
        <w:t> </w:t>
      </w:r>
      <w:r>
        <w:rPr>
          <w:sz w:val="17"/>
        </w:rPr>
        <w:t>2013;</w:t>
      </w:r>
    </w:p>
    <w:p>
      <w:pPr>
        <w:pStyle w:val="BodyText"/>
        <w:spacing w:before="6"/>
        <w:rPr>
          <w:rFonts w:ascii="Times New Roman"/>
          <w:sz w:val="10"/>
        </w:rPr>
      </w:pPr>
    </w:p>
    <w:p>
      <w:pPr>
        <w:pStyle w:val="ListParagraph"/>
        <w:numPr>
          <w:ilvl w:val="0"/>
          <w:numId w:val="19"/>
        </w:numPr>
        <w:tabs>
          <w:tab w:pos="1448" w:val="left" w:leader="none"/>
          <w:tab w:pos="1449" w:val="left" w:leader="none"/>
        </w:tabs>
        <w:spacing w:line="240" w:lineRule="auto" w:before="80" w:after="0"/>
        <w:ind w:left="1448" w:right="0" w:hanging="453"/>
        <w:jc w:val="left"/>
        <w:rPr>
          <w:i/>
          <w:sz w:val="17"/>
        </w:rPr>
      </w:pPr>
      <w:r>
        <w:rPr>
          <w:sz w:val="17"/>
        </w:rPr>
        <w:t>Alarcón  </w:t>
      </w:r>
      <w:r>
        <w:rPr>
          <w:i/>
          <w:sz w:val="17"/>
        </w:rPr>
        <w:t>et  al.,  </w:t>
      </w:r>
      <w:r>
        <w:rPr>
          <w:sz w:val="17"/>
        </w:rPr>
        <w:t>2013.).  La  reproducción  asexual  a  partir  de  zoosporas  le  permite  a   </w:t>
      </w:r>
      <w:r>
        <w:rPr>
          <w:spacing w:val="31"/>
          <w:sz w:val="17"/>
        </w:rPr>
        <w:t> </w:t>
      </w:r>
      <w:r>
        <w:rPr>
          <w:i/>
          <w:sz w:val="17"/>
        </w:rPr>
        <w:t>P.</w:t>
      </w:r>
    </w:p>
    <w:p>
      <w:pPr>
        <w:pStyle w:val="BodyText"/>
        <w:spacing w:before="6"/>
        <w:rPr>
          <w:rFonts w:ascii="Times New Roman"/>
          <w:i/>
          <w:sz w:val="10"/>
        </w:rPr>
      </w:pPr>
    </w:p>
    <w:p>
      <w:pPr>
        <w:pStyle w:val="ListParagraph"/>
        <w:numPr>
          <w:ilvl w:val="0"/>
          <w:numId w:val="19"/>
        </w:numPr>
        <w:tabs>
          <w:tab w:pos="1448" w:val="left" w:leader="none"/>
          <w:tab w:pos="1449" w:val="left" w:leader="none"/>
        </w:tabs>
        <w:spacing w:line="240" w:lineRule="auto" w:before="80" w:after="0"/>
        <w:ind w:left="1448" w:right="0" w:hanging="453"/>
        <w:jc w:val="left"/>
        <w:rPr>
          <w:sz w:val="17"/>
        </w:rPr>
      </w:pPr>
      <w:r>
        <w:rPr>
          <w:i/>
          <w:sz w:val="17"/>
        </w:rPr>
        <w:t>infestans</w:t>
      </w:r>
      <w:r>
        <w:rPr>
          <w:i/>
          <w:spacing w:val="19"/>
          <w:sz w:val="17"/>
        </w:rPr>
        <w:t> </w:t>
      </w:r>
      <w:r>
        <w:rPr>
          <w:sz w:val="17"/>
        </w:rPr>
        <w:t>una</w:t>
      </w:r>
      <w:r>
        <w:rPr>
          <w:spacing w:val="19"/>
          <w:sz w:val="17"/>
        </w:rPr>
        <w:t> </w:t>
      </w:r>
      <w:r>
        <w:rPr>
          <w:sz w:val="17"/>
        </w:rPr>
        <w:t>rápida</w:t>
      </w:r>
      <w:r>
        <w:rPr>
          <w:spacing w:val="19"/>
          <w:sz w:val="17"/>
        </w:rPr>
        <w:t> </w:t>
      </w:r>
      <w:r>
        <w:rPr>
          <w:sz w:val="17"/>
        </w:rPr>
        <w:t>propagación</w:t>
      </w:r>
      <w:r>
        <w:rPr>
          <w:spacing w:val="19"/>
          <w:sz w:val="17"/>
        </w:rPr>
        <w:t> </w:t>
      </w:r>
      <w:r>
        <w:rPr>
          <w:sz w:val="17"/>
        </w:rPr>
        <w:t>en</w:t>
      </w:r>
      <w:r>
        <w:rPr>
          <w:spacing w:val="19"/>
          <w:sz w:val="17"/>
        </w:rPr>
        <w:t> </w:t>
      </w:r>
      <w:r>
        <w:rPr>
          <w:sz w:val="17"/>
        </w:rPr>
        <w:t>el</w:t>
      </w:r>
      <w:r>
        <w:rPr>
          <w:spacing w:val="19"/>
          <w:sz w:val="17"/>
        </w:rPr>
        <w:t> </w:t>
      </w:r>
      <w:r>
        <w:rPr>
          <w:sz w:val="17"/>
        </w:rPr>
        <w:t>tejido</w:t>
      </w:r>
      <w:r>
        <w:rPr>
          <w:spacing w:val="19"/>
          <w:sz w:val="17"/>
        </w:rPr>
        <w:t> </w:t>
      </w:r>
      <w:r>
        <w:rPr>
          <w:sz w:val="17"/>
        </w:rPr>
        <w:t>de</w:t>
      </w:r>
      <w:r>
        <w:rPr>
          <w:spacing w:val="19"/>
          <w:sz w:val="17"/>
        </w:rPr>
        <w:t> </w:t>
      </w:r>
      <w:r>
        <w:rPr>
          <w:sz w:val="17"/>
        </w:rPr>
        <w:t>la</w:t>
      </w:r>
      <w:r>
        <w:rPr>
          <w:spacing w:val="19"/>
          <w:sz w:val="17"/>
        </w:rPr>
        <w:t> </w:t>
      </w:r>
      <w:r>
        <w:rPr>
          <w:sz w:val="17"/>
        </w:rPr>
        <w:t>planta,</w:t>
      </w:r>
      <w:r>
        <w:rPr>
          <w:spacing w:val="19"/>
          <w:sz w:val="17"/>
        </w:rPr>
        <w:t> </w:t>
      </w:r>
      <w:r>
        <w:rPr>
          <w:sz w:val="17"/>
        </w:rPr>
        <w:t>así</w:t>
      </w:r>
      <w:r>
        <w:rPr>
          <w:spacing w:val="19"/>
          <w:sz w:val="17"/>
        </w:rPr>
        <w:t> </w:t>
      </w:r>
      <w:r>
        <w:rPr>
          <w:sz w:val="17"/>
        </w:rPr>
        <w:t>como</w:t>
      </w:r>
      <w:r>
        <w:rPr>
          <w:spacing w:val="19"/>
          <w:sz w:val="17"/>
        </w:rPr>
        <w:t> </w:t>
      </w:r>
      <w:r>
        <w:rPr>
          <w:sz w:val="17"/>
        </w:rPr>
        <w:t>hacia</w:t>
      </w:r>
      <w:r>
        <w:rPr>
          <w:spacing w:val="19"/>
          <w:sz w:val="17"/>
        </w:rPr>
        <w:t> </w:t>
      </w:r>
      <w:r>
        <w:rPr>
          <w:sz w:val="17"/>
        </w:rPr>
        <w:t>nuevas</w:t>
      </w:r>
      <w:r>
        <w:rPr>
          <w:spacing w:val="19"/>
          <w:sz w:val="17"/>
        </w:rPr>
        <w:t> </w:t>
      </w:r>
      <w:r>
        <w:rPr>
          <w:sz w:val="17"/>
        </w:rPr>
        <w:t>plantas</w:t>
      </w:r>
      <w:r>
        <w:rPr>
          <w:spacing w:val="19"/>
          <w:sz w:val="17"/>
        </w:rPr>
        <w:t> </w:t>
      </w:r>
      <w:r>
        <w:rPr>
          <w:sz w:val="17"/>
        </w:rPr>
        <w:t>y</w:t>
      </w:r>
    </w:p>
    <w:p>
      <w:pPr>
        <w:pStyle w:val="BodyText"/>
        <w:spacing w:before="6"/>
        <w:rPr>
          <w:rFonts w:ascii="Times New Roman"/>
          <w:sz w:val="10"/>
        </w:rPr>
      </w:pPr>
    </w:p>
    <w:p>
      <w:pPr>
        <w:pStyle w:val="ListParagraph"/>
        <w:numPr>
          <w:ilvl w:val="0"/>
          <w:numId w:val="19"/>
        </w:numPr>
        <w:tabs>
          <w:tab w:pos="1448" w:val="left" w:leader="none"/>
          <w:tab w:pos="1449" w:val="left" w:leader="none"/>
        </w:tabs>
        <w:spacing w:line="240" w:lineRule="auto" w:before="80" w:after="0"/>
        <w:ind w:left="1448" w:right="0" w:hanging="453"/>
        <w:jc w:val="left"/>
        <w:rPr>
          <w:sz w:val="17"/>
        </w:rPr>
      </w:pPr>
      <w:r>
        <w:rPr>
          <w:sz w:val="17"/>
        </w:rPr>
        <w:t>parcelas</w:t>
      </w:r>
      <w:r>
        <w:rPr>
          <w:spacing w:val="24"/>
          <w:sz w:val="17"/>
        </w:rPr>
        <w:t> </w:t>
      </w:r>
      <w:r>
        <w:rPr>
          <w:sz w:val="17"/>
        </w:rPr>
        <w:t>vecinas.</w:t>
      </w:r>
      <w:r>
        <w:rPr>
          <w:spacing w:val="24"/>
          <w:sz w:val="17"/>
        </w:rPr>
        <w:t> </w:t>
      </w:r>
      <w:r>
        <w:rPr>
          <w:sz w:val="17"/>
        </w:rPr>
        <w:t>El</w:t>
      </w:r>
      <w:r>
        <w:rPr>
          <w:spacing w:val="24"/>
          <w:sz w:val="17"/>
        </w:rPr>
        <w:t> </w:t>
      </w:r>
      <w:r>
        <w:rPr>
          <w:sz w:val="17"/>
        </w:rPr>
        <w:t>objetivo</w:t>
      </w:r>
      <w:r>
        <w:rPr>
          <w:spacing w:val="24"/>
          <w:sz w:val="17"/>
        </w:rPr>
        <w:t> </w:t>
      </w:r>
      <w:r>
        <w:rPr>
          <w:sz w:val="17"/>
        </w:rPr>
        <w:t>del</w:t>
      </w:r>
      <w:r>
        <w:rPr>
          <w:spacing w:val="24"/>
          <w:sz w:val="17"/>
        </w:rPr>
        <w:t> </w:t>
      </w:r>
      <w:r>
        <w:rPr>
          <w:sz w:val="17"/>
        </w:rPr>
        <w:t>presente</w:t>
      </w:r>
      <w:r>
        <w:rPr>
          <w:spacing w:val="24"/>
          <w:sz w:val="17"/>
        </w:rPr>
        <w:t> </w:t>
      </w:r>
      <w:r>
        <w:rPr>
          <w:sz w:val="17"/>
        </w:rPr>
        <w:t>trabajo</w:t>
      </w:r>
      <w:r>
        <w:rPr>
          <w:spacing w:val="24"/>
          <w:sz w:val="17"/>
        </w:rPr>
        <w:t> </w:t>
      </w:r>
      <w:r>
        <w:rPr>
          <w:sz w:val="17"/>
        </w:rPr>
        <w:t>fue</w:t>
      </w:r>
      <w:r>
        <w:rPr>
          <w:spacing w:val="24"/>
          <w:sz w:val="17"/>
        </w:rPr>
        <w:t> </w:t>
      </w:r>
      <w:r>
        <w:rPr>
          <w:sz w:val="17"/>
        </w:rPr>
        <w:t>determinar</w:t>
      </w:r>
      <w:r>
        <w:rPr>
          <w:spacing w:val="24"/>
          <w:sz w:val="17"/>
        </w:rPr>
        <w:t> </w:t>
      </w:r>
      <w:r>
        <w:rPr>
          <w:sz w:val="17"/>
        </w:rPr>
        <w:t>el</w:t>
      </w:r>
      <w:r>
        <w:rPr>
          <w:spacing w:val="24"/>
          <w:sz w:val="17"/>
        </w:rPr>
        <w:t> </w:t>
      </w:r>
      <w:r>
        <w:rPr>
          <w:sz w:val="17"/>
        </w:rPr>
        <w:t>porcentaje</w:t>
      </w:r>
      <w:r>
        <w:rPr>
          <w:spacing w:val="24"/>
          <w:sz w:val="17"/>
        </w:rPr>
        <w:t> </w:t>
      </w:r>
      <w:r>
        <w:rPr>
          <w:sz w:val="17"/>
        </w:rPr>
        <w:t>de</w:t>
      </w:r>
      <w:r>
        <w:rPr>
          <w:spacing w:val="24"/>
          <w:sz w:val="17"/>
        </w:rPr>
        <w:t> </w:t>
      </w:r>
      <w:r>
        <w:rPr>
          <w:sz w:val="17"/>
        </w:rPr>
        <w:t>progenie</w:t>
      </w:r>
    </w:p>
    <w:p>
      <w:pPr>
        <w:pStyle w:val="BodyText"/>
        <w:spacing w:before="6"/>
        <w:rPr>
          <w:rFonts w:ascii="Times New Roman"/>
          <w:sz w:val="10"/>
        </w:rPr>
      </w:pPr>
    </w:p>
    <w:p>
      <w:pPr>
        <w:pStyle w:val="ListParagraph"/>
        <w:numPr>
          <w:ilvl w:val="0"/>
          <w:numId w:val="19"/>
        </w:numPr>
        <w:tabs>
          <w:tab w:pos="1448" w:val="left" w:leader="none"/>
          <w:tab w:pos="1449" w:val="left" w:leader="none"/>
        </w:tabs>
        <w:spacing w:line="240" w:lineRule="auto" w:before="80" w:after="0"/>
        <w:ind w:left="1448" w:right="0" w:hanging="453"/>
        <w:jc w:val="left"/>
        <w:rPr>
          <w:sz w:val="17"/>
        </w:rPr>
      </w:pPr>
      <w:r>
        <w:rPr>
          <w:sz w:val="17"/>
        </w:rPr>
        <w:t>homotálica   que   pueden   producir   los   aislados   homotálicos   a   partir   de      </w:t>
      </w:r>
      <w:r>
        <w:rPr>
          <w:spacing w:val="31"/>
          <w:sz w:val="17"/>
        </w:rPr>
        <w:t> </w:t>
      </w:r>
      <w:r>
        <w:rPr>
          <w:sz w:val="17"/>
        </w:rPr>
        <w:t>zoosporas</w:t>
      </w:r>
    </w:p>
    <w:p>
      <w:pPr>
        <w:pStyle w:val="BodyText"/>
        <w:spacing w:before="6"/>
        <w:rPr>
          <w:rFonts w:ascii="Times New Roman"/>
          <w:sz w:val="10"/>
        </w:rPr>
      </w:pPr>
    </w:p>
    <w:p>
      <w:pPr>
        <w:pStyle w:val="ListParagraph"/>
        <w:numPr>
          <w:ilvl w:val="0"/>
          <w:numId w:val="19"/>
        </w:numPr>
        <w:tabs>
          <w:tab w:pos="1448" w:val="left" w:leader="none"/>
          <w:tab w:pos="1449" w:val="left" w:leader="none"/>
        </w:tabs>
        <w:spacing w:line="240" w:lineRule="auto" w:before="80" w:after="0"/>
        <w:ind w:left="1448" w:right="0" w:hanging="453"/>
        <w:jc w:val="left"/>
        <w:rPr>
          <w:sz w:val="17"/>
        </w:rPr>
      </w:pPr>
      <w:r>
        <w:rPr>
          <w:sz w:val="17"/>
        </w:rPr>
        <w:t>individuales,  y  su  capacidad  de  producir  oosporas  por  sí  solos  y  al  ser  enfrentados</w:t>
      </w:r>
      <w:r>
        <w:rPr>
          <w:spacing w:val="-9"/>
          <w:sz w:val="17"/>
        </w:rPr>
        <w:t> </w:t>
      </w:r>
      <w:r>
        <w:rPr>
          <w:sz w:val="17"/>
        </w:rPr>
        <w:t>con</w:t>
      </w:r>
    </w:p>
    <w:p>
      <w:pPr>
        <w:pStyle w:val="BodyText"/>
        <w:spacing w:before="6"/>
        <w:rPr>
          <w:rFonts w:ascii="Times New Roman"/>
          <w:sz w:val="10"/>
        </w:rPr>
      </w:pPr>
    </w:p>
    <w:p>
      <w:pPr>
        <w:pStyle w:val="ListParagraph"/>
        <w:numPr>
          <w:ilvl w:val="0"/>
          <w:numId w:val="19"/>
        </w:numPr>
        <w:tabs>
          <w:tab w:pos="1448" w:val="left" w:leader="none"/>
          <w:tab w:pos="1449" w:val="left" w:leader="none"/>
        </w:tabs>
        <w:spacing w:line="240" w:lineRule="auto" w:before="80" w:after="0"/>
        <w:ind w:left="1448" w:right="0" w:hanging="453"/>
        <w:jc w:val="left"/>
        <w:rPr>
          <w:sz w:val="17"/>
        </w:rPr>
      </w:pPr>
      <w:r>
        <w:rPr>
          <w:sz w:val="17"/>
        </w:rPr>
        <w:t>aislados</w:t>
      </w:r>
      <w:r>
        <w:rPr>
          <w:spacing w:val="37"/>
          <w:sz w:val="17"/>
        </w:rPr>
        <w:t> </w:t>
      </w:r>
      <w:r>
        <w:rPr>
          <w:sz w:val="17"/>
        </w:rPr>
        <w:t>heterotálicos.</w:t>
      </w:r>
    </w:p>
    <w:p>
      <w:pPr>
        <w:pStyle w:val="BodyText"/>
        <w:spacing w:before="6"/>
        <w:rPr>
          <w:rFonts w:ascii="Times New Roman"/>
          <w:sz w:val="17"/>
        </w:rPr>
      </w:pPr>
    </w:p>
    <w:p>
      <w:pPr>
        <w:spacing w:before="0"/>
        <w:ind w:left="995" w:right="0" w:firstLine="0"/>
        <w:jc w:val="left"/>
        <w:rPr>
          <w:rFonts w:ascii="Cambria"/>
          <w:sz w:val="17"/>
        </w:rPr>
      </w:pPr>
      <w:r>
        <w:rPr>
          <w:rFonts w:ascii="Cambria"/>
          <w:sz w:val="17"/>
        </w:rPr>
        <w:t>71</w:t>
      </w:r>
    </w:p>
    <w:p>
      <w:pPr>
        <w:pStyle w:val="BodyText"/>
        <w:spacing w:before="2"/>
        <w:rPr>
          <w:rFonts w:ascii="Cambria"/>
          <w:sz w:val="17"/>
        </w:rPr>
      </w:pPr>
    </w:p>
    <w:p>
      <w:pPr>
        <w:spacing w:before="0"/>
        <w:ind w:left="995" w:right="0" w:firstLine="0"/>
        <w:jc w:val="left"/>
        <w:rPr>
          <w:rFonts w:ascii="Cambria"/>
          <w:sz w:val="17"/>
        </w:rPr>
      </w:pPr>
      <w:r>
        <w:rPr>
          <w:rFonts w:ascii="Cambria"/>
          <w:sz w:val="17"/>
        </w:rPr>
        <w:t>72</w:t>
      </w:r>
    </w:p>
    <w:p>
      <w:pPr>
        <w:spacing w:after="0"/>
        <w:jc w:val="left"/>
        <w:rPr>
          <w:rFonts w:ascii="Cambria"/>
          <w:sz w:val="17"/>
        </w:rPr>
        <w:sectPr>
          <w:pgSz w:w="12240" w:h="15840"/>
          <w:pgMar w:header="719" w:footer="740" w:top="1260" w:bottom="920" w:left="1460" w:right="1440"/>
        </w:sect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spacing w:before="2"/>
        <w:rPr>
          <w:rFonts w:ascii="Cambria"/>
          <w:sz w:val="27"/>
        </w:rPr>
      </w:pPr>
    </w:p>
    <w:p>
      <w:pPr>
        <w:pStyle w:val="ListParagraph"/>
        <w:numPr>
          <w:ilvl w:val="0"/>
          <w:numId w:val="20"/>
        </w:numPr>
        <w:tabs>
          <w:tab w:pos="1453" w:val="left" w:leader="none"/>
          <w:tab w:pos="1454" w:val="left" w:leader="none"/>
        </w:tabs>
        <w:spacing w:line="240" w:lineRule="auto" w:before="80" w:after="0"/>
        <w:ind w:left="1453" w:right="0" w:hanging="451"/>
        <w:jc w:val="left"/>
        <w:rPr>
          <w:b/>
          <w:sz w:val="17"/>
        </w:rPr>
      </w:pPr>
      <w:r>
        <w:rPr>
          <w:b/>
          <w:sz w:val="17"/>
        </w:rPr>
        <w:t>MATERIALES  Y</w:t>
      </w:r>
      <w:r>
        <w:rPr>
          <w:b/>
          <w:spacing w:val="3"/>
          <w:sz w:val="17"/>
        </w:rPr>
        <w:t> </w:t>
      </w:r>
      <w:r>
        <w:rPr>
          <w:b/>
          <w:sz w:val="17"/>
        </w:rPr>
        <w:t>MÉTODOS</w:t>
      </w:r>
    </w:p>
    <w:p>
      <w:pPr>
        <w:pStyle w:val="BodyText"/>
        <w:spacing w:before="6"/>
        <w:rPr>
          <w:rFonts w:ascii="Times New Roman"/>
          <w:b/>
          <w:sz w:val="10"/>
        </w:rPr>
      </w:pPr>
    </w:p>
    <w:p>
      <w:pPr>
        <w:pStyle w:val="ListParagraph"/>
        <w:numPr>
          <w:ilvl w:val="0"/>
          <w:numId w:val="20"/>
        </w:numPr>
        <w:tabs>
          <w:tab w:pos="1453" w:val="left" w:leader="none"/>
          <w:tab w:pos="1454" w:val="left" w:leader="none"/>
        </w:tabs>
        <w:spacing w:line="240" w:lineRule="auto" w:before="79" w:after="0"/>
        <w:ind w:left="1453" w:right="0" w:hanging="451"/>
        <w:jc w:val="left"/>
        <w:rPr>
          <w:b/>
          <w:sz w:val="17"/>
        </w:rPr>
      </w:pPr>
      <w:r>
        <w:rPr>
          <w:b/>
          <w:sz w:val="17"/>
        </w:rPr>
        <w:t>Origen de los</w:t>
      </w:r>
      <w:r>
        <w:rPr>
          <w:b/>
          <w:spacing w:val="38"/>
          <w:sz w:val="17"/>
        </w:rPr>
        <w:t> </w:t>
      </w:r>
      <w:r>
        <w:rPr>
          <w:b/>
          <w:sz w:val="17"/>
        </w:rPr>
        <w:t>aislamientos</w:t>
      </w:r>
    </w:p>
    <w:p>
      <w:pPr>
        <w:pStyle w:val="BodyText"/>
        <w:spacing w:before="6"/>
        <w:rPr>
          <w:rFonts w:ascii="Times New Roman"/>
          <w:b/>
          <w:sz w:val="10"/>
        </w:rPr>
      </w:pPr>
    </w:p>
    <w:p>
      <w:pPr>
        <w:pStyle w:val="ListParagraph"/>
        <w:numPr>
          <w:ilvl w:val="0"/>
          <w:numId w:val="20"/>
        </w:numPr>
        <w:tabs>
          <w:tab w:pos="1453" w:val="left" w:leader="none"/>
          <w:tab w:pos="1454" w:val="left" w:leader="none"/>
        </w:tabs>
        <w:spacing w:line="240" w:lineRule="auto" w:before="79" w:after="0"/>
        <w:ind w:left="1453" w:right="0" w:hanging="451"/>
        <w:jc w:val="left"/>
        <w:rPr>
          <w:sz w:val="17"/>
        </w:rPr>
      </w:pPr>
      <w:r>
        <w:rPr>
          <w:sz w:val="17"/>
        </w:rPr>
        <w:t>Los  aislamientos  de  </w:t>
      </w:r>
      <w:r>
        <w:rPr>
          <w:i/>
          <w:color w:val="141413"/>
          <w:sz w:val="17"/>
        </w:rPr>
        <w:t>Phytophthora  infestans  </w:t>
      </w:r>
      <w:r>
        <w:rPr>
          <w:sz w:val="17"/>
        </w:rPr>
        <w:t>utilizados  en  este  estudio  (</w:t>
      </w:r>
      <w:r>
        <w:rPr>
          <w:b/>
          <w:sz w:val="17"/>
        </w:rPr>
        <w:t>Tabla  1</w:t>
      </w:r>
      <w:r>
        <w:rPr>
          <w:sz w:val="17"/>
        </w:rPr>
        <w:t>) </w:t>
      </w:r>
      <w:r>
        <w:rPr>
          <w:spacing w:val="8"/>
          <w:sz w:val="17"/>
        </w:rPr>
        <w:t> </w:t>
      </w:r>
      <w:r>
        <w:rPr>
          <w:color w:val="141413"/>
          <w:sz w:val="17"/>
        </w:rPr>
        <w:t>fueron</w:t>
      </w:r>
    </w:p>
    <w:p>
      <w:pPr>
        <w:pStyle w:val="BodyText"/>
        <w:spacing w:before="6"/>
        <w:rPr>
          <w:rFonts w:ascii="Times New Roman"/>
          <w:sz w:val="10"/>
        </w:rPr>
      </w:pPr>
    </w:p>
    <w:p>
      <w:pPr>
        <w:pStyle w:val="ListParagraph"/>
        <w:numPr>
          <w:ilvl w:val="0"/>
          <w:numId w:val="20"/>
        </w:numPr>
        <w:tabs>
          <w:tab w:pos="1453" w:val="left" w:leader="none"/>
          <w:tab w:pos="1454" w:val="left" w:leader="none"/>
        </w:tabs>
        <w:spacing w:line="240" w:lineRule="auto" w:before="79" w:after="0"/>
        <w:ind w:left="1453" w:right="0" w:hanging="451"/>
        <w:jc w:val="left"/>
        <w:rPr>
          <w:sz w:val="17"/>
        </w:rPr>
      </w:pPr>
      <w:r>
        <w:rPr>
          <w:color w:val="141413"/>
          <w:sz w:val="17"/>
        </w:rPr>
        <w:t>obtenidos  de  follaje  infectado  de  cultivos  comerciales  de  papa  (</w:t>
      </w:r>
      <w:r>
        <w:rPr>
          <w:i/>
          <w:color w:val="141413"/>
          <w:sz w:val="17"/>
        </w:rPr>
        <w:t>Solanum  tuberosum</w:t>
      </w:r>
      <w:r>
        <w:rPr>
          <w:color w:val="141413"/>
          <w:sz w:val="17"/>
        </w:rPr>
        <w:t>)</w:t>
      </w:r>
      <w:r>
        <w:rPr>
          <w:color w:val="141413"/>
          <w:spacing w:val="-15"/>
          <w:sz w:val="17"/>
        </w:rPr>
        <w:t> </w:t>
      </w:r>
      <w:r>
        <w:rPr>
          <w:color w:val="141413"/>
          <w:sz w:val="17"/>
        </w:rPr>
        <w:t>del</w:t>
      </w:r>
    </w:p>
    <w:p>
      <w:pPr>
        <w:pStyle w:val="BodyText"/>
        <w:spacing w:before="6"/>
        <w:rPr>
          <w:rFonts w:ascii="Times New Roman"/>
          <w:sz w:val="10"/>
        </w:rPr>
      </w:pPr>
    </w:p>
    <w:p>
      <w:pPr>
        <w:pStyle w:val="ListParagraph"/>
        <w:numPr>
          <w:ilvl w:val="0"/>
          <w:numId w:val="20"/>
        </w:numPr>
        <w:tabs>
          <w:tab w:pos="1453" w:val="left" w:leader="none"/>
          <w:tab w:pos="1454" w:val="left" w:leader="none"/>
        </w:tabs>
        <w:spacing w:line="240" w:lineRule="auto" w:before="79" w:after="0"/>
        <w:ind w:left="1453" w:right="0" w:hanging="451"/>
        <w:jc w:val="left"/>
        <w:rPr>
          <w:sz w:val="17"/>
        </w:rPr>
      </w:pPr>
      <w:r>
        <w:rPr>
          <w:color w:val="141413"/>
          <w:sz w:val="17"/>
        </w:rPr>
        <w:t>Municipio de Zinacantepec </w:t>
      </w:r>
      <w:r>
        <w:rPr>
          <w:color w:val="141413"/>
          <w:spacing w:val="3"/>
          <w:sz w:val="17"/>
        </w:rPr>
        <w:t> </w:t>
      </w:r>
      <w:r>
        <w:rPr>
          <w:color w:val="141413"/>
          <w:sz w:val="17"/>
        </w:rPr>
        <w:t>(Mx).</w:t>
      </w:r>
    </w:p>
    <w:p>
      <w:pPr>
        <w:pStyle w:val="BodyText"/>
        <w:spacing w:before="4"/>
        <w:rPr>
          <w:rFonts w:ascii="Times New Roman"/>
          <w:sz w:val="17"/>
        </w:rPr>
      </w:pPr>
    </w:p>
    <w:p>
      <w:pPr>
        <w:spacing w:before="1"/>
        <w:ind w:left="1002" w:right="0" w:firstLine="0"/>
        <w:jc w:val="left"/>
        <w:rPr>
          <w:rFonts w:ascii="Cambria"/>
          <w:sz w:val="17"/>
        </w:rPr>
      </w:pPr>
      <w:r>
        <w:rPr>
          <w:rFonts w:ascii="Cambria"/>
          <w:sz w:val="17"/>
        </w:rPr>
        <w:t>78</w:t>
      </w:r>
    </w:p>
    <w:p>
      <w:pPr>
        <w:pStyle w:val="BodyText"/>
        <w:spacing w:before="3"/>
        <w:rPr>
          <w:rFonts w:ascii="Cambria"/>
          <w:sz w:val="10"/>
        </w:rPr>
      </w:pPr>
    </w:p>
    <w:p>
      <w:pPr>
        <w:pStyle w:val="ListParagraph"/>
        <w:numPr>
          <w:ilvl w:val="0"/>
          <w:numId w:val="21"/>
        </w:numPr>
        <w:tabs>
          <w:tab w:pos="1453" w:val="left" w:leader="none"/>
          <w:tab w:pos="1454" w:val="left" w:leader="none"/>
        </w:tabs>
        <w:spacing w:line="240" w:lineRule="auto" w:before="80" w:after="0"/>
        <w:ind w:left="1453" w:right="0" w:hanging="451"/>
        <w:jc w:val="left"/>
        <w:rPr>
          <w:b/>
          <w:sz w:val="17"/>
        </w:rPr>
      </w:pPr>
      <w:r>
        <w:rPr>
          <w:b/>
          <w:color w:val="141413"/>
          <w:sz w:val="17"/>
        </w:rPr>
        <w:t>Producción de progenie </w:t>
      </w:r>
      <w:r>
        <w:rPr>
          <w:b/>
          <w:color w:val="141413"/>
          <w:spacing w:val="3"/>
          <w:sz w:val="17"/>
        </w:rPr>
        <w:t> </w:t>
      </w:r>
      <w:r>
        <w:rPr>
          <w:b/>
          <w:color w:val="141413"/>
          <w:sz w:val="17"/>
        </w:rPr>
        <w:t>asexual</w:t>
      </w:r>
    </w:p>
    <w:p>
      <w:pPr>
        <w:pStyle w:val="BodyText"/>
        <w:spacing w:before="6"/>
        <w:rPr>
          <w:rFonts w:ascii="Times New Roman"/>
          <w:b/>
          <w:sz w:val="10"/>
        </w:rPr>
      </w:pPr>
    </w:p>
    <w:p>
      <w:pPr>
        <w:pStyle w:val="ListParagraph"/>
        <w:numPr>
          <w:ilvl w:val="0"/>
          <w:numId w:val="21"/>
        </w:numPr>
        <w:tabs>
          <w:tab w:pos="1453" w:val="left" w:leader="none"/>
          <w:tab w:pos="1454" w:val="left" w:leader="none"/>
        </w:tabs>
        <w:spacing w:line="240" w:lineRule="auto" w:before="79" w:after="0"/>
        <w:ind w:left="1453" w:right="0" w:hanging="451"/>
        <w:jc w:val="left"/>
        <w:rPr>
          <w:sz w:val="17"/>
        </w:rPr>
      </w:pPr>
      <w:r>
        <w:rPr>
          <w:sz w:val="17"/>
        </w:rPr>
        <w:t>Se  obtuvo  progenie  monospórica  a  partir  de  zoosporas  individuales  obtenidas  de     </w:t>
      </w:r>
      <w:r>
        <w:rPr>
          <w:spacing w:val="41"/>
          <w:sz w:val="17"/>
        </w:rPr>
        <w:t> </w:t>
      </w:r>
      <w:r>
        <w:rPr>
          <w:sz w:val="17"/>
        </w:rPr>
        <w:t>los</w:t>
      </w:r>
    </w:p>
    <w:p>
      <w:pPr>
        <w:pStyle w:val="BodyText"/>
        <w:spacing w:before="6"/>
        <w:rPr>
          <w:rFonts w:ascii="Times New Roman"/>
          <w:sz w:val="10"/>
        </w:rPr>
      </w:pPr>
    </w:p>
    <w:p>
      <w:pPr>
        <w:pStyle w:val="ListParagraph"/>
        <w:numPr>
          <w:ilvl w:val="0"/>
          <w:numId w:val="21"/>
        </w:numPr>
        <w:tabs>
          <w:tab w:pos="1453" w:val="left" w:leader="none"/>
          <w:tab w:pos="1454" w:val="left" w:leader="none"/>
        </w:tabs>
        <w:spacing w:line="240" w:lineRule="auto" w:before="79" w:after="0"/>
        <w:ind w:left="1453" w:right="0" w:hanging="451"/>
        <w:jc w:val="left"/>
        <w:rPr>
          <w:sz w:val="17"/>
        </w:rPr>
      </w:pPr>
      <w:r>
        <w:rPr>
          <w:sz w:val="17"/>
        </w:rPr>
        <w:t>aislamientos</w:t>
      </w:r>
      <w:r>
        <w:rPr>
          <w:spacing w:val="21"/>
          <w:sz w:val="17"/>
        </w:rPr>
        <w:t> </w:t>
      </w:r>
      <w:r>
        <w:rPr>
          <w:sz w:val="17"/>
        </w:rPr>
        <w:t>homotálicos</w:t>
      </w:r>
      <w:r>
        <w:rPr>
          <w:spacing w:val="21"/>
          <w:sz w:val="17"/>
        </w:rPr>
        <w:t> </w:t>
      </w:r>
      <w:r>
        <w:rPr>
          <w:sz w:val="17"/>
        </w:rPr>
        <w:t>siguiendo</w:t>
      </w:r>
      <w:r>
        <w:rPr>
          <w:spacing w:val="21"/>
          <w:sz w:val="17"/>
        </w:rPr>
        <w:t> </w:t>
      </w:r>
      <w:r>
        <w:rPr>
          <w:sz w:val="17"/>
        </w:rPr>
        <w:t>la</w:t>
      </w:r>
      <w:r>
        <w:rPr>
          <w:spacing w:val="21"/>
          <w:sz w:val="17"/>
        </w:rPr>
        <w:t> </w:t>
      </w:r>
      <w:r>
        <w:rPr>
          <w:sz w:val="17"/>
        </w:rPr>
        <w:t>metodología</w:t>
      </w:r>
      <w:r>
        <w:rPr>
          <w:spacing w:val="21"/>
          <w:sz w:val="17"/>
        </w:rPr>
        <w:t> </w:t>
      </w:r>
      <w:r>
        <w:rPr>
          <w:sz w:val="17"/>
        </w:rPr>
        <w:t>de</w:t>
      </w:r>
      <w:r>
        <w:rPr>
          <w:spacing w:val="21"/>
          <w:sz w:val="17"/>
        </w:rPr>
        <w:t> </w:t>
      </w:r>
      <w:r>
        <w:rPr>
          <w:sz w:val="17"/>
        </w:rPr>
        <w:t>Han</w:t>
      </w:r>
      <w:r>
        <w:rPr>
          <w:spacing w:val="21"/>
          <w:sz w:val="17"/>
        </w:rPr>
        <w:t> </w:t>
      </w:r>
      <w:r>
        <w:rPr>
          <w:i/>
          <w:sz w:val="17"/>
        </w:rPr>
        <w:t>et.</w:t>
      </w:r>
      <w:r>
        <w:rPr>
          <w:i/>
          <w:spacing w:val="9"/>
          <w:sz w:val="17"/>
        </w:rPr>
        <w:t> </w:t>
      </w:r>
      <w:r>
        <w:rPr>
          <w:i/>
          <w:sz w:val="17"/>
        </w:rPr>
        <w:t>al</w:t>
      </w:r>
      <w:r>
        <w:rPr>
          <w:sz w:val="17"/>
        </w:rPr>
        <w:t>.,</w:t>
      </w:r>
      <w:r>
        <w:rPr>
          <w:spacing w:val="21"/>
          <w:sz w:val="17"/>
        </w:rPr>
        <w:t> </w:t>
      </w:r>
      <w:r>
        <w:rPr>
          <w:sz w:val="17"/>
        </w:rPr>
        <w:t>(2013).</w:t>
      </w:r>
      <w:r>
        <w:rPr>
          <w:spacing w:val="21"/>
          <w:sz w:val="17"/>
        </w:rPr>
        <w:t> </w:t>
      </w:r>
      <w:r>
        <w:rPr>
          <w:sz w:val="17"/>
        </w:rPr>
        <w:t>Los</w:t>
      </w:r>
      <w:r>
        <w:rPr>
          <w:spacing w:val="21"/>
          <w:sz w:val="17"/>
        </w:rPr>
        <w:t> </w:t>
      </w:r>
      <w:r>
        <w:rPr>
          <w:sz w:val="17"/>
        </w:rPr>
        <w:t>esporangios</w:t>
      </w:r>
    </w:p>
    <w:p>
      <w:pPr>
        <w:pStyle w:val="BodyText"/>
        <w:spacing w:before="6"/>
        <w:rPr>
          <w:rFonts w:ascii="Times New Roman"/>
          <w:sz w:val="10"/>
        </w:rPr>
      </w:pPr>
    </w:p>
    <w:p>
      <w:pPr>
        <w:pStyle w:val="ListParagraph"/>
        <w:numPr>
          <w:ilvl w:val="0"/>
          <w:numId w:val="21"/>
        </w:numPr>
        <w:tabs>
          <w:tab w:pos="1453" w:val="left" w:leader="none"/>
          <w:tab w:pos="1454" w:val="left" w:leader="none"/>
        </w:tabs>
        <w:spacing w:line="240" w:lineRule="auto" w:before="79" w:after="0"/>
        <w:ind w:left="1453" w:right="0" w:hanging="451"/>
        <w:jc w:val="left"/>
        <w:rPr>
          <w:sz w:val="17"/>
        </w:rPr>
      </w:pPr>
      <w:r>
        <w:rPr>
          <w:sz w:val="17"/>
        </w:rPr>
        <w:t>fueron</w:t>
      </w:r>
      <w:r>
        <w:rPr>
          <w:spacing w:val="10"/>
          <w:sz w:val="17"/>
        </w:rPr>
        <w:t> </w:t>
      </w:r>
      <w:r>
        <w:rPr>
          <w:sz w:val="17"/>
        </w:rPr>
        <w:t>desprendidos</w:t>
      </w:r>
      <w:r>
        <w:rPr>
          <w:spacing w:val="10"/>
          <w:sz w:val="17"/>
        </w:rPr>
        <w:t> </w:t>
      </w:r>
      <w:r>
        <w:rPr>
          <w:sz w:val="17"/>
        </w:rPr>
        <w:t>de</w:t>
      </w:r>
      <w:r>
        <w:rPr>
          <w:spacing w:val="10"/>
          <w:sz w:val="17"/>
        </w:rPr>
        <w:t> </w:t>
      </w:r>
      <w:r>
        <w:rPr>
          <w:sz w:val="17"/>
        </w:rPr>
        <w:t>la</w:t>
      </w:r>
      <w:r>
        <w:rPr>
          <w:spacing w:val="10"/>
          <w:sz w:val="17"/>
        </w:rPr>
        <w:t> </w:t>
      </w:r>
      <w:r>
        <w:rPr>
          <w:sz w:val="17"/>
        </w:rPr>
        <w:t>superficie</w:t>
      </w:r>
      <w:r>
        <w:rPr>
          <w:spacing w:val="10"/>
          <w:sz w:val="17"/>
        </w:rPr>
        <w:t> </w:t>
      </w:r>
      <w:r>
        <w:rPr>
          <w:sz w:val="17"/>
        </w:rPr>
        <w:t>del</w:t>
      </w:r>
      <w:r>
        <w:rPr>
          <w:spacing w:val="10"/>
          <w:sz w:val="17"/>
        </w:rPr>
        <w:t> </w:t>
      </w:r>
      <w:r>
        <w:rPr>
          <w:sz w:val="17"/>
        </w:rPr>
        <w:t>micelio</w:t>
      </w:r>
      <w:r>
        <w:rPr>
          <w:spacing w:val="11"/>
          <w:sz w:val="17"/>
        </w:rPr>
        <w:t> </w:t>
      </w:r>
      <w:r>
        <w:rPr>
          <w:sz w:val="17"/>
        </w:rPr>
        <w:t>por</w:t>
      </w:r>
      <w:r>
        <w:rPr>
          <w:spacing w:val="10"/>
          <w:sz w:val="17"/>
        </w:rPr>
        <w:t> </w:t>
      </w:r>
      <w:r>
        <w:rPr>
          <w:sz w:val="17"/>
        </w:rPr>
        <w:t>adición</w:t>
      </w:r>
      <w:r>
        <w:rPr>
          <w:spacing w:val="11"/>
          <w:sz w:val="17"/>
        </w:rPr>
        <w:t> </w:t>
      </w:r>
      <w:r>
        <w:rPr>
          <w:sz w:val="17"/>
        </w:rPr>
        <w:t>de</w:t>
      </w:r>
      <w:r>
        <w:rPr>
          <w:spacing w:val="11"/>
          <w:sz w:val="17"/>
        </w:rPr>
        <w:t> </w:t>
      </w:r>
      <w:r>
        <w:rPr>
          <w:sz w:val="17"/>
        </w:rPr>
        <w:t>10</w:t>
      </w:r>
      <w:r>
        <w:rPr>
          <w:spacing w:val="11"/>
          <w:sz w:val="17"/>
        </w:rPr>
        <w:t> </w:t>
      </w:r>
      <w:r>
        <w:rPr>
          <w:sz w:val="17"/>
        </w:rPr>
        <w:t>ml</w:t>
      </w:r>
      <w:r>
        <w:rPr>
          <w:spacing w:val="10"/>
          <w:sz w:val="17"/>
        </w:rPr>
        <w:t> </w:t>
      </w:r>
      <w:r>
        <w:rPr>
          <w:sz w:val="17"/>
        </w:rPr>
        <w:t>de</w:t>
      </w:r>
      <w:r>
        <w:rPr>
          <w:spacing w:val="10"/>
          <w:sz w:val="17"/>
        </w:rPr>
        <w:t> </w:t>
      </w:r>
      <w:r>
        <w:rPr>
          <w:sz w:val="17"/>
        </w:rPr>
        <w:t>agua</w:t>
      </w:r>
      <w:r>
        <w:rPr>
          <w:spacing w:val="10"/>
          <w:sz w:val="17"/>
        </w:rPr>
        <w:t> </w:t>
      </w:r>
      <w:r>
        <w:rPr>
          <w:sz w:val="17"/>
        </w:rPr>
        <w:t>estéril</w:t>
      </w:r>
      <w:r>
        <w:rPr>
          <w:spacing w:val="10"/>
          <w:sz w:val="17"/>
        </w:rPr>
        <w:t> </w:t>
      </w:r>
      <w:r>
        <w:rPr>
          <w:sz w:val="17"/>
        </w:rPr>
        <w:t>a</w:t>
      </w:r>
      <w:r>
        <w:rPr>
          <w:spacing w:val="11"/>
          <w:sz w:val="17"/>
        </w:rPr>
        <w:t> </w:t>
      </w:r>
      <w:r>
        <w:rPr>
          <w:sz w:val="17"/>
        </w:rPr>
        <w:t>cada</w:t>
      </w:r>
    </w:p>
    <w:p>
      <w:pPr>
        <w:pStyle w:val="BodyText"/>
        <w:spacing w:before="6"/>
        <w:rPr>
          <w:rFonts w:ascii="Times New Roman"/>
          <w:sz w:val="10"/>
        </w:rPr>
      </w:pPr>
    </w:p>
    <w:p>
      <w:pPr>
        <w:pStyle w:val="ListParagraph"/>
        <w:numPr>
          <w:ilvl w:val="0"/>
          <w:numId w:val="21"/>
        </w:numPr>
        <w:tabs>
          <w:tab w:pos="1453" w:val="left" w:leader="none"/>
          <w:tab w:pos="1454" w:val="left" w:leader="none"/>
        </w:tabs>
        <w:spacing w:line="240" w:lineRule="auto" w:before="79" w:after="0"/>
        <w:ind w:left="1453" w:right="0" w:hanging="451"/>
        <w:jc w:val="left"/>
        <w:rPr>
          <w:sz w:val="17"/>
        </w:rPr>
      </w:pPr>
      <w:r>
        <w:rPr>
          <w:sz w:val="17"/>
        </w:rPr>
        <w:t>caja</w:t>
      </w:r>
      <w:r>
        <w:rPr>
          <w:spacing w:val="11"/>
          <w:sz w:val="17"/>
        </w:rPr>
        <w:t> </w:t>
      </w:r>
      <w:r>
        <w:rPr>
          <w:sz w:val="17"/>
        </w:rPr>
        <w:t>Petri</w:t>
      </w:r>
      <w:r>
        <w:rPr>
          <w:spacing w:val="11"/>
          <w:sz w:val="17"/>
        </w:rPr>
        <w:t> </w:t>
      </w:r>
      <w:r>
        <w:rPr>
          <w:sz w:val="17"/>
        </w:rPr>
        <w:t>con</w:t>
      </w:r>
      <w:r>
        <w:rPr>
          <w:spacing w:val="11"/>
          <w:sz w:val="17"/>
        </w:rPr>
        <w:t> </w:t>
      </w:r>
      <w:r>
        <w:rPr>
          <w:sz w:val="17"/>
        </w:rPr>
        <w:t>el</w:t>
      </w:r>
      <w:r>
        <w:rPr>
          <w:spacing w:val="11"/>
          <w:sz w:val="17"/>
        </w:rPr>
        <w:t> </w:t>
      </w:r>
      <w:r>
        <w:rPr>
          <w:sz w:val="17"/>
        </w:rPr>
        <w:t>aislamiento</w:t>
      </w:r>
      <w:r>
        <w:rPr>
          <w:spacing w:val="11"/>
          <w:sz w:val="17"/>
        </w:rPr>
        <w:t> </w:t>
      </w:r>
      <w:r>
        <w:rPr>
          <w:sz w:val="17"/>
        </w:rPr>
        <w:t>homotálico</w:t>
      </w:r>
      <w:r>
        <w:rPr>
          <w:spacing w:val="12"/>
          <w:sz w:val="17"/>
        </w:rPr>
        <w:t> </w:t>
      </w:r>
      <w:r>
        <w:rPr>
          <w:sz w:val="17"/>
        </w:rPr>
        <w:t>de</w:t>
      </w:r>
      <w:r>
        <w:rPr>
          <w:spacing w:val="11"/>
          <w:sz w:val="17"/>
        </w:rPr>
        <w:t> </w:t>
      </w:r>
      <w:r>
        <w:rPr>
          <w:sz w:val="17"/>
        </w:rPr>
        <w:t>10</w:t>
      </w:r>
      <w:r>
        <w:rPr>
          <w:spacing w:val="11"/>
          <w:sz w:val="17"/>
        </w:rPr>
        <w:t> </w:t>
      </w:r>
      <w:r>
        <w:rPr>
          <w:sz w:val="17"/>
        </w:rPr>
        <w:t>días</w:t>
      </w:r>
      <w:r>
        <w:rPr>
          <w:spacing w:val="11"/>
          <w:sz w:val="17"/>
        </w:rPr>
        <w:t> </w:t>
      </w:r>
      <w:r>
        <w:rPr>
          <w:sz w:val="17"/>
        </w:rPr>
        <w:t>de</w:t>
      </w:r>
      <w:r>
        <w:rPr>
          <w:spacing w:val="11"/>
          <w:sz w:val="17"/>
        </w:rPr>
        <w:t> </w:t>
      </w:r>
      <w:r>
        <w:rPr>
          <w:sz w:val="17"/>
        </w:rPr>
        <w:t>edad</w:t>
      </w:r>
      <w:r>
        <w:rPr>
          <w:spacing w:val="11"/>
          <w:sz w:val="17"/>
        </w:rPr>
        <w:t> </w:t>
      </w:r>
      <w:r>
        <w:rPr>
          <w:sz w:val="17"/>
        </w:rPr>
        <w:t>de</w:t>
      </w:r>
      <w:r>
        <w:rPr>
          <w:spacing w:val="11"/>
          <w:sz w:val="17"/>
        </w:rPr>
        <w:t> </w:t>
      </w:r>
      <w:r>
        <w:rPr>
          <w:sz w:val="17"/>
        </w:rPr>
        <w:t>P.</w:t>
      </w:r>
      <w:r>
        <w:rPr>
          <w:spacing w:val="11"/>
          <w:sz w:val="17"/>
        </w:rPr>
        <w:t> </w:t>
      </w:r>
      <w:r>
        <w:rPr>
          <w:sz w:val="17"/>
        </w:rPr>
        <w:t>infestan</w:t>
      </w:r>
      <w:r>
        <w:rPr>
          <w:spacing w:val="11"/>
          <w:sz w:val="17"/>
        </w:rPr>
        <w:t> </w:t>
      </w:r>
      <w:r>
        <w:rPr>
          <w:sz w:val="17"/>
        </w:rPr>
        <w:t>crecido</w:t>
      </w:r>
      <w:r>
        <w:rPr>
          <w:spacing w:val="11"/>
          <w:sz w:val="17"/>
        </w:rPr>
        <w:t> </w:t>
      </w:r>
      <w:r>
        <w:rPr>
          <w:sz w:val="17"/>
        </w:rPr>
        <w:t>en</w:t>
      </w:r>
      <w:r>
        <w:rPr>
          <w:spacing w:val="11"/>
          <w:sz w:val="17"/>
        </w:rPr>
        <w:t> </w:t>
      </w:r>
      <w:r>
        <w:rPr>
          <w:sz w:val="17"/>
        </w:rPr>
        <w:t>medio</w:t>
      </w:r>
    </w:p>
    <w:p>
      <w:pPr>
        <w:pStyle w:val="BodyText"/>
        <w:spacing w:before="6"/>
        <w:rPr>
          <w:rFonts w:ascii="Times New Roman"/>
          <w:sz w:val="10"/>
        </w:rPr>
      </w:pPr>
    </w:p>
    <w:p>
      <w:pPr>
        <w:pStyle w:val="ListParagraph"/>
        <w:numPr>
          <w:ilvl w:val="0"/>
          <w:numId w:val="21"/>
        </w:numPr>
        <w:tabs>
          <w:tab w:pos="1453" w:val="left" w:leader="none"/>
          <w:tab w:pos="1454" w:val="left" w:leader="none"/>
        </w:tabs>
        <w:spacing w:line="240" w:lineRule="auto" w:before="79" w:after="0"/>
        <w:ind w:left="1453" w:right="0" w:hanging="451"/>
        <w:jc w:val="left"/>
        <w:rPr>
          <w:sz w:val="17"/>
        </w:rPr>
      </w:pPr>
      <w:r>
        <w:rPr>
          <w:sz w:val="17"/>
        </w:rPr>
        <w:t>de</w:t>
      </w:r>
      <w:r>
        <w:rPr>
          <w:spacing w:val="23"/>
          <w:sz w:val="17"/>
        </w:rPr>
        <w:t> </w:t>
      </w:r>
      <w:r>
        <w:rPr>
          <w:sz w:val="17"/>
        </w:rPr>
        <w:t>cultivo</w:t>
      </w:r>
      <w:r>
        <w:rPr>
          <w:spacing w:val="23"/>
          <w:sz w:val="17"/>
        </w:rPr>
        <w:t> </w:t>
      </w:r>
      <w:r>
        <w:rPr>
          <w:sz w:val="17"/>
        </w:rPr>
        <w:t>agar-jugo</w:t>
      </w:r>
      <w:r>
        <w:rPr>
          <w:spacing w:val="23"/>
          <w:sz w:val="17"/>
        </w:rPr>
        <w:t> </w:t>
      </w:r>
      <w:r>
        <w:rPr>
          <w:sz w:val="17"/>
        </w:rPr>
        <w:t>v8</w:t>
      </w:r>
      <w:r>
        <w:rPr>
          <w:spacing w:val="23"/>
          <w:sz w:val="17"/>
        </w:rPr>
        <w:t> </w:t>
      </w:r>
      <w:r>
        <w:rPr>
          <w:sz w:val="17"/>
        </w:rPr>
        <w:t>con</w:t>
      </w:r>
      <w:r>
        <w:rPr>
          <w:spacing w:val="23"/>
          <w:sz w:val="17"/>
        </w:rPr>
        <w:t> </w:t>
      </w:r>
      <w:r>
        <w:rPr>
          <w:sz w:val="17"/>
        </w:rPr>
        <w:t>centeno.</w:t>
      </w:r>
      <w:r>
        <w:rPr>
          <w:spacing w:val="23"/>
          <w:sz w:val="17"/>
        </w:rPr>
        <w:t> </w:t>
      </w:r>
      <w:r>
        <w:rPr>
          <w:sz w:val="17"/>
        </w:rPr>
        <w:t>Las</w:t>
      </w:r>
      <w:r>
        <w:rPr>
          <w:spacing w:val="23"/>
          <w:sz w:val="17"/>
        </w:rPr>
        <w:t> </w:t>
      </w:r>
      <w:r>
        <w:rPr>
          <w:sz w:val="17"/>
        </w:rPr>
        <w:t>zoosporas</w:t>
      </w:r>
      <w:r>
        <w:rPr>
          <w:spacing w:val="23"/>
          <w:sz w:val="17"/>
        </w:rPr>
        <w:t> </w:t>
      </w:r>
      <w:r>
        <w:rPr>
          <w:sz w:val="17"/>
        </w:rPr>
        <w:t>fueron</w:t>
      </w:r>
      <w:r>
        <w:rPr>
          <w:spacing w:val="23"/>
          <w:sz w:val="17"/>
        </w:rPr>
        <w:t> </w:t>
      </w:r>
      <w:r>
        <w:rPr>
          <w:sz w:val="17"/>
        </w:rPr>
        <w:t>obtenidas</w:t>
      </w:r>
      <w:r>
        <w:rPr>
          <w:spacing w:val="23"/>
          <w:sz w:val="17"/>
        </w:rPr>
        <w:t> </w:t>
      </w:r>
      <w:r>
        <w:rPr>
          <w:sz w:val="17"/>
        </w:rPr>
        <w:t>por</w:t>
      </w:r>
      <w:r>
        <w:rPr>
          <w:spacing w:val="23"/>
          <w:sz w:val="17"/>
        </w:rPr>
        <w:t> </w:t>
      </w:r>
      <w:r>
        <w:rPr>
          <w:sz w:val="17"/>
        </w:rPr>
        <w:t>exposición</w:t>
      </w:r>
      <w:r>
        <w:rPr>
          <w:spacing w:val="23"/>
          <w:sz w:val="17"/>
        </w:rPr>
        <w:t> </w:t>
      </w:r>
      <w:r>
        <w:rPr>
          <w:sz w:val="17"/>
        </w:rPr>
        <w:t>de</w:t>
      </w:r>
      <w:r>
        <w:rPr>
          <w:spacing w:val="23"/>
          <w:sz w:val="17"/>
        </w:rPr>
        <w:t> </w:t>
      </w:r>
      <w:r>
        <w:rPr>
          <w:sz w:val="17"/>
        </w:rPr>
        <w:t>la</w:t>
      </w:r>
    </w:p>
    <w:p>
      <w:pPr>
        <w:pStyle w:val="BodyText"/>
        <w:spacing w:before="6"/>
        <w:rPr>
          <w:rFonts w:ascii="Times New Roman"/>
          <w:sz w:val="10"/>
        </w:rPr>
      </w:pPr>
    </w:p>
    <w:p>
      <w:pPr>
        <w:pStyle w:val="ListParagraph"/>
        <w:numPr>
          <w:ilvl w:val="0"/>
          <w:numId w:val="21"/>
        </w:numPr>
        <w:tabs>
          <w:tab w:pos="1453" w:val="left" w:leader="none"/>
          <w:tab w:pos="1454" w:val="left" w:leader="none"/>
        </w:tabs>
        <w:spacing w:line="240" w:lineRule="auto" w:before="79" w:after="0"/>
        <w:ind w:left="1453" w:right="0" w:hanging="451"/>
        <w:jc w:val="left"/>
        <w:rPr>
          <w:sz w:val="17"/>
        </w:rPr>
      </w:pPr>
      <w:r>
        <w:rPr>
          <w:sz w:val="17"/>
        </w:rPr>
        <w:t>suspensión</w:t>
      </w:r>
      <w:r>
        <w:rPr>
          <w:spacing w:val="20"/>
          <w:sz w:val="17"/>
        </w:rPr>
        <w:t> </w:t>
      </w:r>
      <w:r>
        <w:rPr>
          <w:sz w:val="17"/>
        </w:rPr>
        <w:t>de</w:t>
      </w:r>
      <w:r>
        <w:rPr>
          <w:spacing w:val="20"/>
          <w:sz w:val="17"/>
        </w:rPr>
        <w:t> </w:t>
      </w:r>
      <w:r>
        <w:rPr>
          <w:sz w:val="17"/>
        </w:rPr>
        <w:t>esporangios</w:t>
      </w:r>
      <w:r>
        <w:rPr>
          <w:spacing w:val="20"/>
          <w:sz w:val="17"/>
        </w:rPr>
        <w:t> </w:t>
      </w:r>
      <w:r>
        <w:rPr>
          <w:sz w:val="17"/>
        </w:rPr>
        <w:t>a</w:t>
      </w:r>
      <w:r>
        <w:rPr>
          <w:spacing w:val="20"/>
          <w:sz w:val="17"/>
        </w:rPr>
        <w:t> </w:t>
      </w:r>
      <w:r>
        <w:rPr>
          <w:sz w:val="17"/>
        </w:rPr>
        <w:t>estrés</w:t>
      </w:r>
      <w:r>
        <w:rPr>
          <w:spacing w:val="20"/>
          <w:sz w:val="17"/>
        </w:rPr>
        <w:t> </w:t>
      </w:r>
      <w:r>
        <w:rPr>
          <w:sz w:val="17"/>
        </w:rPr>
        <w:t>térmico</w:t>
      </w:r>
      <w:r>
        <w:rPr>
          <w:spacing w:val="20"/>
          <w:sz w:val="17"/>
        </w:rPr>
        <w:t> </w:t>
      </w:r>
      <w:r>
        <w:rPr>
          <w:sz w:val="17"/>
        </w:rPr>
        <w:t>por</w:t>
      </w:r>
      <w:r>
        <w:rPr>
          <w:spacing w:val="20"/>
          <w:sz w:val="17"/>
        </w:rPr>
        <w:t> </w:t>
      </w:r>
      <w:r>
        <w:rPr>
          <w:sz w:val="17"/>
        </w:rPr>
        <w:t>dos</w:t>
      </w:r>
      <w:r>
        <w:rPr>
          <w:spacing w:val="20"/>
          <w:sz w:val="17"/>
        </w:rPr>
        <w:t> </w:t>
      </w:r>
      <w:r>
        <w:rPr>
          <w:sz w:val="17"/>
        </w:rPr>
        <w:t>horas</w:t>
      </w:r>
      <w:r>
        <w:rPr>
          <w:spacing w:val="20"/>
          <w:sz w:val="17"/>
        </w:rPr>
        <w:t> </w:t>
      </w:r>
      <w:r>
        <w:rPr>
          <w:sz w:val="17"/>
        </w:rPr>
        <w:t>a</w:t>
      </w:r>
      <w:r>
        <w:rPr>
          <w:spacing w:val="20"/>
          <w:sz w:val="17"/>
        </w:rPr>
        <w:t> </w:t>
      </w:r>
      <w:r>
        <w:rPr>
          <w:sz w:val="17"/>
        </w:rPr>
        <w:t>4ºC</w:t>
      </w:r>
      <w:r>
        <w:rPr>
          <w:spacing w:val="20"/>
          <w:sz w:val="17"/>
        </w:rPr>
        <w:t> </w:t>
      </w:r>
      <w:r>
        <w:rPr>
          <w:sz w:val="17"/>
        </w:rPr>
        <w:t>y</w:t>
      </w:r>
      <w:r>
        <w:rPr>
          <w:spacing w:val="20"/>
          <w:sz w:val="17"/>
        </w:rPr>
        <w:t> </w:t>
      </w:r>
      <w:r>
        <w:rPr>
          <w:sz w:val="17"/>
        </w:rPr>
        <w:t>posterior</w:t>
      </w:r>
      <w:r>
        <w:rPr>
          <w:spacing w:val="20"/>
          <w:sz w:val="17"/>
        </w:rPr>
        <w:t> </w:t>
      </w:r>
      <w:r>
        <w:rPr>
          <w:sz w:val="17"/>
        </w:rPr>
        <w:t>transferencia</w:t>
      </w:r>
      <w:r>
        <w:rPr>
          <w:spacing w:val="20"/>
          <w:sz w:val="17"/>
        </w:rPr>
        <w:t> </w:t>
      </w:r>
      <w:r>
        <w:rPr>
          <w:sz w:val="17"/>
        </w:rPr>
        <w:t>a</w:t>
      </w:r>
    </w:p>
    <w:p>
      <w:pPr>
        <w:pStyle w:val="BodyText"/>
        <w:spacing w:before="6"/>
        <w:rPr>
          <w:rFonts w:ascii="Times New Roman"/>
          <w:sz w:val="10"/>
        </w:rPr>
      </w:pPr>
    </w:p>
    <w:p>
      <w:pPr>
        <w:pStyle w:val="ListParagraph"/>
        <w:numPr>
          <w:ilvl w:val="0"/>
          <w:numId w:val="21"/>
        </w:numPr>
        <w:tabs>
          <w:tab w:pos="1453" w:val="left" w:leader="none"/>
          <w:tab w:pos="1454" w:val="left" w:leader="none"/>
        </w:tabs>
        <w:spacing w:line="240" w:lineRule="auto" w:before="79" w:after="0"/>
        <w:ind w:left="1453" w:right="0" w:hanging="451"/>
        <w:jc w:val="left"/>
        <w:rPr>
          <w:sz w:val="17"/>
        </w:rPr>
      </w:pPr>
      <w:r>
        <w:rPr>
          <w:sz w:val="17"/>
        </w:rPr>
        <w:t>temperatura  ambiente  por  30  minutos.  La  suspensión  de  esporas  se  homogenizo      </w:t>
      </w:r>
      <w:r>
        <w:rPr>
          <w:spacing w:val="19"/>
          <w:sz w:val="17"/>
        </w:rPr>
        <w:t> </w:t>
      </w:r>
      <w:r>
        <w:rPr>
          <w:sz w:val="17"/>
        </w:rPr>
        <w:t>por</w:t>
      </w:r>
    </w:p>
    <w:p>
      <w:pPr>
        <w:pStyle w:val="BodyText"/>
        <w:spacing w:before="6"/>
        <w:rPr>
          <w:rFonts w:ascii="Times New Roman"/>
          <w:sz w:val="10"/>
        </w:rPr>
      </w:pPr>
    </w:p>
    <w:p>
      <w:pPr>
        <w:pStyle w:val="ListParagraph"/>
        <w:numPr>
          <w:ilvl w:val="0"/>
          <w:numId w:val="21"/>
        </w:numPr>
        <w:tabs>
          <w:tab w:pos="1453" w:val="left" w:leader="none"/>
          <w:tab w:pos="1454" w:val="left" w:leader="none"/>
        </w:tabs>
        <w:spacing w:line="240" w:lineRule="auto" w:before="79" w:after="0"/>
        <w:ind w:left="1453" w:right="0" w:hanging="451"/>
        <w:jc w:val="left"/>
        <w:rPr>
          <w:sz w:val="17"/>
        </w:rPr>
      </w:pPr>
      <w:r>
        <w:rPr>
          <w:sz w:val="17"/>
        </w:rPr>
        <w:t>agitación  mecánica  durante  30  segundos.  Un  ml  de  la  concentración  homogénea       </w:t>
      </w:r>
      <w:r>
        <w:rPr>
          <w:spacing w:val="10"/>
          <w:sz w:val="17"/>
        </w:rPr>
        <w:t> </w:t>
      </w:r>
      <w:r>
        <w:rPr>
          <w:sz w:val="17"/>
        </w:rPr>
        <w:t>de</w:t>
      </w:r>
    </w:p>
    <w:p>
      <w:pPr>
        <w:pStyle w:val="BodyText"/>
        <w:spacing w:before="6"/>
        <w:rPr>
          <w:rFonts w:ascii="Times New Roman"/>
          <w:sz w:val="10"/>
        </w:rPr>
      </w:pPr>
    </w:p>
    <w:p>
      <w:pPr>
        <w:pStyle w:val="ListParagraph"/>
        <w:numPr>
          <w:ilvl w:val="0"/>
          <w:numId w:val="21"/>
        </w:numPr>
        <w:tabs>
          <w:tab w:pos="1453" w:val="left" w:leader="none"/>
          <w:tab w:pos="1454" w:val="left" w:leader="none"/>
        </w:tabs>
        <w:spacing w:line="240" w:lineRule="auto" w:before="79" w:after="0"/>
        <w:ind w:left="1453" w:right="0" w:hanging="451"/>
        <w:jc w:val="left"/>
        <w:rPr>
          <w:sz w:val="17"/>
        </w:rPr>
      </w:pPr>
      <w:r>
        <w:rPr>
          <w:sz w:val="17"/>
        </w:rPr>
        <w:t>zoosporas</w:t>
      </w:r>
      <w:r>
        <w:rPr>
          <w:spacing w:val="25"/>
          <w:sz w:val="17"/>
        </w:rPr>
        <w:t> </w:t>
      </w:r>
      <w:r>
        <w:rPr>
          <w:sz w:val="17"/>
        </w:rPr>
        <w:t>se</w:t>
      </w:r>
      <w:r>
        <w:rPr>
          <w:spacing w:val="25"/>
          <w:sz w:val="17"/>
        </w:rPr>
        <w:t> </w:t>
      </w:r>
      <w:r>
        <w:rPr>
          <w:sz w:val="17"/>
        </w:rPr>
        <w:t>depositó</w:t>
      </w:r>
      <w:r>
        <w:rPr>
          <w:spacing w:val="25"/>
          <w:sz w:val="17"/>
        </w:rPr>
        <w:t> </w:t>
      </w:r>
      <w:r>
        <w:rPr>
          <w:sz w:val="17"/>
        </w:rPr>
        <w:t>en</w:t>
      </w:r>
      <w:r>
        <w:rPr>
          <w:spacing w:val="25"/>
          <w:sz w:val="17"/>
        </w:rPr>
        <w:t> </w:t>
      </w:r>
      <w:r>
        <w:rPr>
          <w:sz w:val="17"/>
        </w:rPr>
        <w:t>cada</w:t>
      </w:r>
      <w:r>
        <w:rPr>
          <w:spacing w:val="25"/>
          <w:sz w:val="17"/>
        </w:rPr>
        <w:t> </w:t>
      </w:r>
      <w:r>
        <w:rPr>
          <w:sz w:val="17"/>
        </w:rPr>
        <w:t>caja</w:t>
      </w:r>
      <w:r>
        <w:rPr>
          <w:spacing w:val="25"/>
          <w:sz w:val="17"/>
        </w:rPr>
        <w:t> </w:t>
      </w:r>
      <w:r>
        <w:rPr>
          <w:sz w:val="17"/>
        </w:rPr>
        <w:t>Petri</w:t>
      </w:r>
      <w:r>
        <w:rPr>
          <w:spacing w:val="25"/>
          <w:sz w:val="17"/>
        </w:rPr>
        <w:t> </w:t>
      </w:r>
      <w:r>
        <w:rPr>
          <w:sz w:val="17"/>
        </w:rPr>
        <w:t>con</w:t>
      </w:r>
      <w:r>
        <w:rPr>
          <w:spacing w:val="25"/>
          <w:sz w:val="17"/>
        </w:rPr>
        <w:t> </w:t>
      </w:r>
      <w:r>
        <w:rPr>
          <w:sz w:val="17"/>
        </w:rPr>
        <w:t>medio</w:t>
      </w:r>
      <w:r>
        <w:rPr>
          <w:spacing w:val="25"/>
          <w:sz w:val="17"/>
        </w:rPr>
        <w:t> </w:t>
      </w:r>
      <w:r>
        <w:rPr>
          <w:sz w:val="17"/>
        </w:rPr>
        <w:t>de</w:t>
      </w:r>
      <w:r>
        <w:rPr>
          <w:spacing w:val="25"/>
          <w:sz w:val="17"/>
        </w:rPr>
        <w:t> </w:t>
      </w:r>
      <w:r>
        <w:rPr>
          <w:sz w:val="17"/>
        </w:rPr>
        <w:t>cultivo</w:t>
      </w:r>
      <w:r>
        <w:rPr>
          <w:spacing w:val="25"/>
          <w:sz w:val="17"/>
        </w:rPr>
        <w:t> </w:t>
      </w:r>
      <w:r>
        <w:rPr>
          <w:sz w:val="17"/>
        </w:rPr>
        <w:t>agar-jugo</w:t>
      </w:r>
      <w:r>
        <w:rPr>
          <w:spacing w:val="25"/>
          <w:sz w:val="17"/>
        </w:rPr>
        <w:t> </w:t>
      </w:r>
      <w:r>
        <w:rPr>
          <w:sz w:val="17"/>
        </w:rPr>
        <w:t>V8</w:t>
      </w:r>
      <w:r>
        <w:rPr>
          <w:spacing w:val="25"/>
          <w:sz w:val="17"/>
        </w:rPr>
        <w:t> </w:t>
      </w:r>
      <w:r>
        <w:rPr>
          <w:sz w:val="17"/>
        </w:rPr>
        <w:t>con</w:t>
      </w:r>
      <w:r>
        <w:rPr>
          <w:spacing w:val="25"/>
          <w:sz w:val="17"/>
        </w:rPr>
        <w:t> </w:t>
      </w:r>
      <w:r>
        <w:rPr>
          <w:sz w:val="17"/>
        </w:rPr>
        <w:t>centeno.</w:t>
      </w:r>
    </w:p>
    <w:p>
      <w:pPr>
        <w:pStyle w:val="BodyText"/>
        <w:spacing w:before="6"/>
        <w:rPr>
          <w:rFonts w:ascii="Times New Roman"/>
          <w:sz w:val="10"/>
        </w:rPr>
      </w:pPr>
    </w:p>
    <w:p>
      <w:pPr>
        <w:pStyle w:val="ListParagraph"/>
        <w:numPr>
          <w:ilvl w:val="0"/>
          <w:numId w:val="21"/>
        </w:numPr>
        <w:tabs>
          <w:tab w:pos="1453" w:val="left" w:leader="none"/>
          <w:tab w:pos="1454" w:val="left" w:leader="none"/>
        </w:tabs>
        <w:spacing w:line="240" w:lineRule="auto" w:before="79" w:after="0"/>
        <w:ind w:left="1453" w:right="0" w:hanging="451"/>
        <w:jc w:val="left"/>
        <w:rPr>
          <w:sz w:val="17"/>
        </w:rPr>
      </w:pPr>
      <w:r>
        <w:rPr>
          <w:sz w:val="17"/>
        </w:rPr>
        <w:t>Las</w:t>
      </w:r>
      <w:r>
        <w:rPr>
          <w:spacing w:val="14"/>
          <w:sz w:val="17"/>
        </w:rPr>
        <w:t> </w:t>
      </w:r>
      <w:r>
        <w:rPr>
          <w:sz w:val="17"/>
        </w:rPr>
        <w:t>cajas</w:t>
      </w:r>
      <w:r>
        <w:rPr>
          <w:spacing w:val="14"/>
          <w:sz w:val="17"/>
        </w:rPr>
        <w:t> </w:t>
      </w:r>
      <w:r>
        <w:rPr>
          <w:sz w:val="17"/>
        </w:rPr>
        <w:t>Petri</w:t>
      </w:r>
      <w:r>
        <w:rPr>
          <w:spacing w:val="14"/>
          <w:sz w:val="17"/>
        </w:rPr>
        <w:t> </w:t>
      </w:r>
      <w:r>
        <w:rPr>
          <w:sz w:val="17"/>
        </w:rPr>
        <w:t>fueron</w:t>
      </w:r>
      <w:r>
        <w:rPr>
          <w:spacing w:val="14"/>
          <w:sz w:val="17"/>
        </w:rPr>
        <w:t> </w:t>
      </w:r>
      <w:r>
        <w:rPr>
          <w:sz w:val="17"/>
        </w:rPr>
        <w:t>incubadas</w:t>
      </w:r>
      <w:r>
        <w:rPr>
          <w:spacing w:val="14"/>
          <w:sz w:val="17"/>
        </w:rPr>
        <w:t> </w:t>
      </w:r>
      <w:r>
        <w:rPr>
          <w:sz w:val="17"/>
        </w:rPr>
        <w:t>durante</w:t>
      </w:r>
      <w:r>
        <w:rPr>
          <w:spacing w:val="14"/>
          <w:sz w:val="17"/>
        </w:rPr>
        <w:t> </w:t>
      </w:r>
      <w:r>
        <w:rPr>
          <w:sz w:val="17"/>
        </w:rPr>
        <w:t>30</w:t>
      </w:r>
      <w:r>
        <w:rPr>
          <w:spacing w:val="14"/>
          <w:sz w:val="17"/>
        </w:rPr>
        <w:t> </w:t>
      </w:r>
      <w:r>
        <w:rPr>
          <w:sz w:val="17"/>
        </w:rPr>
        <w:t>horas</w:t>
      </w:r>
      <w:r>
        <w:rPr>
          <w:spacing w:val="14"/>
          <w:sz w:val="17"/>
        </w:rPr>
        <w:t> </w:t>
      </w:r>
      <w:r>
        <w:rPr>
          <w:sz w:val="17"/>
        </w:rPr>
        <w:t>a</w:t>
      </w:r>
      <w:r>
        <w:rPr>
          <w:spacing w:val="14"/>
          <w:sz w:val="17"/>
        </w:rPr>
        <w:t> </w:t>
      </w:r>
      <w:r>
        <w:rPr>
          <w:sz w:val="17"/>
        </w:rPr>
        <w:t>17ºC</w:t>
      </w:r>
      <w:r>
        <w:rPr>
          <w:spacing w:val="14"/>
          <w:sz w:val="17"/>
        </w:rPr>
        <w:t> </w:t>
      </w:r>
      <w:r>
        <w:rPr>
          <w:sz w:val="17"/>
        </w:rPr>
        <w:t>hasta</w:t>
      </w:r>
      <w:r>
        <w:rPr>
          <w:spacing w:val="14"/>
          <w:sz w:val="17"/>
        </w:rPr>
        <w:t> </w:t>
      </w:r>
      <w:r>
        <w:rPr>
          <w:sz w:val="17"/>
        </w:rPr>
        <w:t>desarrollo</w:t>
      </w:r>
      <w:r>
        <w:rPr>
          <w:spacing w:val="14"/>
          <w:sz w:val="17"/>
        </w:rPr>
        <w:t> </w:t>
      </w:r>
      <w:r>
        <w:rPr>
          <w:sz w:val="17"/>
        </w:rPr>
        <w:t>de</w:t>
      </w:r>
      <w:r>
        <w:rPr>
          <w:spacing w:val="14"/>
          <w:sz w:val="17"/>
        </w:rPr>
        <w:t> </w:t>
      </w:r>
      <w:r>
        <w:rPr>
          <w:sz w:val="17"/>
        </w:rPr>
        <w:t>las</w:t>
      </w:r>
      <w:r>
        <w:rPr>
          <w:spacing w:val="14"/>
          <w:sz w:val="17"/>
        </w:rPr>
        <w:t> </w:t>
      </w:r>
      <w:r>
        <w:rPr>
          <w:sz w:val="17"/>
        </w:rPr>
        <w:t>zoosporas,</w:t>
      </w:r>
    </w:p>
    <w:p>
      <w:pPr>
        <w:pStyle w:val="BodyText"/>
        <w:spacing w:before="6"/>
        <w:rPr>
          <w:rFonts w:ascii="Times New Roman"/>
          <w:sz w:val="10"/>
        </w:rPr>
      </w:pPr>
    </w:p>
    <w:p>
      <w:pPr>
        <w:pStyle w:val="ListParagraph"/>
        <w:numPr>
          <w:ilvl w:val="0"/>
          <w:numId w:val="21"/>
        </w:numPr>
        <w:tabs>
          <w:tab w:pos="1453" w:val="left" w:leader="none"/>
          <w:tab w:pos="1454" w:val="left" w:leader="none"/>
        </w:tabs>
        <w:spacing w:line="240" w:lineRule="auto" w:before="79" w:after="0"/>
        <w:ind w:left="1453" w:right="0" w:hanging="451"/>
        <w:jc w:val="left"/>
        <w:rPr>
          <w:sz w:val="17"/>
        </w:rPr>
      </w:pPr>
      <w:r>
        <w:rPr>
          <w:sz w:val="17"/>
        </w:rPr>
        <w:t>las</w:t>
      </w:r>
      <w:r>
        <w:rPr>
          <w:spacing w:val="16"/>
          <w:sz w:val="17"/>
        </w:rPr>
        <w:t> </w:t>
      </w:r>
      <w:r>
        <w:rPr>
          <w:sz w:val="17"/>
        </w:rPr>
        <w:t>cuales</w:t>
      </w:r>
      <w:r>
        <w:rPr>
          <w:spacing w:val="16"/>
          <w:sz w:val="17"/>
        </w:rPr>
        <w:t> </w:t>
      </w:r>
      <w:r>
        <w:rPr>
          <w:sz w:val="17"/>
        </w:rPr>
        <w:t>fueron</w:t>
      </w:r>
      <w:r>
        <w:rPr>
          <w:spacing w:val="16"/>
          <w:sz w:val="17"/>
        </w:rPr>
        <w:t> </w:t>
      </w:r>
      <w:r>
        <w:rPr>
          <w:sz w:val="17"/>
        </w:rPr>
        <w:t>transferidas</w:t>
      </w:r>
      <w:r>
        <w:rPr>
          <w:spacing w:val="16"/>
          <w:sz w:val="17"/>
        </w:rPr>
        <w:t> </w:t>
      </w:r>
      <w:r>
        <w:rPr>
          <w:sz w:val="17"/>
        </w:rPr>
        <w:t>individualmente</w:t>
      </w:r>
      <w:r>
        <w:rPr>
          <w:spacing w:val="16"/>
          <w:sz w:val="17"/>
        </w:rPr>
        <w:t> </w:t>
      </w:r>
      <w:r>
        <w:rPr>
          <w:sz w:val="17"/>
        </w:rPr>
        <w:t>a</w:t>
      </w:r>
      <w:r>
        <w:rPr>
          <w:spacing w:val="16"/>
          <w:sz w:val="17"/>
        </w:rPr>
        <w:t> </w:t>
      </w:r>
      <w:r>
        <w:rPr>
          <w:sz w:val="17"/>
        </w:rPr>
        <w:t>medio</w:t>
      </w:r>
      <w:r>
        <w:rPr>
          <w:spacing w:val="16"/>
          <w:sz w:val="17"/>
        </w:rPr>
        <w:t> </w:t>
      </w:r>
      <w:r>
        <w:rPr>
          <w:sz w:val="17"/>
        </w:rPr>
        <w:t>de</w:t>
      </w:r>
      <w:r>
        <w:rPr>
          <w:spacing w:val="16"/>
          <w:sz w:val="17"/>
        </w:rPr>
        <w:t> </w:t>
      </w:r>
      <w:r>
        <w:rPr>
          <w:sz w:val="17"/>
        </w:rPr>
        <w:t>cultivo</w:t>
      </w:r>
      <w:r>
        <w:rPr>
          <w:spacing w:val="16"/>
          <w:sz w:val="17"/>
        </w:rPr>
        <w:t> </w:t>
      </w:r>
      <w:r>
        <w:rPr>
          <w:sz w:val="17"/>
        </w:rPr>
        <w:t>agar-jugo</w:t>
      </w:r>
      <w:r>
        <w:rPr>
          <w:spacing w:val="16"/>
          <w:sz w:val="17"/>
        </w:rPr>
        <w:t> </w:t>
      </w:r>
      <w:r>
        <w:rPr>
          <w:sz w:val="17"/>
        </w:rPr>
        <w:t>v8</w:t>
      </w:r>
      <w:r>
        <w:rPr>
          <w:spacing w:val="16"/>
          <w:sz w:val="17"/>
        </w:rPr>
        <w:t> </w:t>
      </w:r>
      <w:r>
        <w:rPr>
          <w:sz w:val="17"/>
        </w:rPr>
        <w:t>con</w:t>
      </w:r>
      <w:r>
        <w:rPr>
          <w:spacing w:val="16"/>
          <w:sz w:val="17"/>
        </w:rPr>
        <w:t> </w:t>
      </w:r>
      <w:r>
        <w:rPr>
          <w:sz w:val="17"/>
        </w:rPr>
        <w:t>centeno</w:t>
      </w:r>
    </w:p>
    <w:p>
      <w:pPr>
        <w:pStyle w:val="BodyText"/>
        <w:spacing w:before="6"/>
        <w:rPr>
          <w:rFonts w:ascii="Times New Roman"/>
          <w:sz w:val="10"/>
        </w:rPr>
      </w:pPr>
    </w:p>
    <w:p>
      <w:pPr>
        <w:pStyle w:val="ListParagraph"/>
        <w:numPr>
          <w:ilvl w:val="0"/>
          <w:numId w:val="21"/>
        </w:numPr>
        <w:tabs>
          <w:tab w:pos="1453" w:val="left" w:leader="none"/>
          <w:tab w:pos="1454" w:val="left" w:leader="none"/>
        </w:tabs>
        <w:spacing w:line="240" w:lineRule="auto" w:before="79" w:after="0"/>
        <w:ind w:left="1453" w:right="0" w:hanging="451"/>
        <w:jc w:val="left"/>
        <w:rPr>
          <w:sz w:val="17"/>
        </w:rPr>
      </w:pPr>
      <w:r>
        <w:rPr>
          <w:sz w:val="17"/>
        </w:rPr>
        <w:t>para su</w:t>
      </w:r>
      <w:r>
        <w:rPr>
          <w:spacing w:val="28"/>
          <w:sz w:val="17"/>
        </w:rPr>
        <w:t> </w:t>
      </w:r>
      <w:r>
        <w:rPr>
          <w:sz w:val="17"/>
        </w:rPr>
        <w:t>germinación.</w:t>
      </w:r>
    </w:p>
    <w:p>
      <w:pPr>
        <w:pStyle w:val="BodyText"/>
        <w:spacing w:before="4"/>
        <w:rPr>
          <w:rFonts w:ascii="Times New Roman"/>
          <w:sz w:val="17"/>
        </w:rPr>
      </w:pPr>
    </w:p>
    <w:p>
      <w:pPr>
        <w:spacing w:before="1"/>
        <w:ind w:left="1002" w:right="0" w:firstLine="0"/>
        <w:jc w:val="left"/>
        <w:rPr>
          <w:rFonts w:ascii="Cambria"/>
          <w:sz w:val="17"/>
        </w:rPr>
      </w:pPr>
      <w:r>
        <w:rPr>
          <w:rFonts w:ascii="Cambria"/>
          <w:sz w:val="17"/>
        </w:rPr>
        <w:t>92</w:t>
      </w:r>
    </w:p>
    <w:p>
      <w:pPr>
        <w:pStyle w:val="BodyText"/>
        <w:spacing w:before="3"/>
        <w:rPr>
          <w:rFonts w:ascii="Cambria"/>
          <w:sz w:val="10"/>
        </w:rPr>
      </w:pPr>
    </w:p>
    <w:p>
      <w:pPr>
        <w:pStyle w:val="ListParagraph"/>
        <w:numPr>
          <w:ilvl w:val="0"/>
          <w:numId w:val="22"/>
        </w:numPr>
        <w:tabs>
          <w:tab w:pos="1453" w:val="left" w:leader="none"/>
          <w:tab w:pos="1454" w:val="left" w:leader="none"/>
        </w:tabs>
        <w:spacing w:line="240" w:lineRule="auto" w:before="80" w:after="0"/>
        <w:ind w:left="1453" w:right="0" w:hanging="451"/>
        <w:jc w:val="left"/>
        <w:rPr>
          <w:b/>
          <w:sz w:val="17"/>
        </w:rPr>
      </w:pPr>
      <w:r>
        <w:rPr>
          <w:b/>
          <w:sz w:val="17"/>
        </w:rPr>
        <w:t>Determinación de tipo de apareamiento de la </w:t>
      </w:r>
      <w:r>
        <w:rPr>
          <w:b/>
          <w:spacing w:val="35"/>
          <w:sz w:val="17"/>
        </w:rPr>
        <w:t> </w:t>
      </w:r>
      <w:r>
        <w:rPr>
          <w:b/>
          <w:sz w:val="17"/>
        </w:rPr>
        <w:t>progenie</w:t>
      </w:r>
    </w:p>
    <w:p>
      <w:pPr>
        <w:pStyle w:val="BodyText"/>
        <w:spacing w:before="6"/>
        <w:rPr>
          <w:rFonts w:ascii="Times New Roman"/>
          <w:b/>
          <w:sz w:val="10"/>
        </w:rPr>
      </w:pPr>
    </w:p>
    <w:p>
      <w:pPr>
        <w:pStyle w:val="ListParagraph"/>
        <w:numPr>
          <w:ilvl w:val="0"/>
          <w:numId w:val="22"/>
        </w:numPr>
        <w:tabs>
          <w:tab w:pos="1453" w:val="left" w:leader="none"/>
          <w:tab w:pos="1454" w:val="left" w:leader="none"/>
        </w:tabs>
        <w:spacing w:line="240" w:lineRule="auto" w:before="79" w:after="0"/>
        <w:ind w:left="1453" w:right="0" w:hanging="451"/>
        <w:jc w:val="left"/>
        <w:rPr>
          <w:sz w:val="17"/>
        </w:rPr>
      </w:pPr>
      <w:r>
        <w:rPr>
          <w:sz w:val="17"/>
        </w:rPr>
        <w:t>Se</w:t>
      </w:r>
      <w:r>
        <w:rPr>
          <w:spacing w:val="14"/>
          <w:sz w:val="17"/>
        </w:rPr>
        <w:t> </w:t>
      </w:r>
      <w:r>
        <w:rPr>
          <w:sz w:val="17"/>
        </w:rPr>
        <w:t>determinó</w:t>
      </w:r>
      <w:r>
        <w:rPr>
          <w:spacing w:val="14"/>
          <w:sz w:val="17"/>
        </w:rPr>
        <w:t> </w:t>
      </w:r>
      <w:r>
        <w:rPr>
          <w:sz w:val="17"/>
        </w:rPr>
        <w:t>el</w:t>
      </w:r>
      <w:r>
        <w:rPr>
          <w:spacing w:val="14"/>
          <w:sz w:val="17"/>
        </w:rPr>
        <w:t> </w:t>
      </w:r>
      <w:r>
        <w:rPr>
          <w:sz w:val="17"/>
        </w:rPr>
        <w:t>tipo</w:t>
      </w:r>
      <w:r>
        <w:rPr>
          <w:spacing w:val="14"/>
          <w:sz w:val="17"/>
        </w:rPr>
        <w:t> </w:t>
      </w:r>
      <w:r>
        <w:rPr>
          <w:sz w:val="17"/>
        </w:rPr>
        <w:t>de</w:t>
      </w:r>
      <w:r>
        <w:rPr>
          <w:spacing w:val="14"/>
          <w:sz w:val="17"/>
        </w:rPr>
        <w:t> </w:t>
      </w:r>
      <w:r>
        <w:rPr>
          <w:sz w:val="17"/>
        </w:rPr>
        <w:t>apareamiento</w:t>
      </w:r>
      <w:r>
        <w:rPr>
          <w:spacing w:val="14"/>
          <w:sz w:val="17"/>
        </w:rPr>
        <w:t> </w:t>
      </w:r>
      <w:r>
        <w:rPr>
          <w:sz w:val="17"/>
        </w:rPr>
        <w:t>de</w:t>
      </w:r>
      <w:r>
        <w:rPr>
          <w:spacing w:val="14"/>
          <w:sz w:val="17"/>
        </w:rPr>
        <w:t> </w:t>
      </w:r>
      <w:r>
        <w:rPr>
          <w:sz w:val="17"/>
        </w:rPr>
        <w:t>la</w:t>
      </w:r>
      <w:r>
        <w:rPr>
          <w:spacing w:val="14"/>
          <w:sz w:val="17"/>
        </w:rPr>
        <w:t> </w:t>
      </w:r>
      <w:r>
        <w:rPr>
          <w:sz w:val="17"/>
        </w:rPr>
        <w:t>progenie</w:t>
      </w:r>
      <w:r>
        <w:rPr>
          <w:spacing w:val="14"/>
          <w:sz w:val="17"/>
        </w:rPr>
        <w:t> </w:t>
      </w:r>
      <w:r>
        <w:rPr>
          <w:sz w:val="17"/>
        </w:rPr>
        <w:t>monospórica</w:t>
      </w:r>
      <w:r>
        <w:rPr>
          <w:spacing w:val="14"/>
          <w:sz w:val="17"/>
        </w:rPr>
        <w:t> </w:t>
      </w:r>
      <w:r>
        <w:rPr>
          <w:sz w:val="17"/>
        </w:rPr>
        <w:t>siguiendo</w:t>
      </w:r>
      <w:r>
        <w:rPr>
          <w:spacing w:val="14"/>
          <w:sz w:val="17"/>
        </w:rPr>
        <w:t> </w:t>
      </w:r>
      <w:r>
        <w:rPr>
          <w:sz w:val="17"/>
        </w:rPr>
        <w:t>la</w:t>
      </w:r>
      <w:r>
        <w:rPr>
          <w:spacing w:val="14"/>
          <w:sz w:val="17"/>
        </w:rPr>
        <w:t> </w:t>
      </w:r>
      <w:r>
        <w:rPr>
          <w:sz w:val="17"/>
        </w:rPr>
        <w:t>metodología</w:t>
      </w:r>
    </w:p>
    <w:p>
      <w:pPr>
        <w:pStyle w:val="BodyText"/>
        <w:spacing w:before="6"/>
        <w:rPr>
          <w:rFonts w:ascii="Times New Roman"/>
          <w:sz w:val="10"/>
        </w:rPr>
      </w:pPr>
    </w:p>
    <w:p>
      <w:pPr>
        <w:pStyle w:val="ListParagraph"/>
        <w:numPr>
          <w:ilvl w:val="0"/>
          <w:numId w:val="22"/>
        </w:numPr>
        <w:tabs>
          <w:tab w:pos="1453" w:val="left" w:leader="none"/>
          <w:tab w:pos="1454" w:val="left" w:leader="none"/>
        </w:tabs>
        <w:spacing w:line="240" w:lineRule="auto" w:before="79" w:after="0"/>
        <w:ind w:left="1453" w:right="0" w:hanging="451"/>
        <w:jc w:val="left"/>
        <w:rPr>
          <w:sz w:val="17"/>
        </w:rPr>
      </w:pPr>
      <w:r>
        <w:rPr>
          <w:sz w:val="17"/>
        </w:rPr>
        <w:t>descrita  por  Erwin  y  Ribeiro  (1996).  Cada  uno  de  los  aislamientos  monospóricos   </w:t>
      </w:r>
      <w:r>
        <w:rPr>
          <w:spacing w:val="39"/>
          <w:sz w:val="17"/>
        </w:rPr>
        <w:t> </w:t>
      </w:r>
      <w:r>
        <w:rPr>
          <w:sz w:val="17"/>
        </w:rPr>
        <w:t>fue</w:t>
      </w:r>
    </w:p>
    <w:p>
      <w:pPr>
        <w:pStyle w:val="BodyText"/>
        <w:spacing w:before="6"/>
        <w:rPr>
          <w:rFonts w:ascii="Times New Roman"/>
          <w:sz w:val="10"/>
        </w:rPr>
      </w:pPr>
    </w:p>
    <w:p>
      <w:pPr>
        <w:pStyle w:val="ListParagraph"/>
        <w:numPr>
          <w:ilvl w:val="0"/>
          <w:numId w:val="22"/>
        </w:numPr>
        <w:tabs>
          <w:tab w:pos="1453" w:val="left" w:leader="none"/>
          <w:tab w:pos="1454" w:val="left" w:leader="none"/>
        </w:tabs>
        <w:spacing w:line="240" w:lineRule="auto" w:before="79" w:after="0"/>
        <w:ind w:left="1453" w:right="0" w:hanging="451"/>
        <w:jc w:val="left"/>
        <w:rPr>
          <w:sz w:val="17"/>
        </w:rPr>
      </w:pPr>
      <w:r>
        <w:rPr>
          <w:sz w:val="17"/>
        </w:rPr>
        <w:t>enfrentado   con   los   aislados   de   referencia   J104   (A1)   y   J204   (A2),   que      </w:t>
      </w:r>
      <w:r>
        <w:rPr>
          <w:spacing w:val="25"/>
          <w:sz w:val="17"/>
        </w:rPr>
        <w:t> </w:t>
      </w:r>
      <w:r>
        <w:rPr>
          <w:sz w:val="17"/>
        </w:rPr>
        <w:t>fueron</w:t>
      </w:r>
    </w:p>
    <w:p>
      <w:pPr>
        <w:spacing w:after="0" w:line="240" w:lineRule="auto"/>
        <w:jc w:val="left"/>
        <w:rPr>
          <w:sz w:val="17"/>
        </w:rPr>
        <w:sectPr>
          <w:pgSz w:w="12240" w:h="15840"/>
          <w:pgMar w:header="719" w:footer="740" w:top="1260" w:bottom="920" w:left="1460" w:right="14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8"/>
        </w:rPr>
      </w:pPr>
    </w:p>
    <w:p>
      <w:pPr>
        <w:pStyle w:val="ListParagraph"/>
        <w:numPr>
          <w:ilvl w:val="0"/>
          <w:numId w:val="22"/>
        </w:numPr>
        <w:tabs>
          <w:tab w:pos="1444" w:val="left" w:leader="none"/>
          <w:tab w:pos="1445" w:val="left" w:leader="none"/>
        </w:tabs>
        <w:spacing w:line="240" w:lineRule="auto" w:before="81" w:after="0"/>
        <w:ind w:left="1444" w:right="0" w:hanging="454"/>
        <w:jc w:val="left"/>
        <w:rPr>
          <w:sz w:val="17"/>
        </w:rPr>
      </w:pPr>
      <w:r>
        <w:rPr>
          <w:w w:val="105"/>
          <w:sz w:val="17"/>
        </w:rPr>
        <w:t>proporcionados por la Universidad Michoacana de San Nicolás de Hidalgo (México)</w:t>
      </w:r>
      <w:r>
        <w:rPr>
          <w:spacing w:val="9"/>
          <w:w w:val="105"/>
          <w:sz w:val="17"/>
        </w:rPr>
        <w:t> </w:t>
      </w:r>
      <w:r>
        <w:rPr>
          <w:w w:val="105"/>
          <w:sz w:val="17"/>
        </w:rPr>
        <w:t>para</w:t>
      </w:r>
    </w:p>
    <w:p>
      <w:pPr>
        <w:pStyle w:val="BodyText"/>
        <w:spacing w:before="7"/>
        <w:rPr>
          <w:rFonts w:ascii="Times New Roman"/>
          <w:sz w:val="10"/>
        </w:rPr>
      </w:pPr>
    </w:p>
    <w:p>
      <w:pPr>
        <w:pStyle w:val="ListParagraph"/>
        <w:numPr>
          <w:ilvl w:val="0"/>
          <w:numId w:val="22"/>
        </w:numPr>
        <w:tabs>
          <w:tab w:pos="1444" w:val="left" w:leader="none"/>
          <w:tab w:pos="1445" w:val="left" w:leader="none"/>
        </w:tabs>
        <w:spacing w:line="240" w:lineRule="auto" w:before="80" w:after="0"/>
        <w:ind w:left="1444" w:right="0" w:hanging="454"/>
        <w:jc w:val="left"/>
        <w:rPr>
          <w:sz w:val="17"/>
        </w:rPr>
      </w:pPr>
      <w:r>
        <w:rPr>
          <w:w w:val="105"/>
          <w:sz w:val="17"/>
        </w:rPr>
        <w:t>determinar</w:t>
      </w:r>
      <w:r>
        <w:rPr>
          <w:spacing w:val="-6"/>
          <w:w w:val="105"/>
          <w:sz w:val="17"/>
        </w:rPr>
        <w:t> </w:t>
      </w:r>
      <w:r>
        <w:rPr>
          <w:w w:val="105"/>
          <w:sz w:val="17"/>
        </w:rPr>
        <w:t>su</w:t>
      </w:r>
      <w:r>
        <w:rPr>
          <w:spacing w:val="-6"/>
          <w:w w:val="105"/>
          <w:sz w:val="17"/>
        </w:rPr>
        <w:t> </w:t>
      </w:r>
      <w:r>
        <w:rPr>
          <w:w w:val="105"/>
          <w:sz w:val="17"/>
        </w:rPr>
        <w:t>tipo</w:t>
      </w:r>
      <w:r>
        <w:rPr>
          <w:spacing w:val="-6"/>
          <w:w w:val="105"/>
          <w:sz w:val="17"/>
        </w:rPr>
        <w:t> </w:t>
      </w:r>
      <w:r>
        <w:rPr>
          <w:w w:val="105"/>
          <w:sz w:val="17"/>
        </w:rPr>
        <w:t>de</w:t>
      </w:r>
      <w:r>
        <w:rPr>
          <w:spacing w:val="-6"/>
          <w:w w:val="105"/>
          <w:sz w:val="17"/>
        </w:rPr>
        <w:t> </w:t>
      </w:r>
      <w:r>
        <w:rPr>
          <w:w w:val="105"/>
          <w:sz w:val="17"/>
        </w:rPr>
        <w:t>apareamiento.</w:t>
      </w:r>
      <w:r>
        <w:rPr>
          <w:spacing w:val="-6"/>
          <w:w w:val="105"/>
          <w:sz w:val="17"/>
        </w:rPr>
        <w:t> </w:t>
      </w:r>
      <w:r>
        <w:rPr>
          <w:w w:val="105"/>
          <w:sz w:val="17"/>
        </w:rPr>
        <w:t>Los</w:t>
      </w:r>
      <w:r>
        <w:rPr>
          <w:spacing w:val="-6"/>
          <w:w w:val="105"/>
          <w:sz w:val="17"/>
        </w:rPr>
        <w:t> </w:t>
      </w:r>
      <w:r>
        <w:rPr>
          <w:w w:val="105"/>
          <w:sz w:val="17"/>
        </w:rPr>
        <w:t>enfrentamientos</w:t>
      </w:r>
      <w:r>
        <w:rPr>
          <w:spacing w:val="-6"/>
          <w:w w:val="105"/>
          <w:sz w:val="17"/>
        </w:rPr>
        <w:t> </w:t>
      </w:r>
      <w:r>
        <w:rPr>
          <w:w w:val="105"/>
          <w:sz w:val="17"/>
        </w:rPr>
        <w:t>se</w:t>
      </w:r>
      <w:r>
        <w:rPr>
          <w:spacing w:val="-6"/>
          <w:w w:val="105"/>
          <w:sz w:val="17"/>
        </w:rPr>
        <w:t> </w:t>
      </w:r>
      <w:r>
        <w:rPr>
          <w:w w:val="105"/>
          <w:sz w:val="17"/>
        </w:rPr>
        <w:t>realizaron</w:t>
      </w:r>
      <w:r>
        <w:rPr>
          <w:spacing w:val="-6"/>
          <w:w w:val="105"/>
          <w:sz w:val="17"/>
        </w:rPr>
        <w:t> </w:t>
      </w:r>
      <w:r>
        <w:rPr>
          <w:w w:val="105"/>
          <w:sz w:val="17"/>
        </w:rPr>
        <w:t>bajo</w:t>
      </w:r>
      <w:r>
        <w:rPr>
          <w:spacing w:val="-6"/>
          <w:w w:val="105"/>
          <w:sz w:val="17"/>
        </w:rPr>
        <w:t> </w:t>
      </w:r>
      <w:r>
        <w:rPr>
          <w:w w:val="105"/>
          <w:sz w:val="17"/>
        </w:rPr>
        <w:t>temperatura</w:t>
      </w:r>
      <w:r>
        <w:rPr>
          <w:spacing w:val="-6"/>
          <w:w w:val="105"/>
          <w:sz w:val="17"/>
        </w:rPr>
        <w:t> </w:t>
      </w:r>
      <w:r>
        <w:rPr>
          <w:w w:val="105"/>
          <w:sz w:val="17"/>
        </w:rPr>
        <w:t>de</w:t>
      </w:r>
    </w:p>
    <w:p>
      <w:pPr>
        <w:pStyle w:val="BodyText"/>
        <w:spacing w:before="8"/>
        <w:rPr>
          <w:rFonts w:ascii="Times New Roman"/>
          <w:sz w:val="15"/>
        </w:rPr>
      </w:pPr>
    </w:p>
    <w:p>
      <w:pPr>
        <w:pStyle w:val="ListParagraph"/>
        <w:numPr>
          <w:ilvl w:val="0"/>
          <w:numId w:val="22"/>
        </w:numPr>
        <w:tabs>
          <w:tab w:pos="1444" w:val="left" w:leader="none"/>
          <w:tab w:pos="1445" w:val="left" w:leader="none"/>
        </w:tabs>
        <w:spacing w:line="240" w:lineRule="auto" w:before="0" w:after="0"/>
        <w:ind w:left="1444" w:right="0" w:hanging="454"/>
        <w:jc w:val="left"/>
        <w:rPr>
          <w:sz w:val="17"/>
        </w:rPr>
      </w:pPr>
      <w:r>
        <w:rPr>
          <w:w w:val="105"/>
          <w:sz w:val="17"/>
        </w:rPr>
        <w:t>15</w:t>
      </w:r>
      <w:r>
        <w:rPr>
          <w:w w:val="105"/>
          <w:position w:val="8"/>
          <w:sz w:val="11"/>
        </w:rPr>
        <w:t>o</w:t>
      </w:r>
      <w:r>
        <w:rPr>
          <w:w w:val="105"/>
          <w:sz w:val="17"/>
        </w:rPr>
        <w:t>C y en oscuridad, utilizando medio de cultivo agar-jugo V8 con centeno. A partir  </w:t>
      </w:r>
      <w:r>
        <w:rPr>
          <w:spacing w:val="35"/>
          <w:w w:val="105"/>
          <w:sz w:val="17"/>
        </w:rPr>
        <w:t> </w:t>
      </w:r>
      <w:r>
        <w:rPr>
          <w:w w:val="105"/>
          <w:sz w:val="17"/>
        </w:rPr>
        <w:t>del</w:t>
      </w:r>
    </w:p>
    <w:p>
      <w:pPr>
        <w:pStyle w:val="BodyText"/>
        <w:spacing w:before="7"/>
        <w:rPr>
          <w:rFonts w:ascii="Times New Roman"/>
          <w:sz w:val="10"/>
        </w:rPr>
      </w:pPr>
    </w:p>
    <w:p>
      <w:pPr>
        <w:pStyle w:val="ListParagraph"/>
        <w:numPr>
          <w:ilvl w:val="0"/>
          <w:numId w:val="22"/>
        </w:numPr>
        <w:tabs>
          <w:tab w:pos="1444" w:val="left" w:leader="none"/>
          <w:tab w:pos="1445" w:val="left" w:leader="none"/>
        </w:tabs>
        <w:spacing w:line="240" w:lineRule="auto" w:before="80" w:after="0"/>
        <w:ind w:left="1444" w:right="0" w:hanging="551"/>
        <w:jc w:val="left"/>
        <w:rPr>
          <w:sz w:val="17"/>
        </w:rPr>
      </w:pPr>
      <w:r>
        <w:rPr>
          <w:w w:val="105"/>
          <w:sz w:val="17"/>
        </w:rPr>
        <w:t>tercer</w:t>
      </w:r>
      <w:r>
        <w:rPr>
          <w:spacing w:val="27"/>
          <w:w w:val="105"/>
          <w:sz w:val="17"/>
        </w:rPr>
        <w:t> </w:t>
      </w:r>
      <w:r>
        <w:rPr>
          <w:w w:val="105"/>
          <w:sz w:val="17"/>
        </w:rPr>
        <w:t>día</w:t>
      </w:r>
      <w:r>
        <w:rPr>
          <w:spacing w:val="27"/>
          <w:w w:val="105"/>
          <w:sz w:val="17"/>
        </w:rPr>
        <w:t> </w:t>
      </w:r>
      <w:r>
        <w:rPr>
          <w:w w:val="105"/>
          <w:sz w:val="17"/>
        </w:rPr>
        <w:t>de</w:t>
      </w:r>
      <w:r>
        <w:rPr>
          <w:spacing w:val="27"/>
          <w:w w:val="105"/>
          <w:sz w:val="17"/>
        </w:rPr>
        <w:t> </w:t>
      </w:r>
      <w:r>
        <w:rPr>
          <w:w w:val="105"/>
          <w:sz w:val="17"/>
        </w:rPr>
        <w:t>contacto</w:t>
      </w:r>
      <w:r>
        <w:rPr>
          <w:spacing w:val="27"/>
          <w:w w:val="105"/>
          <w:sz w:val="17"/>
        </w:rPr>
        <w:t> </w:t>
      </w:r>
      <w:r>
        <w:rPr>
          <w:w w:val="105"/>
          <w:sz w:val="17"/>
        </w:rPr>
        <w:t>entre</w:t>
      </w:r>
      <w:r>
        <w:rPr>
          <w:spacing w:val="27"/>
          <w:w w:val="105"/>
          <w:sz w:val="17"/>
        </w:rPr>
        <w:t> </w:t>
      </w:r>
      <w:r>
        <w:rPr>
          <w:w w:val="105"/>
          <w:sz w:val="17"/>
        </w:rPr>
        <w:t>los</w:t>
      </w:r>
      <w:r>
        <w:rPr>
          <w:spacing w:val="27"/>
          <w:w w:val="105"/>
          <w:sz w:val="17"/>
        </w:rPr>
        <w:t> </w:t>
      </w:r>
      <w:r>
        <w:rPr>
          <w:w w:val="105"/>
          <w:sz w:val="17"/>
        </w:rPr>
        <w:t>aislamientos</w:t>
      </w:r>
      <w:r>
        <w:rPr>
          <w:spacing w:val="27"/>
          <w:w w:val="105"/>
          <w:sz w:val="17"/>
        </w:rPr>
        <w:t> </w:t>
      </w:r>
      <w:r>
        <w:rPr>
          <w:w w:val="105"/>
          <w:sz w:val="17"/>
        </w:rPr>
        <w:t>de</w:t>
      </w:r>
      <w:r>
        <w:rPr>
          <w:spacing w:val="27"/>
          <w:w w:val="105"/>
          <w:sz w:val="17"/>
        </w:rPr>
        <w:t> </w:t>
      </w:r>
      <w:r>
        <w:rPr>
          <w:w w:val="105"/>
          <w:sz w:val="17"/>
        </w:rPr>
        <w:t>referencia</w:t>
      </w:r>
      <w:r>
        <w:rPr>
          <w:spacing w:val="27"/>
          <w:w w:val="105"/>
          <w:sz w:val="17"/>
        </w:rPr>
        <w:t> </w:t>
      </w:r>
      <w:r>
        <w:rPr>
          <w:w w:val="105"/>
          <w:sz w:val="17"/>
        </w:rPr>
        <w:t>y</w:t>
      </w:r>
      <w:r>
        <w:rPr>
          <w:spacing w:val="27"/>
          <w:w w:val="105"/>
          <w:sz w:val="17"/>
        </w:rPr>
        <w:t> </w:t>
      </w:r>
      <w:r>
        <w:rPr>
          <w:w w:val="105"/>
          <w:sz w:val="17"/>
        </w:rPr>
        <w:t>la</w:t>
      </w:r>
      <w:r>
        <w:rPr>
          <w:spacing w:val="27"/>
          <w:w w:val="105"/>
          <w:sz w:val="17"/>
        </w:rPr>
        <w:t> </w:t>
      </w:r>
      <w:r>
        <w:rPr>
          <w:w w:val="105"/>
          <w:sz w:val="17"/>
        </w:rPr>
        <w:t>progenie,</w:t>
      </w:r>
      <w:r>
        <w:rPr>
          <w:spacing w:val="27"/>
          <w:w w:val="105"/>
          <w:sz w:val="17"/>
        </w:rPr>
        <w:t> </w:t>
      </w:r>
      <w:r>
        <w:rPr>
          <w:w w:val="105"/>
          <w:sz w:val="17"/>
        </w:rPr>
        <w:t>se</w:t>
      </w:r>
      <w:r>
        <w:rPr>
          <w:spacing w:val="27"/>
          <w:w w:val="105"/>
          <w:sz w:val="17"/>
        </w:rPr>
        <w:t> </w:t>
      </w:r>
      <w:r>
        <w:rPr>
          <w:w w:val="105"/>
          <w:sz w:val="17"/>
        </w:rPr>
        <w:t>realizaron</w:t>
      </w:r>
    </w:p>
    <w:p>
      <w:pPr>
        <w:pStyle w:val="BodyText"/>
        <w:spacing w:before="7"/>
        <w:rPr>
          <w:rFonts w:ascii="Times New Roman"/>
          <w:sz w:val="10"/>
        </w:rPr>
      </w:pPr>
    </w:p>
    <w:p>
      <w:pPr>
        <w:pStyle w:val="ListParagraph"/>
        <w:numPr>
          <w:ilvl w:val="0"/>
          <w:numId w:val="22"/>
        </w:numPr>
        <w:tabs>
          <w:tab w:pos="1444" w:val="left" w:leader="none"/>
          <w:tab w:pos="1445" w:val="left" w:leader="none"/>
        </w:tabs>
        <w:spacing w:line="240" w:lineRule="auto" w:before="80" w:after="0"/>
        <w:ind w:left="1444" w:right="0" w:hanging="551"/>
        <w:jc w:val="left"/>
        <w:rPr>
          <w:sz w:val="17"/>
        </w:rPr>
      </w:pPr>
      <w:r>
        <w:rPr>
          <w:w w:val="105"/>
          <w:sz w:val="17"/>
        </w:rPr>
        <w:t>observaciones</w:t>
      </w:r>
      <w:r>
        <w:rPr>
          <w:spacing w:val="-14"/>
          <w:w w:val="105"/>
          <w:sz w:val="17"/>
        </w:rPr>
        <w:t> </w:t>
      </w:r>
      <w:r>
        <w:rPr>
          <w:w w:val="105"/>
          <w:sz w:val="17"/>
        </w:rPr>
        <w:t>diarias</w:t>
      </w:r>
      <w:r>
        <w:rPr>
          <w:spacing w:val="-14"/>
          <w:w w:val="105"/>
          <w:sz w:val="17"/>
        </w:rPr>
        <w:t> </w:t>
      </w:r>
      <w:r>
        <w:rPr>
          <w:w w:val="105"/>
          <w:sz w:val="17"/>
        </w:rPr>
        <w:t>hasta</w:t>
      </w:r>
      <w:r>
        <w:rPr>
          <w:spacing w:val="-14"/>
          <w:w w:val="105"/>
          <w:sz w:val="17"/>
        </w:rPr>
        <w:t> </w:t>
      </w:r>
      <w:r>
        <w:rPr>
          <w:w w:val="105"/>
          <w:sz w:val="17"/>
        </w:rPr>
        <w:t>que</w:t>
      </w:r>
      <w:r>
        <w:rPr>
          <w:spacing w:val="-14"/>
          <w:w w:val="105"/>
          <w:sz w:val="17"/>
        </w:rPr>
        <w:t> </w:t>
      </w:r>
      <w:r>
        <w:rPr>
          <w:w w:val="105"/>
          <w:sz w:val="17"/>
        </w:rPr>
        <w:t>fueron</w:t>
      </w:r>
      <w:r>
        <w:rPr>
          <w:spacing w:val="-14"/>
          <w:w w:val="105"/>
          <w:sz w:val="17"/>
        </w:rPr>
        <w:t> </w:t>
      </w:r>
      <w:r>
        <w:rPr>
          <w:w w:val="105"/>
          <w:sz w:val="17"/>
        </w:rPr>
        <w:t>encontrados</w:t>
      </w:r>
      <w:r>
        <w:rPr>
          <w:spacing w:val="-14"/>
          <w:w w:val="105"/>
          <w:sz w:val="17"/>
        </w:rPr>
        <w:t> </w:t>
      </w:r>
      <w:r>
        <w:rPr>
          <w:w w:val="105"/>
          <w:sz w:val="17"/>
        </w:rPr>
        <w:t>órganos</w:t>
      </w:r>
      <w:r>
        <w:rPr>
          <w:spacing w:val="-14"/>
          <w:w w:val="105"/>
          <w:sz w:val="17"/>
        </w:rPr>
        <w:t> </w:t>
      </w:r>
      <w:r>
        <w:rPr>
          <w:w w:val="105"/>
          <w:sz w:val="17"/>
        </w:rPr>
        <w:t>sexuales</w:t>
      </w:r>
      <w:r>
        <w:rPr>
          <w:spacing w:val="-14"/>
          <w:w w:val="105"/>
          <w:sz w:val="17"/>
        </w:rPr>
        <w:t> </w:t>
      </w:r>
      <w:r>
        <w:rPr>
          <w:w w:val="105"/>
          <w:sz w:val="17"/>
        </w:rPr>
        <w:t>(oogonios</w:t>
      </w:r>
      <w:r>
        <w:rPr>
          <w:spacing w:val="-14"/>
          <w:w w:val="105"/>
          <w:sz w:val="17"/>
        </w:rPr>
        <w:t> </w:t>
      </w:r>
      <w:r>
        <w:rPr>
          <w:w w:val="105"/>
          <w:sz w:val="17"/>
        </w:rPr>
        <w:t>y</w:t>
      </w:r>
      <w:r>
        <w:rPr>
          <w:spacing w:val="-14"/>
          <w:w w:val="105"/>
          <w:sz w:val="17"/>
        </w:rPr>
        <w:t> </w:t>
      </w:r>
      <w:r>
        <w:rPr>
          <w:w w:val="105"/>
          <w:sz w:val="17"/>
        </w:rPr>
        <w:t>anteridios</w:t>
      </w:r>
    </w:p>
    <w:p>
      <w:pPr>
        <w:pStyle w:val="BodyText"/>
        <w:spacing w:before="7"/>
        <w:rPr>
          <w:rFonts w:ascii="Times New Roman"/>
          <w:sz w:val="10"/>
        </w:rPr>
      </w:pPr>
    </w:p>
    <w:p>
      <w:pPr>
        <w:pStyle w:val="ListParagraph"/>
        <w:numPr>
          <w:ilvl w:val="0"/>
          <w:numId w:val="22"/>
        </w:numPr>
        <w:tabs>
          <w:tab w:pos="1444" w:val="left" w:leader="none"/>
          <w:tab w:pos="1445" w:val="left" w:leader="none"/>
        </w:tabs>
        <w:spacing w:line="240" w:lineRule="auto" w:before="80" w:after="0"/>
        <w:ind w:left="1444" w:right="0" w:hanging="551"/>
        <w:jc w:val="left"/>
        <w:rPr>
          <w:sz w:val="17"/>
        </w:rPr>
      </w:pPr>
      <w:r>
        <w:rPr>
          <w:w w:val="105"/>
          <w:sz w:val="17"/>
        </w:rPr>
        <w:t>anfíginos)  y  oosporas.  Los  aislamientos  que  sólo  produjeron  estructuras  sexuales  </w:t>
      </w:r>
      <w:r>
        <w:rPr>
          <w:spacing w:val="26"/>
          <w:w w:val="105"/>
          <w:sz w:val="17"/>
        </w:rPr>
        <w:t> </w:t>
      </w:r>
      <w:r>
        <w:rPr>
          <w:w w:val="105"/>
          <w:sz w:val="17"/>
        </w:rPr>
        <w:t>y</w:t>
      </w:r>
    </w:p>
    <w:p>
      <w:pPr>
        <w:pStyle w:val="BodyText"/>
        <w:spacing w:before="7"/>
        <w:rPr>
          <w:rFonts w:ascii="Times New Roman"/>
          <w:sz w:val="10"/>
        </w:rPr>
      </w:pPr>
    </w:p>
    <w:p>
      <w:pPr>
        <w:pStyle w:val="ListParagraph"/>
        <w:numPr>
          <w:ilvl w:val="0"/>
          <w:numId w:val="22"/>
        </w:numPr>
        <w:tabs>
          <w:tab w:pos="1444" w:val="left" w:leader="none"/>
          <w:tab w:pos="1445" w:val="left" w:leader="none"/>
        </w:tabs>
        <w:spacing w:line="240" w:lineRule="auto" w:before="80" w:after="0"/>
        <w:ind w:left="1444" w:right="0" w:hanging="551"/>
        <w:jc w:val="left"/>
        <w:rPr>
          <w:sz w:val="17"/>
        </w:rPr>
      </w:pPr>
      <w:r>
        <w:rPr>
          <w:w w:val="105"/>
          <w:sz w:val="17"/>
        </w:rPr>
        <w:t>oosporas</w:t>
      </w:r>
      <w:r>
        <w:rPr>
          <w:spacing w:val="16"/>
          <w:w w:val="105"/>
          <w:sz w:val="17"/>
        </w:rPr>
        <w:t> </w:t>
      </w:r>
      <w:r>
        <w:rPr>
          <w:w w:val="105"/>
          <w:sz w:val="17"/>
        </w:rPr>
        <w:t>al</w:t>
      </w:r>
      <w:r>
        <w:rPr>
          <w:spacing w:val="16"/>
          <w:w w:val="105"/>
          <w:sz w:val="17"/>
        </w:rPr>
        <w:t> </w:t>
      </w:r>
      <w:r>
        <w:rPr>
          <w:w w:val="105"/>
          <w:sz w:val="17"/>
        </w:rPr>
        <w:t>ser</w:t>
      </w:r>
      <w:r>
        <w:rPr>
          <w:spacing w:val="16"/>
          <w:w w:val="105"/>
          <w:sz w:val="17"/>
        </w:rPr>
        <w:t> </w:t>
      </w:r>
      <w:r>
        <w:rPr>
          <w:w w:val="105"/>
          <w:sz w:val="17"/>
        </w:rPr>
        <w:t>enfrentados</w:t>
      </w:r>
      <w:r>
        <w:rPr>
          <w:spacing w:val="16"/>
          <w:w w:val="105"/>
          <w:sz w:val="17"/>
        </w:rPr>
        <w:t> </w:t>
      </w:r>
      <w:r>
        <w:rPr>
          <w:w w:val="105"/>
          <w:sz w:val="17"/>
        </w:rPr>
        <w:t>con</w:t>
      </w:r>
      <w:r>
        <w:rPr>
          <w:spacing w:val="16"/>
          <w:w w:val="105"/>
          <w:sz w:val="17"/>
        </w:rPr>
        <w:t> </w:t>
      </w:r>
      <w:r>
        <w:rPr>
          <w:w w:val="105"/>
          <w:sz w:val="17"/>
        </w:rPr>
        <w:t>el</w:t>
      </w:r>
      <w:r>
        <w:rPr>
          <w:spacing w:val="16"/>
          <w:w w:val="105"/>
          <w:sz w:val="17"/>
        </w:rPr>
        <w:t> </w:t>
      </w:r>
      <w:r>
        <w:rPr>
          <w:w w:val="105"/>
          <w:sz w:val="17"/>
        </w:rPr>
        <w:t>aislado</w:t>
      </w:r>
      <w:r>
        <w:rPr>
          <w:spacing w:val="16"/>
          <w:w w:val="105"/>
          <w:sz w:val="17"/>
        </w:rPr>
        <w:t> </w:t>
      </w:r>
      <w:r>
        <w:rPr>
          <w:w w:val="105"/>
          <w:sz w:val="17"/>
        </w:rPr>
        <w:t>de</w:t>
      </w:r>
      <w:r>
        <w:rPr>
          <w:spacing w:val="16"/>
          <w:w w:val="105"/>
          <w:sz w:val="17"/>
        </w:rPr>
        <w:t> </w:t>
      </w:r>
      <w:r>
        <w:rPr>
          <w:w w:val="105"/>
          <w:sz w:val="17"/>
        </w:rPr>
        <w:t>referencia</w:t>
      </w:r>
      <w:r>
        <w:rPr>
          <w:spacing w:val="16"/>
          <w:w w:val="105"/>
          <w:sz w:val="17"/>
        </w:rPr>
        <w:t> </w:t>
      </w:r>
      <w:r>
        <w:rPr>
          <w:w w:val="105"/>
          <w:sz w:val="17"/>
        </w:rPr>
        <w:t>J104</w:t>
      </w:r>
      <w:r>
        <w:rPr>
          <w:spacing w:val="16"/>
          <w:w w:val="105"/>
          <w:sz w:val="17"/>
        </w:rPr>
        <w:t> </w:t>
      </w:r>
      <w:r>
        <w:rPr>
          <w:w w:val="105"/>
          <w:sz w:val="17"/>
        </w:rPr>
        <w:t>(A1)</w:t>
      </w:r>
      <w:r>
        <w:rPr>
          <w:spacing w:val="16"/>
          <w:w w:val="105"/>
          <w:sz w:val="17"/>
        </w:rPr>
        <w:t> </w:t>
      </w:r>
      <w:r>
        <w:rPr>
          <w:w w:val="105"/>
          <w:sz w:val="17"/>
        </w:rPr>
        <w:t>fueron</w:t>
      </w:r>
      <w:r>
        <w:rPr>
          <w:spacing w:val="16"/>
          <w:w w:val="105"/>
          <w:sz w:val="17"/>
        </w:rPr>
        <w:t> </w:t>
      </w:r>
      <w:r>
        <w:rPr>
          <w:w w:val="105"/>
          <w:sz w:val="17"/>
        </w:rPr>
        <w:t>determinados</w:t>
      </w:r>
    </w:p>
    <w:p>
      <w:pPr>
        <w:pStyle w:val="BodyText"/>
        <w:spacing w:before="7"/>
        <w:rPr>
          <w:rFonts w:ascii="Times New Roman"/>
          <w:sz w:val="10"/>
        </w:rPr>
      </w:pPr>
    </w:p>
    <w:p>
      <w:pPr>
        <w:pStyle w:val="ListParagraph"/>
        <w:numPr>
          <w:ilvl w:val="0"/>
          <w:numId w:val="22"/>
        </w:numPr>
        <w:tabs>
          <w:tab w:pos="1444" w:val="left" w:leader="none"/>
          <w:tab w:pos="1445" w:val="left" w:leader="none"/>
        </w:tabs>
        <w:spacing w:line="240" w:lineRule="auto" w:before="80" w:after="0"/>
        <w:ind w:left="1444" w:right="0" w:hanging="551"/>
        <w:jc w:val="left"/>
        <w:rPr>
          <w:sz w:val="17"/>
        </w:rPr>
      </w:pPr>
      <w:r>
        <w:rPr>
          <w:w w:val="105"/>
          <w:sz w:val="17"/>
        </w:rPr>
        <w:t>como</w:t>
      </w:r>
      <w:r>
        <w:rPr>
          <w:spacing w:val="-10"/>
          <w:w w:val="105"/>
          <w:sz w:val="17"/>
        </w:rPr>
        <w:t> </w:t>
      </w:r>
      <w:r>
        <w:rPr>
          <w:w w:val="105"/>
          <w:sz w:val="17"/>
        </w:rPr>
        <w:t>tipo</w:t>
      </w:r>
      <w:r>
        <w:rPr>
          <w:spacing w:val="-10"/>
          <w:w w:val="105"/>
          <w:sz w:val="17"/>
        </w:rPr>
        <w:t> </w:t>
      </w:r>
      <w:r>
        <w:rPr>
          <w:w w:val="105"/>
          <w:sz w:val="17"/>
        </w:rPr>
        <w:t>de</w:t>
      </w:r>
      <w:r>
        <w:rPr>
          <w:spacing w:val="-10"/>
          <w:w w:val="105"/>
          <w:sz w:val="17"/>
        </w:rPr>
        <w:t> </w:t>
      </w:r>
      <w:r>
        <w:rPr>
          <w:w w:val="105"/>
          <w:sz w:val="17"/>
        </w:rPr>
        <w:t>apareamiento</w:t>
      </w:r>
      <w:r>
        <w:rPr>
          <w:spacing w:val="-10"/>
          <w:w w:val="105"/>
          <w:sz w:val="17"/>
        </w:rPr>
        <w:t> </w:t>
      </w:r>
      <w:r>
        <w:rPr>
          <w:w w:val="105"/>
          <w:sz w:val="17"/>
        </w:rPr>
        <w:t>A2,</w:t>
      </w:r>
      <w:r>
        <w:rPr>
          <w:spacing w:val="-10"/>
          <w:w w:val="105"/>
          <w:sz w:val="17"/>
        </w:rPr>
        <w:t> </w:t>
      </w:r>
      <w:r>
        <w:rPr>
          <w:w w:val="105"/>
          <w:sz w:val="17"/>
        </w:rPr>
        <w:t>y</w:t>
      </w:r>
      <w:r>
        <w:rPr>
          <w:spacing w:val="-10"/>
          <w:w w:val="105"/>
          <w:sz w:val="17"/>
        </w:rPr>
        <w:t> </w:t>
      </w:r>
      <w:r>
        <w:rPr>
          <w:w w:val="105"/>
          <w:sz w:val="17"/>
        </w:rPr>
        <w:t>los</w:t>
      </w:r>
      <w:r>
        <w:rPr>
          <w:spacing w:val="-10"/>
          <w:w w:val="105"/>
          <w:sz w:val="17"/>
        </w:rPr>
        <w:t> </w:t>
      </w:r>
      <w:r>
        <w:rPr>
          <w:w w:val="105"/>
          <w:sz w:val="17"/>
        </w:rPr>
        <w:t>que</w:t>
      </w:r>
      <w:r>
        <w:rPr>
          <w:spacing w:val="-10"/>
          <w:w w:val="105"/>
          <w:sz w:val="17"/>
        </w:rPr>
        <w:t> </w:t>
      </w:r>
      <w:r>
        <w:rPr>
          <w:w w:val="105"/>
          <w:sz w:val="17"/>
        </w:rPr>
        <w:t>sólo</w:t>
      </w:r>
      <w:r>
        <w:rPr>
          <w:spacing w:val="-10"/>
          <w:w w:val="105"/>
          <w:sz w:val="17"/>
        </w:rPr>
        <w:t> </w:t>
      </w:r>
      <w:r>
        <w:rPr>
          <w:w w:val="105"/>
          <w:sz w:val="17"/>
        </w:rPr>
        <w:t>produjeron</w:t>
      </w:r>
      <w:r>
        <w:rPr>
          <w:spacing w:val="-10"/>
          <w:w w:val="105"/>
          <w:sz w:val="17"/>
        </w:rPr>
        <w:t> </w:t>
      </w:r>
      <w:r>
        <w:rPr>
          <w:w w:val="105"/>
          <w:sz w:val="17"/>
        </w:rPr>
        <w:t>estructuras</w:t>
      </w:r>
      <w:r>
        <w:rPr>
          <w:spacing w:val="-10"/>
          <w:w w:val="105"/>
          <w:sz w:val="17"/>
        </w:rPr>
        <w:t> </w:t>
      </w:r>
      <w:r>
        <w:rPr>
          <w:w w:val="105"/>
          <w:sz w:val="17"/>
        </w:rPr>
        <w:t>sexuales</w:t>
      </w:r>
      <w:r>
        <w:rPr>
          <w:spacing w:val="-10"/>
          <w:w w:val="105"/>
          <w:sz w:val="17"/>
        </w:rPr>
        <w:t> </w:t>
      </w:r>
      <w:r>
        <w:rPr>
          <w:w w:val="105"/>
          <w:sz w:val="17"/>
        </w:rPr>
        <w:t>y</w:t>
      </w:r>
      <w:r>
        <w:rPr>
          <w:spacing w:val="-10"/>
          <w:w w:val="105"/>
          <w:sz w:val="17"/>
        </w:rPr>
        <w:t> </w:t>
      </w:r>
      <w:r>
        <w:rPr>
          <w:w w:val="105"/>
          <w:sz w:val="17"/>
        </w:rPr>
        <w:t>oosporas</w:t>
      </w:r>
      <w:r>
        <w:rPr>
          <w:spacing w:val="-10"/>
          <w:w w:val="105"/>
          <w:sz w:val="17"/>
        </w:rPr>
        <w:t> </w:t>
      </w:r>
      <w:r>
        <w:rPr>
          <w:w w:val="105"/>
          <w:sz w:val="17"/>
        </w:rPr>
        <w:t>al</w:t>
      </w:r>
    </w:p>
    <w:p>
      <w:pPr>
        <w:pStyle w:val="BodyText"/>
        <w:spacing w:before="7"/>
        <w:rPr>
          <w:rFonts w:ascii="Times New Roman"/>
          <w:sz w:val="10"/>
        </w:rPr>
      </w:pPr>
    </w:p>
    <w:p>
      <w:pPr>
        <w:pStyle w:val="ListParagraph"/>
        <w:numPr>
          <w:ilvl w:val="0"/>
          <w:numId w:val="22"/>
        </w:numPr>
        <w:tabs>
          <w:tab w:pos="1444" w:val="left" w:leader="none"/>
          <w:tab w:pos="1445" w:val="left" w:leader="none"/>
        </w:tabs>
        <w:spacing w:line="240" w:lineRule="auto" w:before="80" w:after="0"/>
        <w:ind w:left="1444" w:right="0" w:hanging="551"/>
        <w:jc w:val="left"/>
        <w:rPr>
          <w:sz w:val="17"/>
        </w:rPr>
      </w:pPr>
      <w:r>
        <w:rPr>
          <w:w w:val="105"/>
          <w:sz w:val="17"/>
        </w:rPr>
        <w:t>ser enfrentados con el aislado de referencia J204 (A2) fueron determinados como tipo </w:t>
      </w:r>
      <w:r>
        <w:rPr>
          <w:spacing w:val="33"/>
          <w:w w:val="105"/>
          <w:sz w:val="17"/>
        </w:rPr>
        <w:t> </w:t>
      </w:r>
      <w:r>
        <w:rPr>
          <w:w w:val="105"/>
          <w:sz w:val="17"/>
        </w:rPr>
        <w:t>de</w:t>
      </w:r>
    </w:p>
    <w:p>
      <w:pPr>
        <w:pStyle w:val="BodyText"/>
        <w:spacing w:before="7"/>
        <w:rPr>
          <w:rFonts w:ascii="Times New Roman"/>
          <w:sz w:val="10"/>
        </w:rPr>
      </w:pPr>
    </w:p>
    <w:p>
      <w:pPr>
        <w:pStyle w:val="ListParagraph"/>
        <w:numPr>
          <w:ilvl w:val="0"/>
          <w:numId w:val="22"/>
        </w:numPr>
        <w:tabs>
          <w:tab w:pos="1444" w:val="left" w:leader="none"/>
          <w:tab w:pos="1445" w:val="left" w:leader="none"/>
        </w:tabs>
        <w:spacing w:line="240" w:lineRule="auto" w:before="80" w:after="0"/>
        <w:ind w:left="1444" w:right="0" w:hanging="551"/>
        <w:jc w:val="left"/>
        <w:rPr>
          <w:sz w:val="17"/>
        </w:rPr>
      </w:pPr>
      <w:r>
        <w:rPr>
          <w:w w:val="105"/>
          <w:sz w:val="17"/>
        </w:rPr>
        <w:t>apareamiento  A1.  Los  aislamientos  que  produjeron  oosporas  con  ambos  tipos      </w:t>
      </w:r>
      <w:r>
        <w:rPr>
          <w:spacing w:val="11"/>
          <w:w w:val="105"/>
          <w:sz w:val="17"/>
        </w:rPr>
        <w:t> </w:t>
      </w:r>
      <w:r>
        <w:rPr>
          <w:w w:val="105"/>
          <w:sz w:val="17"/>
        </w:rPr>
        <w:t>de</w:t>
      </w:r>
    </w:p>
    <w:p>
      <w:pPr>
        <w:pStyle w:val="BodyText"/>
        <w:spacing w:before="7"/>
        <w:rPr>
          <w:rFonts w:ascii="Times New Roman"/>
          <w:sz w:val="10"/>
        </w:rPr>
      </w:pPr>
    </w:p>
    <w:p>
      <w:pPr>
        <w:pStyle w:val="ListParagraph"/>
        <w:numPr>
          <w:ilvl w:val="0"/>
          <w:numId w:val="22"/>
        </w:numPr>
        <w:tabs>
          <w:tab w:pos="1444" w:val="left" w:leader="none"/>
          <w:tab w:pos="1445" w:val="left" w:leader="none"/>
        </w:tabs>
        <w:spacing w:line="240" w:lineRule="auto" w:before="80" w:after="0"/>
        <w:ind w:left="1444" w:right="0" w:hanging="551"/>
        <w:jc w:val="left"/>
        <w:rPr>
          <w:i/>
          <w:sz w:val="17"/>
        </w:rPr>
      </w:pPr>
      <w:r>
        <w:rPr>
          <w:w w:val="105"/>
          <w:sz w:val="17"/>
        </w:rPr>
        <w:t>apareamiento (A1 y A2)  y por sí solos, fueron determinados como homotálicos (Guo  </w:t>
      </w:r>
      <w:r>
        <w:rPr>
          <w:spacing w:val="6"/>
          <w:w w:val="105"/>
          <w:sz w:val="17"/>
        </w:rPr>
        <w:t> </w:t>
      </w:r>
      <w:r>
        <w:rPr>
          <w:i/>
          <w:w w:val="105"/>
          <w:sz w:val="17"/>
        </w:rPr>
        <w:t>et.</w:t>
      </w:r>
    </w:p>
    <w:p>
      <w:pPr>
        <w:pStyle w:val="BodyText"/>
        <w:spacing w:before="7"/>
        <w:rPr>
          <w:rFonts w:ascii="Times New Roman"/>
          <w:i/>
          <w:sz w:val="10"/>
        </w:rPr>
      </w:pPr>
    </w:p>
    <w:p>
      <w:pPr>
        <w:pStyle w:val="ListParagraph"/>
        <w:numPr>
          <w:ilvl w:val="0"/>
          <w:numId w:val="22"/>
        </w:numPr>
        <w:tabs>
          <w:tab w:pos="1444" w:val="left" w:leader="none"/>
          <w:tab w:pos="1445" w:val="left" w:leader="none"/>
        </w:tabs>
        <w:spacing w:line="240" w:lineRule="auto" w:before="80" w:after="0"/>
        <w:ind w:left="1444" w:right="0" w:hanging="551"/>
        <w:jc w:val="left"/>
        <w:rPr>
          <w:sz w:val="17"/>
        </w:rPr>
      </w:pPr>
      <w:r>
        <w:rPr>
          <w:i/>
          <w:w w:val="105"/>
          <w:sz w:val="17"/>
        </w:rPr>
        <w:t>al</w:t>
      </w:r>
      <w:r>
        <w:rPr>
          <w:w w:val="105"/>
          <w:sz w:val="17"/>
        </w:rPr>
        <w:t>.,</w:t>
      </w:r>
      <w:r>
        <w:rPr>
          <w:spacing w:val="-13"/>
          <w:w w:val="105"/>
          <w:sz w:val="17"/>
        </w:rPr>
        <w:t> </w:t>
      </w:r>
      <w:r>
        <w:rPr>
          <w:w w:val="105"/>
          <w:sz w:val="17"/>
        </w:rPr>
        <w:t>2010;</w:t>
      </w:r>
      <w:r>
        <w:rPr>
          <w:spacing w:val="-13"/>
          <w:w w:val="105"/>
          <w:sz w:val="17"/>
        </w:rPr>
        <w:t> </w:t>
      </w:r>
      <w:r>
        <w:rPr>
          <w:w w:val="105"/>
          <w:sz w:val="17"/>
        </w:rPr>
        <w:t>Han</w:t>
      </w:r>
      <w:r>
        <w:rPr>
          <w:spacing w:val="-13"/>
          <w:w w:val="105"/>
          <w:sz w:val="17"/>
        </w:rPr>
        <w:t> </w:t>
      </w:r>
      <w:r>
        <w:rPr>
          <w:i/>
          <w:w w:val="105"/>
          <w:sz w:val="17"/>
        </w:rPr>
        <w:t>et.</w:t>
      </w:r>
      <w:r>
        <w:rPr>
          <w:i/>
          <w:spacing w:val="-14"/>
          <w:w w:val="105"/>
          <w:sz w:val="17"/>
        </w:rPr>
        <w:t> </w:t>
      </w:r>
      <w:r>
        <w:rPr>
          <w:i/>
          <w:w w:val="105"/>
          <w:sz w:val="17"/>
        </w:rPr>
        <w:t>al</w:t>
      </w:r>
      <w:r>
        <w:rPr>
          <w:w w:val="105"/>
          <w:sz w:val="17"/>
        </w:rPr>
        <w:t>.,</w:t>
      </w:r>
      <w:r>
        <w:rPr>
          <w:spacing w:val="-13"/>
          <w:w w:val="105"/>
          <w:sz w:val="17"/>
        </w:rPr>
        <w:t> </w:t>
      </w:r>
      <w:r>
        <w:rPr>
          <w:w w:val="105"/>
          <w:sz w:val="17"/>
        </w:rPr>
        <w:t>2013).</w:t>
      </w:r>
      <w:r>
        <w:rPr>
          <w:spacing w:val="-13"/>
          <w:w w:val="105"/>
          <w:sz w:val="17"/>
        </w:rPr>
        <w:t> </w:t>
      </w:r>
      <w:r>
        <w:rPr>
          <w:w w:val="105"/>
          <w:sz w:val="17"/>
        </w:rPr>
        <w:t>Como</w:t>
      </w:r>
      <w:r>
        <w:rPr>
          <w:spacing w:val="-13"/>
          <w:w w:val="105"/>
          <w:sz w:val="17"/>
        </w:rPr>
        <w:t> </w:t>
      </w:r>
      <w:r>
        <w:rPr>
          <w:w w:val="105"/>
          <w:sz w:val="17"/>
        </w:rPr>
        <w:t>ensayos</w:t>
      </w:r>
      <w:r>
        <w:rPr>
          <w:spacing w:val="-13"/>
          <w:w w:val="105"/>
          <w:sz w:val="17"/>
        </w:rPr>
        <w:t> </w:t>
      </w:r>
      <w:r>
        <w:rPr>
          <w:w w:val="105"/>
          <w:sz w:val="17"/>
        </w:rPr>
        <w:t>control</w:t>
      </w:r>
      <w:r>
        <w:rPr>
          <w:spacing w:val="-13"/>
          <w:w w:val="105"/>
          <w:sz w:val="17"/>
        </w:rPr>
        <w:t> </w:t>
      </w:r>
      <w:r>
        <w:rPr>
          <w:w w:val="105"/>
          <w:sz w:val="17"/>
        </w:rPr>
        <w:t>se</w:t>
      </w:r>
      <w:r>
        <w:rPr>
          <w:spacing w:val="-13"/>
          <w:w w:val="105"/>
          <w:sz w:val="17"/>
        </w:rPr>
        <w:t> </w:t>
      </w:r>
      <w:r>
        <w:rPr>
          <w:w w:val="105"/>
          <w:sz w:val="17"/>
        </w:rPr>
        <w:t>realizó</w:t>
      </w:r>
      <w:r>
        <w:rPr>
          <w:spacing w:val="-13"/>
          <w:w w:val="105"/>
          <w:sz w:val="17"/>
        </w:rPr>
        <w:t> </w:t>
      </w:r>
      <w:r>
        <w:rPr>
          <w:w w:val="105"/>
          <w:sz w:val="17"/>
        </w:rPr>
        <w:t>la</w:t>
      </w:r>
      <w:r>
        <w:rPr>
          <w:spacing w:val="-13"/>
          <w:w w:val="105"/>
          <w:sz w:val="17"/>
        </w:rPr>
        <w:t> </w:t>
      </w:r>
      <w:r>
        <w:rPr>
          <w:w w:val="105"/>
          <w:sz w:val="17"/>
        </w:rPr>
        <w:t>prueba</w:t>
      </w:r>
      <w:r>
        <w:rPr>
          <w:spacing w:val="-13"/>
          <w:w w:val="105"/>
          <w:sz w:val="17"/>
        </w:rPr>
        <w:t> </w:t>
      </w:r>
      <w:r>
        <w:rPr>
          <w:w w:val="105"/>
          <w:sz w:val="17"/>
        </w:rPr>
        <w:t>de</w:t>
      </w:r>
      <w:r>
        <w:rPr>
          <w:spacing w:val="-13"/>
          <w:w w:val="105"/>
          <w:sz w:val="17"/>
        </w:rPr>
        <w:t> </w:t>
      </w:r>
      <w:r>
        <w:rPr>
          <w:w w:val="105"/>
          <w:sz w:val="17"/>
        </w:rPr>
        <w:t>cultivar</w:t>
      </w:r>
      <w:r>
        <w:rPr>
          <w:spacing w:val="-13"/>
          <w:w w:val="105"/>
          <w:sz w:val="17"/>
        </w:rPr>
        <w:t> </w:t>
      </w:r>
      <w:r>
        <w:rPr>
          <w:w w:val="105"/>
          <w:sz w:val="17"/>
        </w:rPr>
        <w:t>solos</w:t>
      </w:r>
      <w:r>
        <w:rPr>
          <w:spacing w:val="-12"/>
          <w:w w:val="105"/>
          <w:sz w:val="17"/>
        </w:rPr>
        <w:t> </w:t>
      </w:r>
      <w:r>
        <w:rPr>
          <w:w w:val="105"/>
          <w:sz w:val="17"/>
        </w:rPr>
        <w:t>los</w:t>
      </w:r>
    </w:p>
    <w:p>
      <w:pPr>
        <w:pStyle w:val="BodyText"/>
        <w:spacing w:before="7"/>
        <w:rPr>
          <w:rFonts w:ascii="Times New Roman"/>
          <w:sz w:val="10"/>
        </w:rPr>
      </w:pPr>
    </w:p>
    <w:p>
      <w:pPr>
        <w:pStyle w:val="ListParagraph"/>
        <w:numPr>
          <w:ilvl w:val="0"/>
          <w:numId w:val="22"/>
        </w:numPr>
        <w:tabs>
          <w:tab w:pos="1444" w:val="left" w:leader="none"/>
          <w:tab w:pos="1445" w:val="left" w:leader="none"/>
        </w:tabs>
        <w:spacing w:line="240" w:lineRule="auto" w:before="80" w:after="0"/>
        <w:ind w:left="1444" w:right="0" w:hanging="551"/>
        <w:jc w:val="left"/>
        <w:rPr>
          <w:sz w:val="17"/>
        </w:rPr>
      </w:pPr>
      <w:r>
        <w:rPr>
          <w:w w:val="105"/>
          <w:sz w:val="17"/>
        </w:rPr>
        <w:t>aislados</w:t>
      </w:r>
      <w:r>
        <w:rPr>
          <w:spacing w:val="-12"/>
          <w:w w:val="105"/>
          <w:sz w:val="17"/>
        </w:rPr>
        <w:t> </w:t>
      </w:r>
      <w:r>
        <w:rPr>
          <w:w w:val="105"/>
          <w:sz w:val="17"/>
        </w:rPr>
        <w:t>heterotálicos</w:t>
      </w:r>
      <w:r>
        <w:rPr>
          <w:spacing w:val="-12"/>
          <w:w w:val="105"/>
          <w:sz w:val="17"/>
        </w:rPr>
        <w:t> </w:t>
      </w:r>
      <w:r>
        <w:rPr>
          <w:w w:val="105"/>
          <w:sz w:val="17"/>
        </w:rPr>
        <w:t>y</w:t>
      </w:r>
      <w:r>
        <w:rPr>
          <w:spacing w:val="-12"/>
          <w:w w:val="105"/>
          <w:sz w:val="17"/>
        </w:rPr>
        <w:t> </w:t>
      </w:r>
      <w:r>
        <w:rPr>
          <w:w w:val="105"/>
          <w:sz w:val="17"/>
        </w:rPr>
        <w:t>el</w:t>
      </w:r>
      <w:r>
        <w:rPr>
          <w:spacing w:val="-12"/>
          <w:w w:val="105"/>
          <w:sz w:val="17"/>
        </w:rPr>
        <w:t> </w:t>
      </w:r>
      <w:r>
        <w:rPr>
          <w:w w:val="105"/>
          <w:sz w:val="17"/>
        </w:rPr>
        <w:t>enfrentamiento</w:t>
      </w:r>
      <w:r>
        <w:rPr>
          <w:spacing w:val="-12"/>
          <w:w w:val="105"/>
          <w:sz w:val="17"/>
        </w:rPr>
        <w:t> </w:t>
      </w:r>
      <w:r>
        <w:rPr>
          <w:w w:val="105"/>
          <w:sz w:val="17"/>
        </w:rPr>
        <w:t>entre</w:t>
      </w:r>
      <w:r>
        <w:rPr>
          <w:spacing w:val="-12"/>
          <w:w w:val="105"/>
          <w:sz w:val="17"/>
        </w:rPr>
        <w:t> </w:t>
      </w:r>
      <w:r>
        <w:rPr>
          <w:w w:val="105"/>
          <w:sz w:val="17"/>
        </w:rPr>
        <w:t>los</w:t>
      </w:r>
      <w:r>
        <w:rPr>
          <w:spacing w:val="-12"/>
          <w:w w:val="105"/>
          <w:sz w:val="17"/>
        </w:rPr>
        <w:t> </w:t>
      </w:r>
      <w:r>
        <w:rPr>
          <w:w w:val="105"/>
          <w:sz w:val="17"/>
        </w:rPr>
        <w:t>aislados</w:t>
      </w:r>
      <w:r>
        <w:rPr>
          <w:spacing w:val="-12"/>
          <w:w w:val="105"/>
          <w:sz w:val="17"/>
        </w:rPr>
        <w:t> </w:t>
      </w:r>
      <w:r>
        <w:rPr>
          <w:w w:val="105"/>
          <w:sz w:val="17"/>
        </w:rPr>
        <w:t>de</w:t>
      </w:r>
      <w:r>
        <w:rPr>
          <w:spacing w:val="-12"/>
          <w:w w:val="105"/>
          <w:sz w:val="17"/>
        </w:rPr>
        <w:t> </w:t>
      </w:r>
      <w:r>
        <w:rPr>
          <w:w w:val="105"/>
          <w:sz w:val="17"/>
        </w:rPr>
        <w:t>referencia</w:t>
      </w:r>
      <w:r>
        <w:rPr>
          <w:spacing w:val="-12"/>
          <w:w w:val="105"/>
          <w:sz w:val="17"/>
        </w:rPr>
        <w:t> </w:t>
      </w:r>
      <w:r>
        <w:rPr>
          <w:w w:val="105"/>
          <w:sz w:val="17"/>
        </w:rPr>
        <w:t>A1</w:t>
      </w:r>
      <w:r>
        <w:rPr>
          <w:spacing w:val="-12"/>
          <w:w w:val="105"/>
          <w:sz w:val="17"/>
        </w:rPr>
        <w:t> </w:t>
      </w:r>
      <w:r>
        <w:rPr>
          <w:w w:val="105"/>
          <w:sz w:val="17"/>
        </w:rPr>
        <w:t>y</w:t>
      </w:r>
      <w:r>
        <w:rPr>
          <w:spacing w:val="-12"/>
          <w:w w:val="105"/>
          <w:sz w:val="17"/>
        </w:rPr>
        <w:t> </w:t>
      </w:r>
      <w:r>
        <w:rPr>
          <w:w w:val="105"/>
          <w:sz w:val="17"/>
        </w:rPr>
        <w:t>A2.</w:t>
      </w:r>
    </w:p>
    <w:p>
      <w:pPr>
        <w:pStyle w:val="BodyText"/>
        <w:spacing w:before="6"/>
        <w:rPr>
          <w:rFonts w:ascii="Times New Roman"/>
          <w:sz w:val="17"/>
        </w:rPr>
      </w:pPr>
    </w:p>
    <w:p>
      <w:pPr>
        <w:pStyle w:val="ListParagraph"/>
        <w:numPr>
          <w:ilvl w:val="0"/>
          <w:numId w:val="22"/>
        </w:numPr>
        <w:tabs>
          <w:tab w:pos="1187" w:val="left" w:leader="none"/>
        </w:tabs>
        <w:spacing w:line="240" w:lineRule="auto" w:before="0" w:after="0"/>
        <w:ind w:left="1186" w:right="0" w:hanging="293"/>
        <w:jc w:val="left"/>
        <w:rPr>
          <w:rFonts w:ascii="Cambria"/>
          <w:sz w:val="17"/>
        </w:rPr>
      </w:pPr>
    </w:p>
    <w:p>
      <w:pPr>
        <w:pStyle w:val="BodyText"/>
        <w:spacing w:before="4"/>
        <w:rPr>
          <w:rFonts w:ascii="Cambria"/>
          <w:sz w:val="10"/>
        </w:rPr>
      </w:pPr>
    </w:p>
    <w:p>
      <w:pPr>
        <w:pStyle w:val="ListParagraph"/>
        <w:numPr>
          <w:ilvl w:val="0"/>
          <w:numId w:val="22"/>
        </w:numPr>
        <w:tabs>
          <w:tab w:pos="1444" w:val="left" w:leader="none"/>
          <w:tab w:pos="1445" w:val="left" w:leader="none"/>
        </w:tabs>
        <w:spacing w:line="240" w:lineRule="auto" w:before="81" w:after="0"/>
        <w:ind w:left="1444" w:right="0" w:hanging="551"/>
        <w:jc w:val="left"/>
        <w:rPr>
          <w:b/>
          <w:sz w:val="17"/>
        </w:rPr>
      </w:pPr>
      <w:r>
        <w:rPr>
          <w:b/>
          <w:w w:val="105"/>
          <w:sz w:val="17"/>
        </w:rPr>
        <w:t>Enfrentamientos</w:t>
      </w:r>
      <w:r>
        <w:rPr>
          <w:b/>
          <w:spacing w:val="-17"/>
          <w:w w:val="105"/>
          <w:sz w:val="17"/>
        </w:rPr>
        <w:t> </w:t>
      </w:r>
      <w:r>
        <w:rPr>
          <w:b/>
          <w:w w:val="105"/>
          <w:sz w:val="17"/>
        </w:rPr>
        <w:t>para</w:t>
      </w:r>
      <w:r>
        <w:rPr>
          <w:b/>
          <w:spacing w:val="-17"/>
          <w:w w:val="105"/>
          <w:sz w:val="17"/>
        </w:rPr>
        <w:t> </w:t>
      </w:r>
      <w:r>
        <w:rPr>
          <w:b/>
          <w:w w:val="105"/>
          <w:sz w:val="17"/>
        </w:rPr>
        <w:t>la</w:t>
      </w:r>
      <w:r>
        <w:rPr>
          <w:b/>
          <w:spacing w:val="-17"/>
          <w:w w:val="105"/>
          <w:sz w:val="17"/>
        </w:rPr>
        <w:t> </w:t>
      </w:r>
      <w:r>
        <w:rPr>
          <w:b/>
          <w:w w:val="105"/>
          <w:sz w:val="17"/>
        </w:rPr>
        <w:t>producción</w:t>
      </w:r>
      <w:r>
        <w:rPr>
          <w:b/>
          <w:spacing w:val="-17"/>
          <w:w w:val="105"/>
          <w:sz w:val="17"/>
        </w:rPr>
        <w:t> </w:t>
      </w:r>
      <w:r>
        <w:rPr>
          <w:b/>
          <w:w w:val="105"/>
          <w:sz w:val="17"/>
        </w:rPr>
        <w:t>de</w:t>
      </w:r>
      <w:r>
        <w:rPr>
          <w:b/>
          <w:spacing w:val="-17"/>
          <w:w w:val="105"/>
          <w:sz w:val="17"/>
        </w:rPr>
        <w:t> </w:t>
      </w:r>
      <w:r>
        <w:rPr>
          <w:b/>
          <w:w w:val="105"/>
          <w:sz w:val="17"/>
        </w:rPr>
        <w:t>oosporas</w:t>
      </w:r>
    </w:p>
    <w:p>
      <w:pPr>
        <w:pStyle w:val="BodyText"/>
        <w:spacing w:before="7"/>
        <w:rPr>
          <w:rFonts w:ascii="Times New Roman"/>
          <w:b/>
          <w:sz w:val="10"/>
        </w:rPr>
      </w:pPr>
    </w:p>
    <w:p>
      <w:pPr>
        <w:pStyle w:val="ListParagraph"/>
        <w:numPr>
          <w:ilvl w:val="0"/>
          <w:numId w:val="22"/>
        </w:numPr>
        <w:tabs>
          <w:tab w:pos="1444" w:val="left" w:leader="none"/>
          <w:tab w:pos="1445" w:val="left" w:leader="none"/>
        </w:tabs>
        <w:spacing w:line="240" w:lineRule="auto" w:before="80" w:after="0"/>
        <w:ind w:left="1444" w:right="0" w:hanging="551"/>
        <w:jc w:val="left"/>
        <w:rPr>
          <w:sz w:val="17"/>
        </w:rPr>
      </w:pPr>
      <w:r>
        <w:rPr>
          <w:w w:val="105"/>
          <w:sz w:val="17"/>
        </w:rPr>
        <w:t>Los</w:t>
      </w:r>
      <w:r>
        <w:rPr>
          <w:spacing w:val="-9"/>
          <w:w w:val="105"/>
          <w:sz w:val="17"/>
        </w:rPr>
        <w:t> </w:t>
      </w:r>
      <w:r>
        <w:rPr>
          <w:w w:val="105"/>
          <w:sz w:val="17"/>
        </w:rPr>
        <w:t>enfrentamientos</w:t>
      </w:r>
      <w:r>
        <w:rPr>
          <w:spacing w:val="-9"/>
          <w:w w:val="105"/>
          <w:sz w:val="17"/>
        </w:rPr>
        <w:t> </w:t>
      </w:r>
      <w:r>
        <w:rPr>
          <w:w w:val="105"/>
          <w:sz w:val="17"/>
        </w:rPr>
        <w:t>se</w:t>
      </w:r>
      <w:r>
        <w:rPr>
          <w:spacing w:val="-9"/>
          <w:w w:val="105"/>
          <w:sz w:val="17"/>
        </w:rPr>
        <w:t> </w:t>
      </w:r>
      <w:r>
        <w:rPr>
          <w:w w:val="105"/>
          <w:sz w:val="17"/>
        </w:rPr>
        <w:t>realizaron</w:t>
      </w:r>
      <w:r>
        <w:rPr>
          <w:spacing w:val="-9"/>
          <w:w w:val="105"/>
          <w:sz w:val="17"/>
        </w:rPr>
        <w:t> </w:t>
      </w:r>
      <w:r>
        <w:rPr>
          <w:w w:val="105"/>
          <w:sz w:val="17"/>
        </w:rPr>
        <w:t>bajo</w:t>
      </w:r>
      <w:r>
        <w:rPr>
          <w:spacing w:val="-9"/>
          <w:w w:val="105"/>
          <w:sz w:val="17"/>
        </w:rPr>
        <w:t> </w:t>
      </w:r>
      <w:r>
        <w:rPr>
          <w:w w:val="105"/>
          <w:sz w:val="17"/>
        </w:rPr>
        <w:t>la</w:t>
      </w:r>
      <w:r>
        <w:rPr>
          <w:spacing w:val="-9"/>
          <w:w w:val="105"/>
          <w:sz w:val="17"/>
        </w:rPr>
        <w:t> </w:t>
      </w:r>
      <w:r>
        <w:rPr>
          <w:w w:val="105"/>
          <w:sz w:val="17"/>
        </w:rPr>
        <w:t>metodología</w:t>
      </w:r>
      <w:r>
        <w:rPr>
          <w:spacing w:val="-9"/>
          <w:w w:val="105"/>
          <w:sz w:val="17"/>
        </w:rPr>
        <w:t> </w:t>
      </w:r>
      <w:r>
        <w:rPr>
          <w:w w:val="105"/>
          <w:sz w:val="17"/>
        </w:rPr>
        <w:t>descrita</w:t>
      </w:r>
      <w:r>
        <w:rPr>
          <w:spacing w:val="-9"/>
          <w:w w:val="105"/>
          <w:sz w:val="17"/>
        </w:rPr>
        <w:t> </w:t>
      </w:r>
      <w:r>
        <w:rPr>
          <w:w w:val="105"/>
          <w:sz w:val="17"/>
        </w:rPr>
        <w:t>por</w:t>
      </w:r>
      <w:r>
        <w:rPr>
          <w:spacing w:val="-9"/>
          <w:w w:val="105"/>
          <w:sz w:val="17"/>
        </w:rPr>
        <w:t> </w:t>
      </w:r>
      <w:r>
        <w:rPr>
          <w:w w:val="105"/>
          <w:sz w:val="17"/>
        </w:rPr>
        <w:t>Erwin</w:t>
      </w:r>
      <w:r>
        <w:rPr>
          <w:spacing w:val="-9"/>
          <w:w w:val="105"/>
          <w:sz w:val="17"/>
        </w:rPr>
        <w:t> </w:t>
      </w:r>
      <w:r>
        <w:rPr>
          <w:w w:val="105"/>
          <w:sz w:val="17"/>
        </w:rPr>
        <w:t>y</w:t>
      </w:r>
      <w:r>
        <w:rPr>
          <w:spacing w:val="-9"/>
          <w:w w:val="105"/>
          <w:sz w:val="17"/>
        </w:rPr>
        <w:t> </w:t>
      </w:r>
      <w:r>
        <w:rPr>
          <w:w w:val="105"/>
          <w:sz w:val="17"/>
        </w:rPr>
        <w:t>Ribeiro</w:t>
      </w:r>
      <w:r>
        <w:rPr>
          <w:spacing w:val="-9"/>
          <w:w w:val="105"/>
          <w:sz w:val="17"/>
        </w:rPr>
        <w:t> </w:t>
      </w:r>
      <w:r>
        <w:rPr>
          <w:w w:val="105"/>
          <w:sz w:val="17"/>
        </w:rPr>
        <w:t>(1996).</w:t>
      </w:r>
    </w:p>
    <w:p>
      <w:pPr>
        <w:pStyle w:val="BodyText"/>
        <w:spacing w:before="7"/>
        <w:rPr>
          <w:rFonts w:ascii="Times New Roman"/>
          <w:sz w:val="10"/>
        </w:rPr>
      </w:pPr>
    </w:p>
    <w:p>
      <w:pPr>
        <w:pStyle w:val="ListParagraph"/>
        <w:numPr>
          <w:ilvl w:val="0"/>
          <w:numId w:val="22"/>
        </w:numPr>
        <w:tabs>
          <w:tab w:pos="1444" w:val="left" w:leader="none"/>
          <w:tab w:pos="1445" w:val="left" w:leader="none"/>
        </w:tabs>
        <w:spacing w:line="240" w:lineRule="auto" w:before="80" w:after="0"/>
        <w:ind w:left="1444" w:right="0" w:hanging="551"/>
        <w:jc w:val="left"/>
        <w:rPr>
          <w:i/>
          <w:sz w:val="17"/>
        </w:rPr>
      </w:pPr>
      <w:r>
        <w:rPr>
          <w:w w:val="105"/>
          <w:sz w:val="17"/>
        </w:rPr>
        <w:t>Discos</w:t>
      </w:r>
      <w:r>
        <w:rPr>
          <w:spacing w:val="30"/>
          <w:w w:val="105"/>
          <w:sz w:val="17"/>
        </w:rPr>
        <w:t> </w:t>
      </w:r>
      <w:r>
        <w:rPr>
          <w:w w:val="105"/>
          <w:sz w:val="17"/>
        </w:rPr>
        <w:t>de</w:t>
      </w:r>
      <w:r>
        <w:rPr>
          <w:spacing w:val="30"/>
          <w:w w:val="105"/>
          <w:sz w:val="17"/>
        </w:rPr>
        <w:t> </w:t>
      </w:r>
      <w:r>
        <w:rPr>
          <w:w w:val="105"/>
          <w:sz w:val="17"/>
        </w:rPr>
        <w:t>micelio</w:t>
      </w:r>
      <w:r>
        <w:rPr>
          <w:spacing w:val="30"/>
          <w:w w:val="105"/>
          <w:sz w:val="17"/>
        </w:rPr>
        <w:t> </w:t>
      </w:r>
      <w:r>
        <w:rPr>
          <w:w w:val="105"/>
          <w:sz w:val="17"/>
        </w:rPr>
        <w:t>(5</w:t>
      </w:r>
      <w:r>
        <w:rPr>
          <w:spacing w:val="30"/>
          <w:w w:val="105"/>
          <w:sz w:val="17"/>
        </w:rPr>
        <w:t> </w:t>
      </w:r>
      <w:r>
        <w:rPr>
          <w:w w:val="105"/>
          <w:sz w:val="17"/>
        </w:rPr>
        <w:t>mm</w:t>
      </w:r>
      <w:r>
        <w:rPr>
          <w:spacing w:val="30"/>
          <w:w w:val="105"/>
          <w:sz w:val="17"/>
        </w:rPr>
        <w:t> </w:t>
      </w:r>
      <w:r>
        <w:rPr>
          <w:w w:val="105"/>
          <w:sz w:val="17"/>
        </w:rPr>
        <w:t>de</w:t>
      </w:r>
      <w:r>
        <w:rPr>
          <w:spacing w:val="30"/>
          <w:w w:val="105"/>
          <w:sz w:val="17"/>
        </w:rPr>
        <w:t> </w:t>
      </w:r>
      <w:r>
        <w:rPr>
          <w:w w:val="105"/>
          <w:sz w:val="17"/>
        </w:rPr>
        <w:t>diámetro)</w:t>
      </w:r>
      <w:r>
        <w:rPr>
          <w:spacing w:val="30"/>
          <w:w w:val="105"/>
          <w:sz w:val="17"/>
        </w:rPr>
        <w:t> </w:t>
      </w:r>
      <w:r>
        <w:rPr>
          <w:w w:val="105"/>
          <w:sz w:val="17"/>
        </w:rPr>
        <w:t>de</w:t>
      </w:r>
      <w:r>
        <w:rPr>
          <w:spacing w:val="30"/>
          <w:w w:val="105"/>
          <w:sz w:val="17"/>
        </w:rPr>
        <w:t> </w:t>
      </w:r>
      <w:r>
        <w:rPr>
          <w:w w:val="105"/>
          <w:sz w:val="17"/>
        </w:rPr>
        <w:t>los</w:t>
      </w:r>
      <w:r>
        <w:rPr>
          <w:spacing w:val="30"/>
          <w:w w:val="105"/>
          <w:sz w:val="17"/>
        </w:rPr>
        <w:t> </w:t>
      </w:r>
      <w:r>
        <w:rPr>
          <w:w w:val="105"/>
          <w:sz w:val="17"/>
        </w:rPr>
        <w:t>aislamientos</w:t>
      </w:r>
      <w:r>
        <w:rPr>
          <w:spacing w:val="30"/>
          <w:w w:val="105"/>
          <w:sz w:val="17"/>
        </w:rPr>
        <w:t> </w:t>
      </w:r>
      <w:r>
        <w:rPr>
          <w:w w:val="105"/>
          <w:sz w:val="17"/>
        </w:rPr>
        <w:t>de</w:t>
      </w:r>
      <w:r>
        <w:rPr>
          <w:spacing w:val="30"/>
          <w:w w:val="105"/>
          <w:sz w:val="17"/>
        </w:rPr>
        <w:t> </w:t>
      </w:r>
      <w:r>
        <w:rPr>
          <w:i/>
          <w:w w:val="105"/>
          <w:sz w:val="17"/>
        </w:rPr>
        <w:t>Phytophthora</w:t>
      </w:r>
      <w:r>
        <w:rPr>
          <w:i/>
          <w:spacing w:val="21"/>
          <w:w w:val="105"/>
          <w:sz w:val="17"/>
        </w:rPr>
        <w:t> </w:t>
      </w:r>
      <w:r>
        <w:rPr>
          <w:i/>
          <w:w w:val="105"/>
          <w:sz w:val="17"/>
        </w:rPr>
        <w:t>infestans</w:t>
      </w:r>
    </w:p>
    <w:p>
      <w:pPr>
        <w:pStyle w:val="BodyText"/>
        <w:spacing w:before="7"/>
        <w:rPr>
          <w:rFonts w:ascii="Times New Roman"/>
          <w:i/>
          <w:sz w:val="10"/>
        </w:rPr>
      </w:pPr>
    </w:p>
    <w:p>
      <w:pPr>
        <w:pStyle w:val="ListParagraph"/>
        <w:numPr>
          <w:ilvl w:val="0"/>
          <w:numId w:val="22"/>
        </w:numPr>
        <w:tabs>
          <w:tab w:pos="1444" w:val="left" w:leader="none"/>
          <w:tab w:pos="1445" w:val="left" w:leader="none"/>
        </w:tabs>
        <w:spacing w:line="240" w:lineRule="auto" w:before="80" w:after="0"/>
        <w:ind w:left="1444" w:right="0" w:hanging="551"/>
        <w:jc w:val="left"/>
        <w:rPr>
          <w:sz w:val="17"/>
        </w:rPr>
      </w:pPr>
      <w:r>
        <w:rPr>
          <w:w w:val="105"/>
          <w:sz w:val="17"/>
        </w:rPr>
        <w:t>(</w:t>
      </w:r>
      <w:r>
        <w:rPr>
          <w:b/>
          <w:w w:val="105"/>
          <w:sz w:val="17"/>
        </w:rPr>
        <w:t>Tabla</w:t>
      </w:r>
      <w:r>
        <w:rPr>
          <w:b/>
          <w:spacing w:val="-9"/>
          <w:w w:val="105"/>
          <w:sz w:val="17"/>
        </w:rPr>
        <w:t> </w:t>
      </w:r>
      <w:r>
        <w:rPr>
          <w:b/>
          <w:w w:val="105"/>
          <w:sz w:val="17"/>
        </w:rPr>
        <w:t>I</w:t>
      </w:r>
      <w:r>
        <w:rPr>
          <w:w w:val="105"/>
          <w:sz w:val="17"/>
        </w:rPr>
        <w:t>)</w:t>
      </w:r>
      <w:r>
        <w:rPr>
          <w:spacing w:val="-9"/>
          <w:w w:val="105"/>
          <w:sz w:val="17"/>
        </w:rPr>
        <w:t> </w:t>
      </w:r>
      <w:r>
        <w:rPr>
          <w:w w:val="105"/>
          <w:sz w:val="17"/>
        </w:rPr>
        <w:t>fueron</w:t>
      </w:r>
      <w:r>
        <w:rPr>
          <w:spacing w:val="-9"/>
          <w:w w:val="105"/>
          <w:sz w:val="17"/>
        </w:rPr>
        <w:t> </w:t>
      </w:r>
      <w:r>
        <w:rPr>
          <w:w w:val="105"/>
          <w:sz w:val="17"/>
        </w:rPr>
        <w:t>enfrentados</w:t>
      </w:r>
      <w:r>
        <w:rPr>
          <w:spacing w:val="-9"/>
          <w:w w:val="105"/>
          <w:sz w:val="17"/>
        </w:rPr>
        <w:t> </w:t>
      </w:r>
      <w:r>
        <w:rPr>
          <w:w w:val="105"/>
          <w:sz w:val="17"/>
        </w:rPr>
        <w:t>por</w:t>
      </w:r>
      <w:r>
        <w:rPr>
          <w:spacing w:val="-9"/>
          <w:w w:val="105"/>
          <w:sz w:val="17"/>
        </w:rPr>
        <w:t> </w:t>
      </w:r>
      <w:r>
        <w:rPr>
          <w:w w:val="105"/>
          <w:sz w:val="17"/>
        </w:rPr>
        <w:t>separado</w:t>
      </w:r>
      <w:r>
        <w:rPr>
          <w:spacing w:val="-9"/>
          <w:w w:val="105"/>
          <w:sz w:val="17"/>
        </w:rPr>
        <w:t> </w:t>
      </w:r>
      <w:r>
        <w:rPr>
          <w:w w:val="105"/>
          <w:sz w:val="17"/>
        </w:rPr>
        <w:t>con</w:t>
      </w:r>
      <w:r>
        <w:rPr>
          <w:spacing w:val="-9"/>
          <w:w w:val="105"/>
          <w:sz w:val="17"/>
        </w:rPr>
        <w:t> </w:t>
      </w:r>
      <w:r>
        <w:rPr>
          <w:w w:val="105"/>
          <w:sz w:val="17"/>
        </w:rPr>
        <w:t>discos</w:t>
      </w:r>
      <w:r>
        <w:rPr>
          <w:spacing w:val="-9"/>
          <w:w w:val="105"/>
          <w:sz w:val="17"/>
        </w:rPr>
        <w:t> </w:t>
      </w:r>
      <w:r>
        <w:rPr>
          <w:w w:val="105"/>
          <w:sz w:val="17"/>
        </w:rPr>
        <w:t>de</w:t>
      </w:r>
      <w:r>
        <w:rPr>
          <w:spacing w:val="-9"/>
          <w:w w:val="105"/>
          <w:sz w:val="17"/>
        </w:rPr>
        <w:t> </w:t>
      </w:r>
      <w:r>
        <w:rPr>
          <w:w w:val="105"/>
          <w:sz w:val="17"/>
        </w:rPr>
        <w:t>micelio</w:t>
      </w:r>
      <w:r>
        <w:rPr>
          <w:spacing w:val="-9"/>
          <w:w w:val="105"/>
          <w:sz w:val="17"/>
        </w:rPr>
        <w:t> </w:t>
      </w:r>
      <w:r>
        <w:rPr>
          <w:w w:val="105"/>
          <w:sz w:val="17"/>
        </w:rPr>
        <w:t>(5</w:t>
      </w:r>
      <w:r>
        <w:rPr>
          <w:spacing w:val="-9"/>
          <w:w w:val="105"/>
          <w:sz w:val="17"/>
        </w:rPr>
        <w:t> </w:t>
      </w:r>
      <w:r>
        <w:rPr>
          <w:w w:val="105"/>
          <w:sz w:val="17"/>
        </w:rPr>
        <w:t>mm</w:t>
      </w:r>
      <w:r>
        <w:rPr>
          <w:spacing w:val="-9"/>
          <w:w w:val="105"/>
          <w:sz w:val="17"/>
        </w:rPr>
        <w:t> </w:t>
      </w:r>
      <w:r>
        <w:rPr>
          <w:w w:val="105"/>
          <w:sz w:val="17"/>
        </w:rPr>
        <w:t>de</w:t>
      </w:r>
      <w:r>
        <w:rPr>
          <w:spacing w:val="-9"/>
          <w:w w:val="105"/>
          <w:sz w:val="17"/>
        </w:rPr>
        <w:t> </w:t>
      </w:r>
      <w:r>
        <w:rPr>
          <w:w w:val="105"/>
          <w:sz w:val="17"/>
        </w:rPr>
        <w:t>diámetro)</w:t>
      </w:r>
      <w:r>
        <w:rPr>
          <w:spacing w:val="-9"/>
          <w:w w:val="105"/>
          <w:sz w:val="17"/>
        </w:rPr>
        <w:t> </w:t>
      </w:r>
      <w:r>
        <w:rPr>
          <w:w w:val="105"/>
          <w:sz w:val="17"/>
        </w:rPr>
        <w:t>de</w:t>
      </w:r>
      <w:r>
        <w:rPr>
          <w:spacing w:val="-9"/>
          <w:w w:val="105"/>
          <w:sz w:val="17"/>
        </w:rPr>
        <w:t> </w:t>
      </w:r>
      <w:r>
        <w:rPr>
          <w:w w:val="105"/>
          <w:sz w:val="17"/>
        </w:rPr>
        <w:t>los</w:t>
      </w:r>
    </w:p>
    <w:p>
      <w:pPr>
        <w:pStyle w:val="BodyText"/>
        <w:spacing w:before="7"/>
        <w:rPr>
          <w:rFonts w:ascii="Times New Roman"/>
          <w:sz w:val="10"/>
        </w:rPr>
      </w:pPr>
    </w:p>
    <w:p>
      <w:pPr>
        <w:pStyle w:val="ListParagraph"/>
        <w:numPr>
          <w:ilvl w:val="0"/>
          <w:numId w:val="22"/>
        </w:numPr>
        <w:tabs>
          <w:tab w:pos="1444" w:val="left" w:leader="none"/>
          <w:tab w:pos="1445" w:val="left" w:leader="none"/>
        </w:tabs>
        <w:spacing w:line="240" w:lineRule="auto" w:before="80" w:after="0"/>
        <w:ind w:left="1444" w:right="0" w:hanging="551"/>
        <w:jc w:val="left"/>
        <w:rPr>
          <w:sz w:val="17"/>
        </w:rPr>
      </w:pPr>
      <w:r>
        <w:rPr>
          <w:w w:val="105"/>
          <w:sz w:val="17"/>
        </w:rPr>
        <w:t>aislados</w:t>
      </w:r>
      <w:r>
        <w:rPr>
          <w:spacing w:val="-4"/>
          <w:w w:val="105"/>
          <w:sz w:val="17"/>
        </w:rPr>
        <w:t> </w:t>
      </w:r>
      <w:r>
        <w:rPr>
          <w:w w:val="105"/>
          <w:sz w:val="17"/>
        </w:rPr>
        <w:t>de</w:t>
      </w:r>
      <w:r>
        <w:rPr>
          <w:spacing w:val="-4"/>
          <w:w w:val="105"/>
          <w:sz w:val="17"/>
        </w:rPr>
        <w:t> </w:t>
      </w:r>
      <w:r>
        <w:rPr>
          <w:w w:val="105"/>
          <w:sz w:val="17"/>
        </w:rPr>
        <w:t>referencia</w:t>
      </w:r>
      <w:r>
        <w:rPr>
          <w:spacing w:val="-4"/>
          <w:w w:val="105"/>
          <w:sz w:val="17"/>
        </w:rPr>
        <w:t> </w:t>
      </w:r>
      <w:r>
        <w:rPr>
          <w:w w:val="105"/>
          <w:sz w:val="17"/>
        </w:rPr>
        <w:t>J104</w:t>
      </w:r>
      <w:r>
        <w:rPr>
          <w:spacing w:val="-4"/>
          <w:w w:val="105"/>
          <w:sz w:val="17"/>
        </w:rPr>
        <w:t> </w:t>
      </w:r>
      <w:r>
        <w:rPr>
          <w:w w:val="105"/>
          <w:sz w:val="17"/>
        </w:rPr>
        <w:t>(A1)</w:t>
      </w:r>
      <w:r>
        <w:rPr>
          <w:spacing w:val="-4"/>
          <w:w w:val="105"/>
          <w:sz w:val="17"/>
        </w:rPr>
        <w:t> </w:t>
      </w:r>
      <w:r>
        <w:rPr>
          <w:w w:val="105"/>
          <w:sz w:val="17"/>
        </w:rPr>
        <w:t>y</w:t>
      </w:r>
      <w:r>
        <w:rPr>
          <w:spacing w:val="-4"/>
          <w:w w:val="105"/>
          <w:sz w:val="17"/>
        </w:rPr>
        <w:t> </w:t>
      </w:r>
      <w:r>
        <w:rPr>
          <w:w w:val="105"/>
          <w:sz w:val="17"/>
        </w:rPr>
        <w:t>J204</w:t>
      </w:r>
      <w:r>
        <w:rPr>
          <w:spacing w:val="-4"/>
          <w:w w:val="105"/>
          <w:sz w:val="17"/>
        </w:rPr>
        <w:t> </w:t>
      </w:r>
      <w:r>
        <w:rPr>
          <w:w w:val="105"/>
          <w:sz w:val="17"/>
        </w:rPr>
        <w:t>(A2)</w:t>
      </w:r>
      <w:r>
        <w:rPr>
          <w:spacing w:val="-4"/>
          <w:w w:val="105"/>
          <w:sz w:val="17"/>
        </w:rPr>
        <w:t> </w:t>
      </w:r>
      <w:r>
        <w:rPr>
          <w:w w:val="105"/>
          <w:sz w:val="17"/>
        </w:rPr>
        <w:t>y</w:t>
      </w:r>
      <w:r>
        <w:rPr>
          <w:spacing w:val="-4"/>
          <w:w w:val="105"/>
          <w:sz w:val="17"/>
        </w:rPr>
        <w:t> </w:t>
      </w:r>
      <w:r>
        <w:rPr>
          <w:w w:val="105"/>
          <w:sz w:val="17"/>
        </w:rPr>
        <w:t>de</w:t>
      </w:r>
      <w:r>
        <w:rPr>
          <w:spacing w:val="-4"/>
          <w:w w:val="105"/>
          <w:sz w:val="17"/>
        </w:rPr>
        <w:t> </w:t>
      </w:r>
      <w:r>
        <w:rPr>
          <w:w w:val="105"/>
          <w:sz w:val="17"/>
        </w:rPr>
        <w:t>los</w:t>
      </w:r>
      <w:r>
        <w:rPr>
          <w:spacing w:val="-4"/>
          <w:w w:val="105"/>
          <w:sz w:val="17"/>
        </w:rPr>
        <w:t> </w:t>
      </w:r>
      <w:r>
        <w:rPr>
          <w:w w:val="105"/>
          <w:sz w:val="17"/>
        </w:rPr>
        <w:t>aislamientos</w:t>
      </w:r>
      <w:r>
        <w:rPr>
          <w:spacing w:val="-4"/>
          <w:w w:val="105"/>
          <w:sz w:val="17"/>
        </w:rPr>
        <w:t> </w:t>
      </w:r>
      <w:r>
        <w:rPr>
          <w:w w:val="105"/>
          <w:sz w:val="17"/>
        </w:rPr>
        <w:t>BV2</w:t>
      </w:r>
      <w:r>
        <w:rPr>
          <w:spacing w:val="-4"/>
          <w:w w:val="105"/>
          <w:sz w:val="17"/>
        </w:rPr>
        <w:t> </w:t>
      </w:r>
      <w:r>
        <w:rPr>
          <w:w w:val="105"/>
          <w:sz w:val="17"/>
        </w:rPr>
        <w:t>(A1)</w:t>
      </w:r>
      <w:r>
        <w:rPr>
          <w:spacing w:val="-4"/>
          <w:w w:val="105"/>
          <w:sz w:val="17"/>
        </w:rPr>
        <w:t> </w:t>
      </w:r>
      <w:r>
        <w:rPr>
          <w:w w:val="105"/>
          <w:sz w:val="17"/>
        </w:rPr>
        <w:t>y</w:t>
      </w:r>
      <w:r>
        <w:rPr>
          <w:spacing w:val="-4"/>
          <w:w w:val="105"/>
          <w:sz w:val="17"/>
        </w:rPr>
        <w:t> </w:t>
      </w:r>
      <w:r>
        <w:rPr>
          <w:w w:val="105"/>
          <w:sz w:val="17"/>
        </w:rPr>
        <w:t>LPT5</w:t>
      </w:r>
      <w:r>
        <w:rPr>
          <w:spacing w:val="-4"/>
          <w:w w:val="105"/>
          <w:sz w:val="17"/>
        </w:rPr>
        <w:t> </w:t>
      </w:r>
      <w:r>
        <w:rPr>
          <w:w w:val="105"/>
          <w:sz w:val="17"/>
        </w:rPr>
        <w:t>(A2)</w:t>
      </w:r>
    </w:p>
    <w:p>
      <w:pPr>
        <w:pStyle w:val="BodyText"/>
        <w:spacing w:before="7"/>
        <w:rPr>
          <w:rFonts w:ascii="Times New Roman"/>
          <w:sz w:val="10"/>
        </w:rPr>
      </w:pPr>
    </w:p>
    <w:p>
      <w:pPr>
        <w:pStyle w:val="ListParagraph"/>
        <w:numPr>
          <w:ilvl w:val="0"/>
          <w:numId w:val="22"/>
        </w:numPr>
        <w:tabs>
          <w:tab w:pos="1444" w:val="left" w:leader="none"/>
          <w:tab w:pos="1445" w:val="left" w:leader="none"/>
        </w:tabs>
        <w:spacing w:line="240" w:lineRule="auto" w:before="80" w:after="0"/>
        <w:ind w:left="1444" w:right="0" w:hanging="551"/>
        <w:jc w:val="left"/>
        <w:rPr>
          <w:sz w:val="17"/>
        </w:rPr>
      </w:pPr>
      <w:r>
        <w:rPr>
          <w:w w:val="105"/>
          <w:sz w:val="17"/>
        </w:rPr>
        <w:t>en</w:t>
      </w:r>
      <w:r>
        <w:rPr>
          <w:spacing w:val="-4"/>
          <w:w w:val="105"/>
          <w:sz w:val="17"/>
        </w:rPr>
        <w:t> </w:t>
      </w:r>
      <w:r>
        <w:rPr>
          <w:w w:val="105"/>
          <w:sz w:val="17"/>
        </w:rPr>
        <w:t>cajas</w:t>
      </w:r>
      <w:r>
        <w:rPr>
          <w:spacing w:val="-4"/>
          <w:w w:val="105"/>
          <w:sz w:val="17"/>
        </w:rPr>
        <w:t> </w:t>
      </w:r>
      <w:r>
        <w:rPr>
          <w:w w:val="105"/>
          <w:sz w:val="17"/>
        </w:rPr>
        <w:t>Petri</w:t>
      </w:r>
      <w:r>
        <w:rPr>
          <w:spacing w:val="-4"/>
          <w:w w:val="105"/>
          <w:sz w:val="17"/>
        </w:rPr>
        <w:t> </w:t>
      </w:r>
      <w:r>
        <w:rPr>
          <w:w w:val="105"/>
          <w:sz w:val="17"/>
        </w:rPr>
        <w:t>(9</w:t>
      </w:r>
      <w:r>
        <w:rPr>
          <w:spacing w:val="-4"/>
          <w:w w:val="105"/>
          <w:sz w:val="17"/>
        </w:rPr>
        <w:t> </w:t>
      </w:r>
      <w:r>
        <w:rPr>
          <w:w w:val="105"/>
          <w:sz w:val="17"/>
        </w:rPr>
        <w:t>cm</w:t>
      </w:r>
      <w:r>
        <w:rPr>
          <w:spacing w:val="-4"/>
          <w:w w:val="105"/>
          <w:sz w:val="17"/>
        </w:rPr>
        <w:t> </w:t>
      </w:r>
      <w:r>
        <w:rPr>
          <w:w w:val="105"/>
          <w:sz w:val="17"/>
        </w:rPr>
        <w:t>de</w:t>
      </w:r>
      <w:r>
        <w:rPr>
          <w:spacing w:val="-4"/>
          <w:w w:val="105"/>
          <w:sz w:val="17"/>
        </w:rPr>
        <w:t> </w:t>
      </w:r>
      <w:r>
        <w:rPr>
          <w:w w:val="105"/>
          <w:sz w:val="17"/>
        </w:rPr>
        <w:t>diámetro)</w:t>
      </w:r>
      <w:r>
        <w:rPr>
          <w:spacing w:val="-4"/>
          <w:w w:val="105"/>
          <w:sz w:val="17"/>
        </w:rPr>
        <w:t> </w:t>
      </w:r>
      <w:r>
        <w:rPr>
          <w:w w:val="105"/>
          <w:sz w:val="17"/>
        </w:rPr>
        <w:t>con</w:t>
      </w:r>
      <w:r>
        <w:rPr>
          <w:spacing w:val="-4"/>
          <w:w w:val="105"/>
          <w:sz w:val="17"/>
        </w:rPr>
        <w:t> </w:t>
      </w:r>
      <w:r>
        <w:rPr>
          <w:w w:val="105"/>
          <w:sz w:val="17"/>
        </w:rPr>
        <w:t>medio</w:t>
      </w:r>
      <w:r>
        <w:rPr>
          <w:spacing w:val="-4"/>
          <w:w w:val="105"/>
          <w:sz w:val="17"/>
        </w:rPr>
        <w:t> </w:t>
      </w:r>
      <w:r>
        <w:rPr>
          <w:w w:val="105"/>
          <w:sz w:val="17"/>
        </w:rPr>
        <w:t>de</w:t>
      </w:r>
      <w:r>
        <w:rPr>
          <w:spacing w:val="-4"/>
          <w:w w:val="105"/>
          <w:sz w:val="17"/>
        </w:rPr>
        <w:t> </w:t>
      </w:r>
      <w:r>
        <w:rPr>
          <w:w w:val="105"/>
          <w:sz w:val="17"/>
        </w:rPr>
        <w:t>cultivo</w:t>
      </w:r>
      <w:r>
        <w:rPr>
          <w:spacing w:val="-4"/>
          <w:w w:val="105"/>
          <w:sz w:val="17"/>
        </w:rPr>
        <w:t> </w:t>
      </w:r>
      <w:r>
        <w:rPr>
          <w:w w:val="105"/>
          <w:sz w:val="17"/>
        </w:rPr>
        <w:t>agar-jugo</w:t>
      </w:r>
      <w:r>
        <w:rPr>
          <w:spacing w:val="-4"/>
          <w:w w:val="105"/>
          <w:sz w:val="17"/>
        </w:rPr>
        <w:t> </w:t>
      </w:r>
      <w:r>
        <w:rPr>
          <w:w w:val="105"/>
          <w:sz w:val="17"/>
        </w:rPr>
        <w:t>V8</w:t>
      </w:r>
      <w:r>
        <w:rPr>
          <w:spacing w:val="-4"/>
          <w:w w:val="105"/>
          <w:sz w:val="17"/>
        </w:rPr>
        <w:t> </w:t>
      </w:r>
      <w:r>
        <w:rPr>
          <w:w w:val="105"/>
          <w:sz w:val="17"/>
        </w:rPr>
        <w:t>con</w:t>
      </w:r>
      <w:r>
        <w:rPr>
          <w:spacing w:val="-4"/>
          <w:w w:val="105"/>
          <w:sz w:val="17"/>
        </w:rPr>
        <w:t> </w:t>
      </w:r>
      <w:r>
        <w:rPr>
          <w:w w:val="105"/>
          <w:sz w:val="17"/>
        </w:rPr>
        <w:t>centeno.</w:t>
      </w:r>
      <w:r>
        <w:rPr>
          <w:spacing w:val="-4"/>
          <w:w w:val="105"/>
          <w:sz w:val="17"/>
        </w:rPr>
        <w:t> </w:t>
      </w:r>
      <w:r>
        <w:rPr>
          <w:w w:val="105"/>
          <w:sz w:val="17"/>
        </w:rPr>
        <w:t>Los</w:t>
      </w:r>
      <w:r>
        <w:rPr>
          <w:spacing w:val="-4"/>
          <w:w w:val="105"/>
          <w:sz w:val="17"/>
        </w:rPr>
        <w:t> </w:t>
      </w:r>
      <w:r>
        <w:rPr>
          <w:w w:val="105"/>
          <w:sz w:val="17"/>
        </w:rPr>
        <w:t>seis</w:t>
      </w:r>
    </w:p>
    <w:p>
      <w:pPr>
        <w:pStyle w:val="BodyText"/>
        <w:spacing w:before="7"/>
        <w:rPr>
          <w:rFonts w:ascii="Times New Roman"/>
          <w:sz w:val="10"/>
        </w:rPr>
      </w:pPr>
    </w:p>
    <w:p>
      <w:pPr>
        <w:pStyle w:val="ListParagraph"/>
        <w:numPr>
          <w:ilvl w:val="0"/>
          <w:numId w:val="22"/>
        </w:numPr>
        <w:tabs>
          <w:tab w:pos="1444" w:val="left" w:leader="none"/>
          <w:tab w:pos="1445" w:val="left" w:leader="none"/>
        </w:tabs>
        <w:spacing w:line="240" w:lineRule="auto" w:before="80" w:after="0"/>
        <w:ind w:left="1444" w:right="0" w:hanging="551"/>
        <w:jc w:val="left"/>
        <w:rPr>
          <w:sz w:val="17"/>
        </w:rPr>
      </w:pPr>
      <w:r>
        <w:rPr>
          <w:w w:val="105"/>
          <w:sz w:val="17"/>
        </w:rPr>
        <w:t>aislamientos</w:t>
      </w:r>
      <w:r>
        <w:rPr>
          <w:spacing w:val="-8"/>
          <w:w w:val="105"/>
          <w:sz w:val="17"/>
        </w:rPr>
        <w:t> </w:t>
      </w:r>
      <w:r>
        <w:rPr>
          <w:w w:val="105"/>
          <w:sz w:val="17"/>
        </w:rPr>
        <w:t>homotálicos</w:t>
      </w:r>
      <w:r>
        <w:rPr>
          <w:spacing w:val="-8"/>
          <w:w w:val="105"/>
          <w:sz w:val="17"/>
        </w:rPr>
        <w:t> </w:t>
      </w:r>
      <w:r>
        <w:rPr>
          <w:w w:val="105"/>
          <w:sz w:val="17"/>
        </w:rPr>
        <w:t>fueron</w:t>
      </w:r>
      <w:r>
        <w:rPr>
          <w:spacing w:val="-8"/>
          <w:w w:val="105"/>
          <w:sz w:val="17"/>
        </w:rPr>
        <w:t> </w:t>
      </w:r>
      <w:r>
        <w:rPr>
          <w:w w:val="105"/>
          <w:sz w:val="17"/>
        </w:rPr>
        <w:t>enfrentados</w:t>
      </w:r>
      <w:r>
        <w:rPr>
          <w:spacing w:val="-8"/>
          <w:w w:val="105"/>
          <w:sz w:val="17"/>
        </w:rPr>
        <w:t> </w:t>
      </w:r>
      <w:r>
        <w:rPr>
          <w:w w:val="105"/>
          <w:sz w:val="17"/>
        </w:rPr>
        <w:t>con</w:t>
      </w:r>
      <w:r>
        <w:rPr>
          <w:spacing w:val="-8"/>
          <w:w w:val="105"/>
          <w:sz w:val="17"/>
        </w:rPr>
        <w:t> </w:t>
      </w:r>
      <w:r>
        <w:rPr>
          <w:w w:val="105"/>
          <w:sz w:val="17"/>
        </w:rPr>
        <w:t>los</w:t>
      </w:r>
      <w:r>
        <w:rPr>
          <w:spacing w:val="-8"/>
          <w:w w:val="105"/>
          <w:sz w:val="17"/>
        </w:rPr>
        <w:t> </w:t>
      </w:r>
      <w:r>
        <w:rPr>
          <w:w w:val="105"/>
          <w:sz w:val="17"/>
        </w:rPr>
        <w:t>aislados</w:t>
      </w:r>
      <w:r>
        <w:rPr>
          <w:spacing w:val="-8"/>
          <w:w w:val="105"/>
          <w:sz w:val="17"/>
        </w:rPr>
        <w:t> </w:t>
      </w:r>
      <w:r>
        <w:rPr>
          <w:w w:val="105"/>
          <w:sz w:val="17"/>
        </w:rPr>
        <w:t>de</w:t>
      </w:r>
      <w:r>
        <w:rPr>
          <w:spacing w:val="-8"/>
          <w:w w:val="105"/>
          <w:sz w:val="17"/>
        </w:rPr>
        <w:t> </w:t>
      </w:r>
      <w:r>
        <w:rPr>
          <w:w w:val="105"/>
          <w:sz w:val="17"/>
        </w:rPr>
        <w:t>referencia</w:t>
      </w:r>
      <w:r>
        <w:rPr>
          <w:spacing w:val="-8"/>
          <w:w w:val="105"/>
          <w:sz w:val="17"/>
        </w:rPr>
        <w:t> </w:t>
      </w:r>
      <w:r>
        <w:rPr>
          <w:w w:val="105"/>
          <w:sz w:val="17"/>
        </w:rPr>
        <w:t>J104</w:t>
      </w:r>
      <w:r>
        <w:rPr>
          <w:spacing w:val="-8"/>
          <w:w w:val="105"/>
          <w:sz w:val="17"/>
        </w:rPr>
        <w:t> </w:t>
      </w:r>
      <w:r>
        <w:rPr>
          <w:w w:val="105"/>
          <w:sz w:val="17"/>
        </w:rPr>
        <w:t>y</w:t>
      </w:r>
      <w:r>
        <w:rPr>
          <w:spacing w:val="-8"/>
          <w:w w:val="105"/>
          <w:sz w:val="17"/>
        </w:rPr>
        <w:t> </w:t>
      </w:r>
      <w:r>
        <w:rPr>
          <w:w w:val="105"/>
          <w:sz w:val="17"/>
        </w:rPr>
        <w:t>J204</w:t>
      </w:r>
      <w:r>
        <w:rPr>
          <w:spacing w:val="-8"/>
          <w:w w:val="105"/>
          <w:sz w:val="17"/>
        </w:rPr>
        <w:t> </w:t>
      </w:r>
      <w:r>
        <w:rPr>
          <w:w w:val="105"/>
          <w:sz w:val="17"/>
        </w:rPr>
        <w:t>del</w:t>
      </w:r>
    </w:p>
    <w:p>
      <w:pPr>
        <w:pStyle w:val="BodyText"/>
        <w:spacing w:before="7"/>
        <w:rPr>
          <w:rFonts w:ascii="Times New Roman"/>
          <w:sz w:val="10"/>
        </w:rPr>
      </w:pPr>
    </w:p>
    <w:p>
      <w:pPr>
        <w:pStyle w:val="ListParagraph"/>
        <w:numPr>
          <w:ilvl w:val="0"/>
          <w:numId w:val="22"/>
        </w:numPr>
        <w:tabs>
          <w:tab w:pos="1444" w:val="left" w:leader="none"/>
          <w:tab w:pos="1445" w:val="left" w:leader="none"/>
        </w:tabs>
        <w:spacing w:line="240" w:lineRule="auto" w:before="80" w:after="0"/>
        <w:ind w:left="1444" w:right="0" w:hanging="551"/>
        <w:jc w:val="left"/>
        <w:rPr>
          <w:sz w:val="17"/>
        </w:rPr>
      </w:pPr>
      <w:r>
        <w:rPr>
          <w:w w:val="105"/>
          <w:sz w:val="17"/>
        </w:rPr>
        <w:t>tipo</w:t>
      </w:r>
      <w:r>
        <w:rPr>
          <w:spacing w:val="-5"/>
          <w:w w:val="105"/>
          <w:sz w:val="17"/>
        </w:rPr>
        <w:t> </w:t>
      </w:r>
      <w:r>
        <w:rPr>
          <w:w w:val="105"/>
          <w:sz w:val="17"/>
        </w:rPr>
        <w:t>de</w:t>
      </w:r>
      <w:r>
        <w:rPr>
          <w:spacing w:val="-5"/>
          <w:w w:val="105"/>
          <w:sz w:val="17"/>
        </w:rPr>
        <w:t> </w:t>
      </w:r>
      <w:r>
        <w:rPr>
          <w:w w:val="105"/>
          <w:sz w:val="17"/>
        </w:rPr>
        <w:t>apareamiento</w:t>
      </w:r>
      <w:r>
        <w:rPr>
          <w:spacing w:val="-5"/>
          <w:w w:val="105"/>
          <w:sz w:val="17"/>
        </w:rPr>
        <w:t> </w:t>
      </w:r>
      <w:r>
        <w:rPr>
          <w:w w:val="105"/>
          <w:sz w:val="17"/>
        </w:rPr>
        <w:t>A1</w:t>
      </w:r>
      <w:r>
        <w:rPr>
          <w:spacing w:val="-5"/>
          <w:w w:val="105"/>
          <w:sz w:val="17"/>
        </w:rPr>
        <w:t> </w:t>
      </w:r>
      <w:r>
        <w:rPr>
          <w:w w:val="105"/>
          <w:sz w:val="17"/>
        </w:rPr>
        <w:t>y</w:t>
      </w:r>
      <w:r>
        <w:rPr>
          <w:spacing w:val="-5"/>
          <w:w w:val="105"/>
          <w:sz w:val="17"/>
        </w:rPr>
        <w:t> </w:t>
      </w:r>
      <w:r>
        <w:rPr>
          <w:w w:val="105"/>
          <w:sz w:val="17"/>
        </w:rPr>
        <w:t>A2</w:t>
      </w:r>
      <w:r>
        <w:rPr>
          <w:spacing w:val="-5"/>
          <w:w w:val="105"/>
          <w:sz w:val="17"/>
        </w:rPr>
        <w:t> </w:t>
      </w:r>
      <w:r>
        <w:rPr>
          <w:w w:val="105"/>
          <w:sz w:val="17"/>
        </w:rPr>
        <w:t>respectivamente,</w:t>
      </w:r>
      <w:r>
        <w:rPr>
          <w:spacing w:val="-5"/>
          <w:w w:val="105"/>
          <w:sz w:val="17"/>
        </w:rPr>
        <w:t> </w:t>
      </w:r>
      <w:r>
        <w:rPr>
          <w:w w:val="105"/>
          <w:sz w:val="17"/>
        </w:rPr>
        <w:t>y</w:t>
      </w:r>
      <w:r>
        <w:rPr>
          <w:spacing w:val="-5"/>
          <w:w w:val="105"/>
          <w:sz w:val="17"/>
        </w:rPr>
        <w:t> </w:t>
      </w:r>
      <w:r>
        <w:rPr>
          <w:w w:val="105"/>
          <w:sz w:val="17"/>
        </w:rPr>
        <w:t>con</w:t>
      </w:r>
      <w:r>
        <w:rPr>
          <w:spacing w:val="-5"/>
          <w:w w:val="105"/>
          <w:sz w:val="17"/>
        </w:rPr>
        <w:t> </w:t>
      </w:r>
      <w:r>
        <w:rPr>
          <w:w w:val="105"/>
          <w:sz w:val="17"/>
        </w:rPr>
        <w:t>los</w:t>
      </w:r>
      <w:r>
        <w:rPr>
          <w:spacing w:val="-5"/>
          <w:w w:val="105"/>
          <w:sz w:val="17"/>
        </w:rPr>
        <w:t> </w:t>
      </w:r>
      <w:r>
        <w:rPr>
          <w:w w:val="105"/>
          <w:sz w:val="17"/>
        </w:rPr>
        <w:t>aislados</w:t>
      </w:r>
      <w:r>
        <w:rPr>
          <w:spacing w:val="-5"/>
          <w:w w:val="105"/>
          <w:sz w:val="17"/>
        </w:rPr>
        <w:t> </w:t>
      </w:r>
      <w:r>
        <w:rPr>
          <w:w w:val="105"/>
          <w:sz w:val="17"/>
        </w:rPr>
        <w:t>BV2</w:t>
      </w:r>
      <w:r>
        <w:rPr>
          <w:spacing w:val="-5"/>
          <w:w w:val="105"/>
          <w:sz w:val="17"/>
        </w:rPr>
        <w:t> </w:t>
      </w:r>
      <w:r>
        <w:rPr>
          <w:w w:val="105"/>
          <w:sz w:val="17"/>
        </w:rPr>
        <w:t>(A1)</w:t>
      </w:r>
      <w:r>
        <w:rPr>
          <w:spacing w:val="-5"/>
          <w:w w:val="105"/>
          <w:sz w:val="17"/>
        </w:rPr>
        <w:t> </w:t>
      </w:r>
      <w:r>
        <w:rPr>
          <w:w w:val="105"/>
          <w:sz w:val="17"/>
        </w:rPr>
        <w:t>y</w:t>
      </w:r>
      <w:r>
        <w:rPr>
          <w:spacing w:val="-5"/>
          <w:w w:val="105"/>
          <w:sz w:val="17"/>
        </w:rPr>
        <w:t> </w:t>
      </w:r>
      <w:r>
        <w:rPr>
          <w:w w:val="105"/>
          <w:sz w:val="17"/>
        </w:rPr>
        <w:t>LPT5</w:t>
      </w:r>
      <w:r>
        <w:rPr>
          <w:spacing w:val="-5"/>
          <w:w w:val="105"/>
          <w:sz w:val="17"/>
        </w:rPr>
        <w:t> </w:t>
      </w:r>
      <w:r>
        <w:rPr>
          <w:w w:val="105"/>
          <w:sz w:val="17"/>
        </w:rPr>
        <w:t>(A2).</w:t>
      </w:r>
    </w:p>
    <w:p>
      <w:pPr>
        <w:pStyle w:val="BodyText"/>
        <w:spacing w:before="7"/>
        <w:rPr>
          <w:rFonts w:ascii="Times New Roman"/>
          <w:sz w:val="10"/>
        </w:rPr>
      </w:pPr>
    </w:p>
    <w:p>
      <w:pPr>
        <w:pStyle w:val="ListParagraph"/>
        <w:numPr>
          <w:ilvl w:val="0"/>
          <w:numId w:val="22"/>
        </w:numPr>
        <w:tabs>
          <w:tab w:pos="1444" w:val="left" w:leader="none"/>
          <w:tab w:pos="1445" w:val="left" w:leader="none"/>
        </w:tabs>
        <w:spacing w:line="240" w:lineRule="auto" w:before="80" w:after="0"/>
        <w:ind w:left="1444" w:right="0" w:hanging="551"/>
        <w:jc w:val="left"/>
        <w:rPr>
          <w:sz w:val="17"/>
        </w:rPr>
      </w:pPr>
      <w:r>
        <w:rPr>
          <w:w w:val="105"/>
          <w:sz w:val="17"/>
        </w:rPr>
        <w:t>Los</w:t>
      </w:r>
      <w:r>
        <w:rPr>
          <w:spacing w:val="-12"/>
          <w:w w:val="105"/>
          <w:sz w:val="17"/>
        </w:rPr>
        <w:t> </w:t>
      </w:r>
      <w:r>
        <w:rPr>
          <w:w w:val="105"/>
          <w:sz w:val="17"/>
        </w:rPr>
        <w:t>nueve</w:t>
      </w:r>
      <w:r>
        <w:rPr>
          <w:spacing w:val="-12"/>
          <w:w w:val="105"/>
          <w:sz w:val="17"/>
        </w:rPr>
        <w:t> </w:t>
      </w:r>
      <w:r>
        <w:rPr>
          <w:w w:val="105"/>
          <w:sz w:val="17"/>
        </w:rPr>
        <w:t>aislamientos</w:t>
      </w:r>
      <w:r>
        <w:rPr>
          <w:spacing w:val="-12"/>
          <w:w w:val="105"/>
          <w:sz w:val="17"/>
        </w:rPr>
        <w:t> </w:t>
      </w:r>
      <w:r>
        <w:rPr>
          <w:w w:val="105"/>
          <w:sz w:val="17"/>
        </w:rPr>
        <w:t>heterotálicos</w:t>
      </w:r>
      <w:r>
        <w:rPr>
          <w:spacing w:val="-12"/>
          <w:w w:val="105"/>
          <w:sz w:val="17"/>
        </w:rPr>
        <w:t> </w:t>
      </w:r>
      <w:r>
        <w:rPr>
          <w:w w:val="105"/>
          <w:sz w:val="17"/>
        </w:rPr>
        <w:t>del</w:t>
      </w:r>
      <w:r>
        <w:rPr>
          <w:spacing w:val="-12"/>
          <w:w w:val="105"/>
          <w:sz w:val="17"/>
        </w:rPr>
        <w:t> </w:t>
      </w:r>
      <w:r>
        <w:rPr>
          <w:w w:val="105"/>
          <w:sz w:val="17"/>
        </w:rPr>
        <w:t>tipo</w:t>
      </w:r>
      <w:r>
        <w:rPr>
          <w:spacing w:val="-12"/>
          <w:w w:val="105"/>
          <w:sz w:val="17"/>
        </w:rPr>
        <w:t> </w:t>
      </w:r>
      <w:r>
        <w:rPr>
          <w:w w:val="105"/>
          <w:sz w:val="17"/>
        </w:rPr>
        <w:t>de</w:t>
      </w:r>
      <w:r>
        <w:rPr>
          <w:spacing w:val="-13"/>
          <w:w w:val="105"/>
          <w:sz w:val="17"/>
        </w:rPr>
        <w:t> </w:t>
      </w:r>
      <w:r>
        <w:rPr>
          <w:w w:val="105"/>
          <w:sz w:val="17"/>
        </w:rPr>
        <w:t>apareamiento</w:t>
      </w:r>
      <w:r>
        <w:rPr>
          <w:spacing w:val="-12"/>
          <w:w w:val="105"/>
          <w:sz w:val="17"/>
        </w:rPr>
        <w:t> </w:t>
      </w:r>
      <w:r>
        <w:rPr>
          <w:w w:val="105"/>
          <w:sz w:val="17"/>
        </w:rPr>
        <w:t>A1</w:t>
      </w:r>
      <w:r>
        <w:rPr>
          <w:spacing w:val="-12"/>
          <w:w w:val="105"/>
          <w:sz w:val="17"/>
        </w:rPr>
        <w:t> </w:t>
      </w:r>
      <w:r>
        <w:rPr>
          <w:w w:val="105"/>
          <w:sz w:val="17"/>
        </w:rPr>
        <w:t>fueron</w:t>
      </w:r>
      <w:r>
        <w:rPr>
          <w:spacing w:val="-12"/>
          <w:w w:val="105"/>
          <w:sz w:val="17"/>
        </w:rPr>
        <w:t> </w:t>
      </w:r>
      <w:r>
        <w:rPr>
          <w:w w:val="105"/>
          <w:sz w:val="17"/>
        </w:rPr>
        <w:t>enfrentados</w:t>
      </w:r>
      <w:r>
        <w:rPr>
          <w:spacing w:val="-12"/>
          <w:w w:val="105"/>
          <w:sz w:val="17"/>
        </w:rPr>
        <w:t> </w:t>
      </w:r>
      <w:r>
        <w:rPr>
          <w:w w:val="105"/>
          <w:sz w:val="17"/>
        </w:rPr>
        <w:t>con</w:t>
      </w:r>
      <w:r>
        <w:rPr>
          <w:spacing w:val="-12"/>
          <w:w w:val="105"/>
          <w:sz w:val="17"/>
        </w:rPr>
        <w:t> </w:t>
      </w:r>
      <w:r>
        <w:rPr>
          <w:w w:val="105"/>
          <w:sz w:val="17"/>
        </w:rPr>
        <w:t>el</w:t>
      </w:r>
    </w:p>
    <w:p>
      <w:pPr>
        <w:pStyle w:val="BodyText"/>
        <w:spacing w:before="7"/>
        <w:rPr>
          <w:rFonts w:ascii="Times New Roman"/>
          <w:sz w:val="10"/>
        </w:rPr>
      </w:pPr>
    </w:p>
    <w:p>
      <w:pPr>
        <w:pStyle w:val="ListParagraph"/>
        <w:numPr>
          <w:ilvl w:val="0"/>
          <w:numId w:val="22"/>
        </w:numPr>
        <w:tabs>
          <w:tab w:pos="1444" w:val="left" w:leader="none"/>
          <w:tab w:pos="1445" w:val="left" w:leader="none"/>
        </w:tabs>
        <w:spacing w:line="240" w:lineRule="auto" w:before="80" w:after="0"/>
        <w:ind w:left="1444" w:right="0" w:hanging="551"/>
        <w:jc w:val="left"/>
        <w:rPr>
          <w:sz w:val="17"/>
        </w:rPr>
      </w:pPr>
      <w:r>
        <w:rPr>
          <w:w w:val="105"/>
          <w:sz w:val="17"/>
        </w:rPr>
        <w:t>aislado</w:t>
      </w:r>
      <w:r>
        <w:rPr>
          <w:spacing w:val="9"/>
          <w:w w:val="105"/>
          <w:sz w:val="17"/>
        </w:rPr>
        <w:t> </w:t>
      </w:r>
      <w:r>
        <w:rPr>
          <w:w w:val="105"/>
          <w:sz w:val="17"/>
        </w:rPr>
        <w:t>de</w:t>
      </w:r>
      <w:r>
        <w:rPr>
          <w:spacing w:val="9"/>
          <w:w w:val="105"/>
          <w:sz w:val="17"/>
        </w:rPr>
        <w:t> </w:t>
      </w:r>
      <w:r>
        <w:rPr>
          <w:w w:val="105"/>
          <w:sz w:val="17"/>
        </w:rPr>
        <w:t>referencia</w:t>
      </w:r>
      <w:r>
        <w:rPr>
          <w:spacing w:val="9"/>
          <w:w w:val="105"/>
          <w:sz w:val="17"/>
        </w:rPr>
        <w:t> </w:t>
      </w:r>
      <w:r>
        <w:rPr>
          <w:w w:val="105"/>
          <w:sz w:val="17"/>
        </w:rPr>
        <w:t>J204</w:t>
      </w:r>
      <w:r>
        <w:rPr>
          <w:spacing w:val="9"/>
          <w:w w:val="105"/>
          <w:sz w:val="17"/>
        </w:rPr>
        <w:t> </w:t>
      </w:r>
      <w:r>
        <w:rPr>
          <w:w w:val="105"/>
          <w:sz w:val="17"/>
        </w:rPr>
        <w:t>del</w:t>
      </w:r>
      <w:r>
        <w:rPr>
          <w:spacing w:val="9"/>
          <w:w w:val="105"/>
          <w:sz w:val="17"/>
        </w:rPr>
        <w:t> </w:t>
      </w:r>
      <w:r>
        <w:rPr>
          <w:w w:val="105"/>
          <w:sz w:val="17"/>
        </w:rPr>
        <w:t>tipo</w:t>
      </w:r>
      <w:r>
        <w:rPr>
          <w:spacing w:val="9"/>
          <w:w w:val="105"/>
          <w:sz w:val="17"/>
        </w:rPr>
        <w:t> </w:t>
      </w:r>
      <w:r>
        <w:rPr>
          <w:w w:val="105"/>
          <w:sz w:val="17"/>
        </w:rPr>
        <w:t>de</w:t>
      </w:r>
      <w:r>
        <w:rPr>
          <w:spacing w:val="9"/>
          <w:w w:val="105"/>
          <w:sz w:val="17"/>
        </w:rPr>
        <w:t> </w:t>
      </w:r>
      <w:r>
        <w:rPr>
          <w:w w:val="105"/>
          <w:sz w:val="17"/>
        </w:rPr>
        <w:t>apareamiento</w:t>
      </w:r>
      <w:r>
        <w:rPr>
          <w:spacing w:val="9"/>
          <w:w w:val="105"/>
          <w:sz w:val="17"/>
        </w:rPr>
        <w:t> </w:t>
      </w:r>
      <w:r>
        <w:rPr>
          <w:w w:val="105"/>
          <w:sz w:val="17"/>
        </w:rPr>
        <w:t>A2</w:t>
      </w:r>
      <w:r>
        <w:rPr>
          <w:spacing w:val="9"/>
          <w:w w:val="105"/>
          <w:sz w:val="17"/>
        </w:rPr>
        <w:t> </w:t>
      </w:r>
      <w:r>
        <w:rPr>
          <w:w w:val="105"/>
          <w:sz w:val="17"/>
        </w:rPr>
        <w:t>y</w:t>
      </w:r>
      <w:r>
        <w:rPr>
          <w:spacing w:val="9"/>
          <w:w w:val="105"/>
          <w:sz w:val="17"/>
        </w:rPr>
        <w:t> </w:t>
      </w:r>
      <w:r>
        <w:rPr>
          <w:w w:val="105"/>
          <w:sz w:val="17"/>
        </w:rPr>
        <w:t>con</w:t>
      </w:r>
      <w:r>
        <w:rPr>
          <w:spacing w:val="9"/>
          <w:w w:val="105"/>
          <w:sz w:val="17"/>
        </w:rPr>
        <w:t> </w:t>
      </w:r>
      <w:r>
        <w:rPr>
          <w:w w:val="105"/>
          <w:sz w:val="17"/>
        </w:rPr>
        <w:t>el</w:t>
      </w:r>
      <w:r>
        <w:rPr>
          <w:spacing w:val="9"/>
          <w:w w:val="105"/>
          <w:sz w:val="17"/>
        </w:rPr>
        <w:t> </w:t>
      </w:r>
      <w:r>
        <w:rPr>
          <w:w w:val="105"/>
          <w:sz w:val="17"/>
        </w:rPr>
        <w:t>aislado</w:t>
      </w:r>
      <w:r>
        <w:rPr>
          <w:spacing w:val="9"/>
          <w:w w:val="105"/>
          <w:sz w:val="17"/>
        </w:rPr>
        <w:t> </w:t>
      </w:r>
      <w:r>
        <w:rPr>
          <w:w w:val="105"/>
          <w:sz w:val="17"/>
        </w:rPr>
        <w:t>LPT5</w:t>
      </w:r>
      <w:r>
        <w:rPr>
          <w:spacing w:val="9"/>
          <w:w w:val="105"/>
          <w:sz w:val="17"/>
        </w:rPr>
        <w:t> </w:t>
      </w:r>
      <w:r>
        <w:rPr>
          <w:w w:val="105"/>
          <w:sz w:val="17"/>
        </w:rPr>
        <w:t>(A2).</w:t>
      </w:r>
      <w:r>
        <w:rPr>
          <w:spacing w:val="9"/>
          <w:w w:val="105"/>
          <w:sz w:val="17"/>
        </w:rPr>
        <w:t> </w:t>
      </w:r>
      <w:r>
        <w:rPr>
          <w:w w:val="105"/>
          <w:sz w:val="17"/>
        </w:rPr>
        <w:t>Los</w:t>
      </w:r>
    </w:p>
    <w:p>
      <w:pPr>
        <w:spacing w:after="0" w:line="240" w:lineRule="auto"/>
        <w:jc w:val="left"/>
        <w:rPr>
          <w:sz w:val="17"/>
        </w:rPr>
        <w:sectPr>
          <w:pgSz w:w="12240" w:h="15840"/>
          <w:pgMar w:header="719" w:footer="740" w:top="1260" w:bottom="920" w:left="1460" w:right="14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21"/>
        </w:rPr>
      </w:pPr>
    </w:p>
    <w:p>
      <w:pPr>
        <w:pStyle w:val="ListParagraph"/>
        <w:numPr>
          <w:ilvl w:val="0"/>
          <w:numId w:val="22"/>
        </w:numPr>
        <w:tabs>
          <w:tab w:pos="1455" w:val="left" w:leader="none"/>
          <w:tab w:pos="1456" w:val="left" w:leader="none"/>
        </w:tabs>
        <w:spacing w:line="240" w:lineRule="auto" w:before="80" w:after="0"/>
        <w:ind w:left="1455" w:right="0" w:hanging="549"/>
        <w:jc w:val="left"/>
        <w:rPr>
          <w:sz w:val="17"/>
        </w:rPr>
      </w:pPr>
      <w:r>
        <w:rPr>
          <w:sz w:val="17"/>
        </w:rPr>
        <w:t>cinco</w:t>
      </w:r>
      <w:r>
        <w:rPr>
          <w:spacing w:val="21"/>
          <w:sz w:val="17"/>
        </w:rPr>
        <w:t> </w:t>
      </w:r>
      <w:r>
        <w:rPr>
          <w:sz w:val="17"/>
        </w:rPr>
        <w:t>aislados</w:t>
      </w:r>
      <w:r>
        <w:rPr>
          <w:spacing w:val="21"/>
          <w:sz w:val="17"/>
        </w:rPr>
        <w:t> </w:t>
      </w:r>
      <w:r>
        <w:rPr>
          <w:sz w:val="17"/>
        </w:rPr>
        <w:t>heterotálicos</w:t>
      </w:r>
      <w:r>
        <w:rPr>
          <w:spacing w:val="21"/>
          <w:sz w:val="17"/>
        </w:rPr>
        <w:t> </w:t>
      </w:r>
      <w:r>
        <w:rPr>
          <w:sz w:val="17"/>
        </w:rPr>
        <w:t>del</w:t>
      </w:r>
      <w:r>
        <w:rPr>
          <w:spacing w:val="21"/>
          <w:sz w:val="17"/>
        </w:rPr>
        <w:t> </w:t>
      </w:r>
      <w:r>
        <w:rPr>
          <w:sz w:val="17"/>
        </w:rPr>
        <w:t>tipo</w:t>
      </w:r>
      <w:r>
        <w:rPr>
          <w:spacing w:val="21"/>
          <w:sz w:val="17"/>
        </w:rPr>
        <w:t> </w:t>
      </w:r>
      <w:r>
        <w:rPr>
          <w:sz w:val="17"/>
        </w:rPr>
        <w:t>de</w:t>
      </w:r>
      <w:r>
        <w:rPr>
          <w:spacing w:val="21"/>
          <w:sz w:val="17"/>
        </w:rPr>
        <w:t> </w:t>
      </w:r>
      <w:r>
        <w:rPr>
          <w:sz w:val="17"/>
        </w:rPr>
        <w:t>apareamiento</w:t>
      </w:r>
      <w:r>
        <w:rPr>
          <w:spacing w:val="21"/>
          <w:sz w:val="17"/>
        </w:rPr>
        <w:t> </w:t>
      </w:r>
      <w:r>
        <w:rPr>
          <w:sz w:val="17"/>
        </w:rPr>
        <w:t>A2</w:t>
      </w:r>
      <w:r>
        <w:rPr>
          <w:spacing w:val="21"/>
          <w:sz w:val="17"/>
        </w:rPr>
        <w:t> </w:t>
      </w:r>
      <w:r>
        <w:rPr>
          <w:sz w:val="17"/>
        </w:rPr>
        <w:t>fueron</w:t>
      </w:r>
      <w:r>
        <w:rPr>
          <w:spacing w:val="21"/>
          <w:sz w:val="17"/>
        </w:rPr>
        <w:t> </w:t>
      </w:r>
      <w:r>
        <w:rPr>
          <w:sz w:val="17"/>
        </w:rPr>
        <w:t>enfrentados</w:t>
      </w:r>
      <w:r>
        <w:rPr>
          <w:spacing w:val="21"/>
          <w:sz w:val="17"/>
        </w:rPr>
        <w:t> </w:t>
      </w:r>
      <w:r>
        <w:rPr>
          <w:sz w:val="17"/>
        </w:rPr>
        <w:t>con</w:t>
      </w:r>
      <w:r>
        <w:rPr>
          <w:spacing w:val="21"/>
          <w:sz w:val="17"/>
        </w:rPr>
        <w:t> </w:t>
      </w:r>
      <w:r>
        <w:rPr>
          <w:sz w:val="17"/>
        </w:rPr>
        <w:t>el</w:t>
      </w:r>
      <w:r>
        <w:rPr>
          <w:spacing w:val="21"/>
          <w:sz w:val="17"/>
        </w:rPr>
        <w:t> </w:t>
      </w:r>
      <w:r>
        <w:rPr>
          <w:sz w:val="17"/>
        </w:rPr>
        <w:t>aislado</w:t>
      </w:r>
    </w:p>
    <w:p>
      <w:pPr>
        <w:pStyle w:val="BodyText"/>
        <w:spacing w:before="6"/>
        <w:rPr>
          <w:rFonts w:ascii="Times New Roman"/>
          <w:sz w:val="10"/>
        </w:rPr>
      </w:pPr>
    </w:p>
    <w:p>
      <w:pPr>
        <w:pStyle w:val="ListParagraph"/>
        <w:numPr>
          <w:ilvl w:val="0"/>
          <w:numId w:val="22"/>
        </w:numPr>
        <w:tabs>
          <w:tab w:pos="1455" w:val="left" w:leader="none"/>
          <w:tab w:pos="1456" w:val="left" w:leader="none"/>
        </w:tabs>
        <w:spacing w:line="240" w:lineRule="auto" w:before="80" w:after="0"/>
        <w:ind w:left="1455" w:right="0" w:hanging="549"/>
        <w:jc w:val="left"/>
        <w:rPr>
          <w:sz w:val="17"/>
        </w:rPr>
      </w:pPr>
      <w:r>
        <w:rPr>
          <w:sz w:val="17"/>
        </w:rPr>
        <w:t>de</w:t>
      </w:r>
      <w:r>
        <w:rPr>
          <w:spacing w:val="28"/>
          <w:sz w:val="17"/>
        </w:rPr>
        <w:t> </w:t>
      </w:r>
      <w:r>
        <w:rPr>
          <w:sz w:val="17"/>
        </w:rPr>
        <w:t>referencia</w:t>
      </w:r>
      <w:r>
        <w:rPr>
          <w:spacing w:val="28"/>
          <w:sz w:val="17"/>
        </w:rPr>
        <w:t> </w:t>
      </w:r>
      <w:r>
        <w:rPr>
          <w:sz w:val="17"/>
        </w:rPr>
        <w:t>J104</w:t>
      </w:r>
      <w:r>
        <w:rPr>
          <w:spacing w:val="29"/>
          <w:sz w:val="17"/>
        </w:rPr>
        <w:t> </w:t>
      </w:r>
      <w:r>
        <w:rPr>
          <w:sz w:val="17"/>
        </w:rPr>
        <w:t>del</w:t>
      </w:r>
      <w:r>
        <w:rPr>
          <w:spacing w:val="28"/>
          <w:sz w:val="17"/>
        </w:rPr>
        <w:t> </w:t>
      </w:r>
      <w:r>
        <w:rPr>
          <w:sz w:val="17"/>
        </w:rPr>
        <w:t>tipo</w:t>
      </w:r>
      <w:r>
        <w:rPr>
          <w:spacing w:val="28"/>
          <w:sz w:val="17"/>
        </w:rPr>
        <w:t> </w:t>
      </w:r>
      <w:r>
        <w:rPr>
          <w:sz w:val="17"/>
        </w:rPr>
        <w:t>de</w:t>
      </w:r>
      <w:r>
        <w:rPr>
          <w:spacing w:val="28"/>
          <w:sz w:val="17"/>
        </w:rPr>
        <w:t> </w:t>
      </w:r>
      <w:r>
        <w:rPr>
          <w:sz w:val="17"/>
        </w:rPr>
        <w:t>apareamiento</w:t>
      </w:r>
      <w:r>
        <w:rPr>
          <w:spacing w:val="29"/>
          <w:sz w:val="17"/>
        </w:rPr>
        <w:t> </w:t>
      </w:r>
      <w:r>
        <w:rPr>
          <w:sz w:val="17"/>
        </w:rPr>
        <w:t>A1</w:t>
      </w:r>
      <w:r>
        <w:rPr>
          <w:spacing w:val="28"/>
          <w:sz w:val="17"/>
        </w:rPr>
        <w:t> </w:t>
      </w:r>
      <w:r>
        <w:rPr>
          <w:sz w:val="17"/>
        </w:rPr>
        <w:t>y</w:t>
      </w:r>
      <w:r>
        <w:rPr>
          <w:spacing w:val="28"/>
          <w:sz w:val="17"/>
        </w:rPr>
        <w:t> </w:t>
      </w:r>
      <w:r>
        <w:rPr>
          <w:sz w:val="17"/>
        </w:rPr>
        <w:t>con</w:t>
      </w:r>
      <w:r>
        <w:rPr>
          <w:spacing w:val="28"/>
          <w:sz w:val="17"/>
        </w:rPr>
        <w:t> </w:t>
      </w:r>
      <w:r>
        <w:rPr>
          <w:sz w:val="17"/>
        </w:rPr>
        <w:t>el</w:t>
      </w:r>
      <w:r>
        <w:rPr>
          <w:spacing w:val="28"/>
          <w:sz w:val="17"/>
        </w:rPr>
        <w:t> </w:t>
      </w:r>
      <w:r>
        <w:rPr>
          <w:sz w:val="17"/>
        </w:rPr>
        <w:t>aislado</w:t>
      </w:r>
      <w:r>
        <w:rPr>
          <w:spacing w:val="28"/>
          <w:sz w:val="17"/>
        </w:rPr>
        <w:t> </w:t>
      </w:r>
      <w:r>
        <w:rPr>
          <w:sz w:val="17"/>
        </w:rPr>
        <w:t>BV2</w:t>
      </w:r>
      <w:r>
        <w:rPr>
          <w:spacing w:val="28"/>
          <w:sz w:val="17"/>
        </w:rPr>
        <w:t> </w:t>
      </w:r>
      <w:r>
        <w:rPr>
          <w:sz w:val="17"/>
        </w:rPr>
        <w:t>(A1).</w:t>
      </w:r>
      <w:r>
        <w:rPr>
          <w:spacing w:val="29"/>
          <w:sz w:val="17"/>
        </w:rPr>
        <w:t> </w:t>
      </w:r>
      <w:r>
        <w:rPr>
          <w:sz w:val="17"/>
        </w:rPr>
        <w:t>Los</w:t>
      </w:r>
      <w:r>
        <w:rPr>
          <w:spacing w:val="29"/>
          <w:sz w:val="17"/>
        </w:rPr>
        <w:t> </w:t>
      </w:r>
      <w:r>
        <w:rPr>
          <w:sz w:val="17"/>
        </w:rPr>
        <w:t>ensayos</w:t>
      </w:r>
    </w:p>
    <w:p>
      <w:pPr>
        <w:pStyle w:val="BodyText"/>
        <w:spacing w:before="6"/>
        <w:rPr>
          <w:rFonts w:ascii="Times New Roman"/>
          <w:sz w:val="10"/>
        </w:rPr>
      </w:pPr>
    </w:p>
    <w:p>
      <w:pPr>
        <w:pStyle w:val="ListParagraph"/>
        <w:numPr>
          <w:ilvl w:val="0"/>
          <w:numId w:val="22"/>
        </w:numPr>
        <w:tabs>
          <w:tab w:pos="1455" w:val="left" w:leader="none"/>
          <w:tab w:pos="1456" w:val="left" w:leader="none"/>
        </w:tabs>
        <w:spacing w:line="240" w:lineRule="auto" w:before="80" w:after="0"/>
        <w:ind w:left="1455" w:right="0" w:hanging="549"/>
        <w:jc w:val="left"/>
        <w:rPr>
          <w:sz w:val="17"/>
        </w:rPr>
      </w:pPr>
      <w:r>
        <w:rPr>
          <w:sz w:val="17"/>
        </w:rPr>
        <w:t>para</w:t>
      </w:r>
      <w:r>
        <w:rPr>
          <w:spacing w:val="21"/>
          <w:sz w:val="17"/>
        </w:rPr>
        <w:t> </w:t>
      </w:r>
      <w:r>
        <w:rPr>
          <w:sz w:val="17"/>
        </w:rPr>
        <w:t>evaluar</w:t>
      </w:r>
      <w:r>
        <w:rPr>
          <w:spacing w:val="21"/>
          <w:sz w:val="17"/>
        </w:rPr>
        <w:t> </w:t>
      </w:r>
      <w:r>
        <w:rPr>
          <w:sz w:val="17"/>
        </w:rPr>
        <w:t>la</w:t>
      </w:r>
      <w:r>
        <w:rPr>
          <w:spacing w:val="21"/>
          <w:sz w:val="17"/>
        </w:rPr>
        <w:t> </w:t>
      </w:r>
      <w:r>
        <w:rPr>
          <w:sz w:val="17"/>
        </w:rPr>
        <w:t>producción</w:t>
      </w:r>
      <w:r>
        <w:rPr>
          <w:spacing w:val="21"/>
          <w:sz w:val="17"/>
        </w:rPr>
        <w:t> </w:t>
      </w:r>
      <w:r>
        <w:rPr>
          <w:sz w:val="17"/>
        </w:rPr>
        <w:t>de</w:t>
      </w:r>
      <w:r>
        <w:rPr>
          <w:spacing w:val="21"/>
          <w:sz w:val="17"/>
        </w:rPr>
        <w:t> </w:t>
      </w:r>
      <w:r>
        <w:rPr>
          <w:sz w:val="17"/>
        </w:rPr>
        <w:t>oosporas</w:t>
      </w:r>
      <w:r>
        <w:rPr>
          <w:spacing w:val="21"/>
          <w:sz w:val="17"/>
        </w:rPr>
        <w:t> </w:t>
      </w:r>
      <w:r>
        <w:rPr>
          <w:sz w:val="17"/>
        </w:rPr>
        <w:t>fueron</w:t>
      </w:r>
      <w:r>
        <w:rPr>
          <w:spacing w:val="21"/>
          <w:sz w:val="17"/>
        </w:rPr>
        <w:t> </w:t>
      </w:r>
      <w:r>
        <w:rPr>
          <w:sz w:val="17"/>
        </w:rPr>
        <w:t>realizadas</w:t>
      </w:r>
      <w:r>
        <w:rPr>
          <w:spacing w:val="21"/>
          <w:sz w:val="17"/>
        </w:rPr>
        <w:t> </w:t>
      </w:r>
      <w:r>
        <w:rPr>
          <w:sz w:val="17"/>
        </w:rPr>
        <w:t>bajo</w:t>
      </w:r>
      <w:r>
        <w:rPr>
          <w:spacing w:val="21"/>
          <w:sz w:val="17"/>
        </w:rPr>
        <w:t> </w:t>
      </w:r>
      <w:r>
        <w:rPr>
          <w:sz w:val="17"/>
        </w:rPr>
        <w:t>las</w:t>
      </w:r>
      <w:r>
        <w:rPr>
          <w:spacing w:val="21"/>
          <w:sz w:val="17"/>
        </w:rPr>
        <w:t> </w:t>
      </w:r>
      <w:r>
        <w:rPr>
          <w:sz w:val="17"/>
        </w:rPr>
        <w:t>mismas</w:t>
      </w:r>
      <w:r>
        <w:rPr>
          <w:spacing w:val="21"/>
          <w:sz w:val="17"/>
        </w:rPr>
        <w:t> </w:t>
      </w:r>
      <w:r>
        <w:rPr>
          <w:sz w:val="17"/>
        </w:rPr>
        <w:t>condiciones</w:t>
      </w:r>
      <w:r>
        <w:rPr>
          <w:spacing w:val="21"/>
          <w:sz w:val="17"/>
        </w:rPr>
        <w:t> </w:t>
      </w:r>
      <w:r>
        <w:rPr>
          <w:sz w:val="17"/>
        </w:rPr>
        <w:t>que</w:t>
      </w:r>
    </w:p>
    <w:p>
      <w:pPr>
        <w:pStyle w:val="BodyText"/>
        <w:spacing w:before="6"/>
        <w:rPr>
          <w:rFonts w:ascii="Times New Roman"/>
          <w:sz w:val="10"/>
        </w:rPr>
      </w:pPr>
    </w:p>
    <w:p>
      <w:pPr>
        <w:pStyle w:val="ListParagraph"/>
        <w:numPr>
          <w:ilvl w:val="0"/>
          <w:numId w:val="22"/>
        </w:numPr>
        <w:tabs>
          <w:tab w:pos="1455" w:val="left" w:leader="none"/>
          <w:tab w:pos="1456" w:val="left" w:leader="none"/>
        </w:tabs>
        <w:spacing w:line="240" w:lineRule="auto" w:before="80" w:after="0"/>
        <w:ind w:left="1455" w:right="0" w:hanging="549"/>
        <w:jc w:val="left"/>
        <w:rPr>
          <w:sz w:val="17"/>
        </w:rPr>
      </w:pPr>
      <w:r>
        <w:rPr>
          <w:sz w:val="17"/>
        </w:rPr>
        <w:t>la</w:t>
      </w:r>
      <w:r>
        <w:rPr>
          <w:spacing w:val="11"/>
          <w:sz w:val="17"/>
        </w:rPr>
        <w:t> </w:t>
      </w:r>
      <w:r>
        <w:rPr>
          <w:sz w:val="17"/>
        </w:rPr>
        <w:t>prueba</w:t>
      </w:r>
      <w:r>
        <w:rPr>
          <w:spacing w:val="11"/>
          <w:sz w:val="17"/>
        </w:rPr>
        <w:t> </w:t>
      </w:r>
      <w:r>
        <w:rPr>
          <w:sz w:val="17"/>
        </w:rPr>
        <w:t>de</w:t>
      </w:r>
      <w:r>
        <w:rPr>
          <w:spacing w:val="11"/>
          <w:sz w:val="17"/>
        </w:rPr>
        <w:t> </w:t>
      </w:r>
      <w:r>
        <w:rPr>
          <w:sz w:val="17"/>
        </w:rPr>
        <w:t>determinación</w:t>
      </w:r>
      <w:r>
        <w:rPr>
          <w:spacing w:val="11"/>
          <w:sz w:val="17"/>
        </w:rPr>
        <w:t> </w:t>
      </w:r>
      <w:r>
        <w:rPr>
          <w:sz w:val="17"/>
        </w:rPr>
        <w:t>de</w:t>
      </w:r>
      <w:r>
        <w:rPr>
          <w:spacing w:val="11"/>
          <w:sz w:val="17"/>
        </w:rPr>
        <w:t> </w:t>
      </w:r>
      <w:r>
        <w:rPr>
          <w:sz w:val="17"/>
        </w:rPr>
        <w:t>tipo</w:t>
      </w:r>
      <w:r>
        <w:rPr>
          <w:spacing w:val="11"/>
          <w:sz w:val="17"/>
        </w:rPr>
        <w:t> </w:t>
      </w:r>
      <w:r>
        <w:rPr>
          <w:sz w:val="17"/>
        </w:rPr>
        <w:t>de</w:t>
      </w:r>
      <w:r>
        <w:rPr>
          <w:spacing w:val="11"/>
          <w:sz w:val="17"/>
        </w:rPr>
        <w:t> </w:t>
      </w:r>
      <w:r>
        <w:rPr>
          <w:sz w:val="17"/>
        </w:rPr>
        <w:t>apareamiento.</w:t>
      </w:r>
      <w:r>
        <w:rPr>
          <w:spacing w:val="11"/>
          <w:sz w:val="17"/>
        </w:rPr>
        <w:t> </w:t>
      </w:r>
      <w:r>
        <w:rPr>
          <w:sz w:val="17"/>
        </w:rPr>
        <w:t>Como</w:t>
      </w:r>
      <w:r>
        <w:rPr>
          <w:spacing w:val="11"/>
          <w:sz w:val="17"/>
        </w:rPr>
        <w:t> </w:t>
      </w:r>
      <w:r>
        <w:rPr>
          <w:sz w:val="17"/>
        </w:rPr>
        <w:t>controles</w:t>
      </w:r>
      <w:r>
        <w:rPr>
          <w:spacing w:val="11"/>
          <w:sz w:val="17"/>
        </w:rPr>
        <w:t> </w:t>
      </w:r>
      <w:r>
        <w:rPr>
          <w:sz w:val="17"/>
        </w:rPr>
        <w:t>se</w:t>
      </w:r>
      <w:r>
        <w:rPr>
          <w:spacing w:val="11"/>
          <w:sz w:val="17"/>
        </w:rPr>
        <w:t> </w:t>
      </w:r>
      <w:r>
        <w:rPr>
          <w:sz w:val="17"/>
        </w:rPr>
        <w:t>realizó</w:t>
      </w:r>
      <w:r>
        <w:rPr>
          <w:spacing w:val="11"/>
          <w:sz w:val="17"/>
        </w:rPr>
        <w:t> </w:t>
      </w:r>
      <w:r>
        <w:rPr>
          <w:sz w:val="17"/>
        </w:rPr>
        <w:t>la</w:t>
      </w:r>
      <w:r>
        <w:rPr>
          <w:spacing w:val="11"/>
          <w:sz w:val="17"/>
        </w:rPr>
        <w:t> </w:t>
      </w:r>
      <w:r>
        <w:rPr>
          <w:sz w:val="17"/>
        </w:rPr>
        <w:t>prueba</w:t>
      </w:r>
      <w:r>
        <w:rPr>
          <w:spacing w:val="11"/>
          <w:sz w:val="17"/>
        </w:rPr>
        <w:t> </w:t>
      </w:r>
      <w:r>
        <w:rPr>
          <w:sz w:val="17"/>
        </w:rPr>
        <w:t>de</w:t>
      </w:r>
    </w:p>
    <w:p>
      <w:pPr>
        <w:pStyle w:val="BodyText"/>
        <w:spacing w:before="6"/>
        <w:rPr>
          <w:rFonts w:ascii="Times New Roman"/>
          <w:sz w:val="10"/>
        </w:rPr>
      </w:pPr>
    </w:p>
    <w:p>
      <w:pPr>
        <w:pStyle w:val="ListParagraph"/>
        <w:numPr>
          <w:ilvl w:val="0"/>
          <w:numId w:val="22"/>
        </w:numPr>
        <w:tabs>
          <w:tab w:pos="1455" w:val="left" w:leader="none"/>
          <w:tab w:pos="1456" w:val="left" w:leader="none"/>
        </w:tabs>
        <w:spacing w:line="240" w:lineRule="auto" w:before="80" w:after="0"/>
        <w:ind w:left="1455" w:right="0" w:hanging="549"/>
        <w:jc w:val="left"/>
        <w:rPr>
          <w:sz w:val="17"/>
        </w:rPr>
      </w:pPr>
      <w:r>
        <w:rPr>
          <w:sz w:val="17"/>
        </w:rPr>
        <w:t>cultivar</w:t>
      </w:r>
      <w:r>
        <w:rPr>
          <w:spacing w:val="19"/>
          <w:sz w:val="17"/>
        </w:rPr>
        <w:t> </w:t>
      </w:r>
      <w:r>
        <w:rPr>
          <w:sz w:val="17"/>
        </w:rPr>
        <w:t>solos</w:t>
      </w:r>
      <w:r>
        <w:rPr>
          <w:spacing w:val="19"/>
          <w:sz w:val="17"/>
        </w:rPr>
        <w:t> </w:t>
      </w:r>
      <w:r>
        <w:rPr>
          <w:sz w:val="17"/>
        </w:rPr>
        <w:t>los</w:t>
      </w:r>
      <w:r>
        <w:rPr>
          <w:spacing w:val="19"/>
          <w:sz w:val="17"/>
        </w:rPr>
        <w:t> </w:t>
      </w:r>
      <w:r>
        <w:rPr>
          <w:sz w:val="17"/>
        </w:rPr>
        <w:t>aislados</w:t>
      </w:r>
      <w:r>
        <w:rPr>
          <w:spacing w:val="19"/>
          <w:sz w:val="17"/>
        </w:rPr>
        <w:t> </w:t>
      </w:r>
      <w:r>
        <w:rPr>
          <w:sz w:val="17"/>
        </w:rPr>
        <w:t>heterotálicos</w:t>
      </w:r>
      <w:r>
        <w:rPr>
          <w:spacing w:val="19"/>
          <w:sz w:val="17"/>
        </w:rPr>
        <w:t> </w:t>
      </w:r>
      <w:r>
        <w:rPr>
          <w:sz w:val="17"/>
        </w:rPr>
        <w:t>y</w:t>
      </w:r>
      <w:r>
        <w:rPr>
          <w:spacing w:val="19"/>
          <w:sz w:val="17"/>
        </w:rPr>
        <w:t> </w:t>
      </w:r>
      <w:r>
        <w:rPr>
          <w:sz w:val="17"/>
        </w:rPr>
        <w:t>el</w:t>
      </w:r>
      <w:r>
        <w:rPr>
          <w:spacing w:val="19"/>
          <w:sz w:val="17"/>
        </w:rPr>
        <w:t> </w:t>
      </w:r>
      <w:r>
        <w:rPr>
          <w:sz w:val="17"/>
        </w:rPr>
        <w:t>enfrentamiento</w:t>
      </w:r>
      <w:r>
        <w:rPr>
          <w:spacing w:val="19"/>
          <w:sz w:val="17"/>
        </w:rPr>
        <w:t> </w:t>
      </w:r>
      <w:r>
        <w:rPr>
          <w:sz w:val="17"/>
        </w:rPr>
        <w:t>entre</w:t>
      </w:r>
      <w:r>
        <w:rPr>
          <w:spacing w:val="19"/>
          <w:sz w:val="17"/>
        </w:rPr>
        <w:t> </w:t>
      </w:r>
      <w:r>
        <w:rPr>
          <w:sz w:val="17"/>
        </w:rPr>
        <w:t>los</w:t>
      </w:r>
      <w:r>
        <w:rPr>
          <w:spacing w:val="19"/>
          <w:sz w:val="17"/>
        </w:rPr>
        <w:t> </w:t>
      </w:r>
      <w:r>
        <w:rPr>
          <w:sz w:val="17"/>
        </w:rPr>
        <w:t>aislados</w:t>
      </w:r>
      <w:r>
        <w:rPr>
          <w:spacing w:val="19"/>
          <w:sz w:val="17"/>
        </w:rPr>
        <w:t> </w:t>
      </w:r>
      <w:r>
        <w:rPr>
          <w:sz w:val="17"/>
        </w:rPr>
        <w:t>de</w:t>
      </w:r>
      <w:r>
        <w:rPr>
          <w:spacing w:val="19"/>
          <w:sz w:val="17"/>
        </w:rPr>
        <w:t> </w:t>
      </w:r>
      <w:r>
        <w:rPr>
          <w:sz w:val="17"/>
        </w:rPr>
        <w:t>referencia</w:t>
      </w:r>
    </w:p>
    <w:p>
      <w:pPr>
        <w:pStyle w:val="BodyText"/>
        <w:spacing w:before="6"/>
        <w:rPr>
          <w:rFonts w:ascii="Times New Roman"/>
          <w:sz w:val="10"/>
        </w:rPr>
      </w:pPr>
    </w:p>
    <w:p>
      <w:pPr>
        <w:tabs>
          <w:tab w:pos="1455" w:val="left" w:leader="none"/>
        </w:tabs>
        <w:spacing w:before="80"/>
        <w:ind w:left="906" w:right="0" w:firstLine="0"/>
        <w:jc w:val="left"/>
        <w:rPr>
          <w:rFonts w:ascii="Times New Roman"/>
          <w:sz w:val="17"/>
        </w:rPr>
      </w:pPr>
      <w:r>
        <w:rPr>
          <w:rFonts w:ascii="Cambria"/>
          <w:sz w:val="17"/>
        </w:rPr>
        <w:t>126</w:t>
        <w:tab/>
      </w:r>
      <w:r>
        <w:rPr>
          <w:rFonts w:ascii="Times New Roman"/>
          <w:sz w:val="17"/>
        </w:rPr>
        <w:t>J104 (A1) y J204</w:t>
      </w:r>
      <w:r>
        <w:rPr>
          <w:rFonts w:ascii="Times New Roman"/>
          <w:spacing w:val="32"/>
          <w:sz w:val="17"/>
        </w:rPr>
        <w:t> </w:t>
      </w:r>
      <w:r>
        <w:rPr>
          <w:rFonts w:ascii="Times New Roman"/>
          <w:sz w:val="17"/>
        </w:rPr>
        <w:t>(A2).</w:t>
      </w:r>
    </w:p>
    <w:p>
      <w:pPr>
        <w:pStyle w:val="BodyText"/>
        <w:spacing w:before="6"/>
        <w:rPr>
          <w:rFonts w:ascii="Times New Roman"/>
          <w:sz w:val="10"/>
        </w:rPr>
      </w:pPr>
    </w:p>
    <w:p>
      <w:pPr>
        <w:pStyle w:val="ListParagraph"/>
        <w:numPr>
          <w:ilvl w:val="0"/>
          <w:numId w:val="23"/>
        </w:numPr>
        <w:tabs>
          <w:tab w:pos="1968" w:val="left" w:leader="none"/>
          <w:tab w:pos="1969" w:val="left" w:leader="none"/>
        </w:tabs>
        <w:spacing w:line="240" w:lineRule="auto" w:before="80" w:after="0"/>
        <w:ind w:left="1969" w:right="0" w:hanging="1063"/>
        <w:jc w:val="left"/>
        <w:rPr>
          <w:sz w:val="17"/>
        </w:rPr>
      </w:pPr>
      <w:r>
        <w:rPr>
          <w:sz w:val="17"/>
        </w:rPr>
        <w:t>Los</w:t>
      </w:r>
      <w:r>
        <w:rPr>
          <w:spacing w:val="20"/>
          <w:sz w:val="17"/>
        </w:rPr>
        <w:t> </w:t>
      </w:r>
      <w:r>
        <w:rPr>
          <w:sz w:val="17"/>
        </w:rPr>
        <w:t>aislamientos</w:t>
      </w:r>
      <w:r>
        <w:rPr>
          <w:spacing w:val="20"/>
          <w:sz w:val="17"/>
        </w:rPr>
        <w:t> </w:t>
      </w:r>
      <w:r>
        <w:rPr>
          <w:sz w:val="17"/>
        </w:rPr>
        <w:t>BV2</w:t>
      </w:r>
      <w:r>
        <w:rPr>
          <w:spacing w:val="20"/>
          <w:sz w:val="17"/>
        </w:rPr>
        <w:t> </w:t>
      </w:r>
      <w:r>
        <w:rPr>
          <w:sz w:val="17"/>
        </w:rPr>
        <w:t>(A1)</w:t>
      </w:r>
      <w:r>
        <w:rPr>
          <w:spacing w:val="20"/>
          <w:sz w:val="17"/>
        </w:rPr>
        <w:t> </w:t>
      </w:r>
      <w:r>
        <w:rPr>
          <w:sz w:val="17"/>
        </w:rPr>
        <w:t>y</w:t>
      </w:r>
      <w:r>
        <w:rPr>
          <w:spacing w:val="20"/>
          <w:sz w:val="17"/>
        </w:rPr>
        <w:t> </w:t>
      </w:r>
      <w:r>
        <w:rPr>
          <w:sz w:val="17"/>
        </w:rPr>
        <w:t>LPT5</w:t>
      </w:r>
      <w:r>
        <w:rPr>
          <w:spacing w:val="20"/>
          <w:sz w:val="17"/>
        </w:rPr>
        <w:t> </w:t>
      </w:r>
      <w:r>
        <w:rPr>
          <w:sz w:val="17"/>
        </w:rPr>
        <w:t>(A2)</w:t>
      </w:r>
      <w:r>
        <w:rPr>
          <w:spacing w:val="20"/>
          <w:sz w:val="17"/>
        </w:rPr>
        <w:t> </w:t>
      </w:r>
      <w:r>
        <w:rPr>
          <w:sz w:val="17"/>
        </w:rPr>
        <w:t>fueron</w:t>
      </w:r>
      <w:r>
        <w:rPr>
          <w:spacing w:val="20"/>
          <w:sz w:val="17"/>
        </w:rPr>
        <w:t> </w:t>
      </w:r>
      <w:r>
        <w:rPr>
          <w:sz w:val="17"/>
        </w:rPr>
        <w:t>seleccionados</w:t>
      </w:r>
      <w:r>
        <w:rPr>
          <w:spacing w:val="20"/>
          <w:sz w:val="17"/>
        </w:rPr>
        <w:t> </w:t>
      </w:r>
      <w:r>
        <w:rPr>
          <w:sz w:val="17"/>
        </w:rPr>
        <w:t>al</w:t>
      </w:r>
      <w:r>
        <w:rPr>
          <w:spacing w:val="20"/>
          <w:sz w:val="17"/>
        </w:rPr>
        <w:t> </w:t>
      </w:r>
      <w:r>
        <w:rPr>
          <w:sz w:val="17"/>
        </w:rPr>
        <w:t>azar</w:t>
      </w:r>
      <w:r>
        <w:rPr>
          <w:spacing w:val="20"/>
          <w:sz w:val="17"/>
        </w:rPr>
        <w:t> </w:t>
      </w:r>
      <w:r>
        <w:rPr>
          <w:sz w:val="17"/>
        </w:rPr>
        <w:t>para</w:t>
      </w:r>
      <w:r>
        <w:rPr>
          <w:spacing w:val="20"/>
          <w:sz w:val="17"/>
        </w:rPr>
        <w:t> </w:t>
      </w:r>
      <w:r>
        <w:rPr>
          <w:sz w:val="17"/>
        </w:rPr>
        <w:t>evaluar</w:t>
      </w:r>
    </w:p>
    <w:p>
      <w:pPr>
        <w:pStyle w:val="BodyText"/>
        <w:spacing w:before="6"/>
        <w:rPr>
          <w:rFonts w:ascii="Times New Roman"/>
          <w:sz w:val="10"/>
        </w:rPr>
      </w:pPr>
    </w:p>
    <w:p>
      <w:pPr>
        <w:pStyle w:val="ListParagraph"/>
        <w:numPr>
          <w:ilvl w:val="0"/>
          <w:numId w:val="23"/>
        </w:numPr>
        <w:tabs>
          <w:tab w:pos="1455" w:val="left" w:leader="none"/>
          <w:tab w:pos="1456" w:val="left" w:leader="none"/>
        </w:tabs>
        <w:spacing w:line="240" w:lineRule="auto" w:before="80" w:after="0"/>
        <w:ind w:left="1455" w:right="0" w:hanging="549"/>
        <w:jc w:val="left"/>
        <w:rPr>
          <w:sz w:val="17"/>
        </w:rPr>
      </w:pPr>
      <w:r>
        <w:rPr>
          <w:sz w:val="17"/>
        </w:rPr>
        <w:t>si</w:t>
      </w:r>
      <w:r>
        <w:rPr>
          <w:spacing w:val="18"/>
          <w:sz w:val="17"/>
        </w:rPr>
        <w:t> </w:t>
      </w:r>
      <w:r>
        <w:rPr>
          <w:sz w:val="17"/>
        </w:rPr>
        <w:t>existía</w:t>
      </w:r>
      <w:r>
        <w:rPr>
          <w:spacing w:val="18"/>
          <w:sz w:val="17"/>
        </w:rPr>
        <w:t> </w:t>
      </w:r>
      <w:r>
        <w:rPr>
          <w:sz w:val="17"/>
        </w:rPr>
        <w:t>diferencia</w:t>
      </w:r>
      <w:r>
        <w:rPr>
          <w:spacing w:val="18"/>
          <w:sz w:val="17"/>
        </w:rPr>
        <w:t> </w:t>
      </w:r>
      <w:r>
        <w:rPr>
          <w:sz w:val="17"/>
        </w:rPr>
        <w:t>en</w:t>
      </w:r>
      <w:r>
        <w:rPr>
          <w:spacing w:val="18"/>
          <w:sz w:val="17"/>
        </w:rPr>
        <w:t> </w:t>
      </w:r>
      <w:r>
        <w:rPr>
          <w:sz w:val="17"/>
        </w:rPr>
        <w:t>la</w:t>
      </w:r>
      <w:r>
        <w:rPr>
          <w:spacing w:val="18"/>
          <w:sz w:val="17"/>
        </w:rPr>
        <w:t> </w:t>
      </w:r>
      <w:r>
        <w:rPr>
          <w:sz w:val="17"/>
        </w:rPr>
        <w:t>cantidad</w:t>
      </w:r>
      <w:r>
        <w:rPr>
          <w:spacing w:val="18"/>
          <w:sz w:val="17"/>
        </w:rPr>
        <w:t> </w:t>
      </w:r>
      <w:r>
        <w:rPr>
          <w:sz w:val="17"/>
        </w:rPr>
        <w:t>de</w:t>
      </w:r>
      <w:r>
        <w:rPr>
          <w:spacing w:val="18"/>
          <w:sz w:val="17"/>
        </w:rPr>
        <w:t> </w:t>
      </w:r>
      <w:r>
        <w:rPr>
          <w:sz w:val="17"/>
        </w:rPr>
        <w:t>oosporas</w:t>
      </w:r>
      <w:r>
        <w:rPr>
          <w:spacing w:val="18"/>
          <w:sz w:val="17"/>
        </w:rPr>
        <w:t> </w:t>
      </w:r>
      <w:r>
        <w:rPr>
          <w:sz w:val="17"/>
        </w:rPr>
        <w:t>producidas</w:t>
      </w:r>
      <w:r>
        <w:rPr>
          <w:spacing w:val="18"/>
          <w:sz w:val="17"/>
        </w:rPr>
        <w:t> </w:t>
      </w:r>
      <w:r>
        <w:rPr>
          <w:sz w:val="17"/>
        </w:rPr>
        <w:t>en</w:t>
      </w:r>
      <w:r>
        <w:rPr>
          <w:spacing w:val="18"/>
          <w:sz w:val="17"/>
        </w:rPr>
        <w:t> </w:t>
      </w:r>
      <w:r>
        <w:rPr>
          <w:sz w:val="17"/>
        </w:rPr>
        <w:t>los</w:t>
      </w:r>
      <w:r>
        <w:rPr>
          <w:spacing w:val="18"/>
          <w:sz w:val="17"/>
        </w:rPr>
        <w:t> </w:t>
      </w:r>
      <w:r>
        <w:rPr>
          <w:sz w:val="17"/>
        </w:rPr>
        <w:t>enfrentamientos</w:t>
      </w:r>
      <w:r>
        <w:rPr>
          <w:spacing w:val="18"/>
          <w:sz w:val="17"/>
        </w:rPr>
        <w:t> </w:t>
      </w:r>
      <w:r>
        <w:rPr>
          <w:sz w:val="17"/>
        </w:rPr>
        <w:t>entre</w:t>
      </w:r>
      <w:r>
        <w:rPr>
          <w:spacing w:val="18"/>
          <w:sz w:val="17"/>
        </w:rPr>
        <w:t> </w:t>
      </w:r>
      <w:r>
        <w:rPr>
          <w:sz w:val="17"/>
        </w:rPr>
        <w:t>los</w:t>
      </w:r>
    </w:p>
    <w:p>
      <w:pPr>
        <w:pStyle w:val="BodyText"/>
        <w:spacing w:before="6"/>
        <w:rPr>
          <w:rFonts w:ascii="Times New Roman"/>
          <w:sz w:val="10"/>
        </w:rPr>
      </w:pPr>
    </w:p>
    <w:p>
      <w:pPr>
        <w:pStyle w:val="ListParagraph"/>
        <w:numPr>
          <w:ilvl w:val="0"/>
          <w:numId w:val="23"/>
        </w:numPr>
        <w:tabs>
          <w:tab w:pos="1455" w:val="left" w:leader="none"/>
          <w:tab w:pos="1456" w:val="left" w:leader="none"/>
        </w:tabs>
        <w:spacing w:line="240" w:lineRule="auto" w:before="80" w:after="0"/>
        <w:ind w:left="1455" w:right="0" w:hanging="549"/>
        <w:jc w:val="left"/>
        <w:rPr>
          <w:sz w:val="17"/>
        </w:rPr>
      </w:pPr>
      <w:r>
        <w:rPr>
          <w:sz w:val="17"/>
        </w:rPr>
        <w:t>aislamientos  a  estudiar  y  los  aislados  de  referencia.  Se  hizo  una  sola  repetición  de </w:t>
      </w:r>
      <w:r>
        <w:rPr>
          <w:spacing w:val="7"/>
          <w:sz w:val="17"/>
        </w:rPr>
        <w:t> </w:t>
      </w:r>
      <w:r>
        <w:rPr>
          <w:sz w:val="17"/>
        </w:rPr>
        <w:t>los</w:t>
      </w:r>
    </w:p>
    <w:p>
      <w:pPr>
        <w:pStyle w:val="BodyText"/>
        <w:spacing w:before="6"/>
        <w:rPr>
          <w:rFonts w:ascii="Times New Roman"/>
          <w:sz w:val="10"/>
        </w:rPr>
      </w:pPr>
    </w:p>
    <w:p>
      <w:pPr>
        <w:pStyle w:val="ListParagraph"/>
        <w:numPr>
          <w:ilvl w:val="0"/>
          <w:numId w:val="23"/>
        </w:numPr>
        <w:tabs>
          <w:tab w:pos="1455" w:val="left" w:leader="none"/>
          <w:tab w:pos="1456" w:val="left" w:leader="none"/>
        </w:tabs>
        <w:spacing w:line="240" w:lineRule="auto" w:before="80" w:after="0"/>
        <w:ind w:left="1455" w:right="0" w:hanging="549"/>
        <w:jc w:val="left"/>
        <w:rPr>
          <w:sz w:val="17"/>
        </w:rPr>
      </w:pPr>
      <w:r>
        <w:rPr>
          <w:sz w:val="17"/>
        </w:rPr>
        <w:t>enfrentamientos   ya   que   se   observó   el   número   de   oosporas   producidas   en         </w:t>
      </w:r>
      <w:r>
        <w:rPr>
          <w:spacing w:val="8"/>
          <w:sz w:val="17"/>
        </w:rPr>
        <w:t> </w:t>
      </w:r>
      <w:r>
        <w:rPr>
          <w:sz w:val="17"/>
        </w:rPr>
        <w:t>los</w:t>
      </w:r>
    </w:p>
    <w:p>
      <w:pPr>
        <w:pStyle w:val="BodyText"/>
        <w:spacing w:before="6"/>
        <w:rPr>
          <w:rFonts w:ascii="Times New Roman"/>
          <w:sz w:val="10"/>
        </w:rPr>
      </w:pPr>
    </w:p>
    <w:p>
      <w:pPr>
        <w:pStyle w:val="ListParagraph"/>
        <w:numPr>
          <w:ilvl w:val="0"/>
          <w:numId w:val="23"/>
        </w:numPr>
        <w:tabs>
          <w:tab w:pos="1455" w:val="left" w:leader="none"/>
          <w:tab w:pos="1456" w:val="left" w:leader="none"/>
        </w:tabs>
        <w:spacing w:line="240" w:lineRule="auto" w:before="80" w:after="0"/>
        <w:ind w:left="1455" w:right="0" w:hanging="549"/>
        <w:jc w:val="left"/>
        <w:rPr>
          <w:sz w:val="17"/>
        </w:rPr>
      </w:pPr>
      <w:r>
        <w:rPr>
          <w:sz w:val="17"/>
        </w:rPr>
        <w:t>enfrentamientos  entre  los  aislamientos  estudiados  del  mismo  tipo  de  apareamiento  y</w:t>
      </w:r>
      <w:r>
        <w:rPr>
          <w:spacing w:val="15"/>
          <w:sz w:val="17"/>
        </w:rPr>
        <w:t> </w:t>
      </w:r>
      <w:r>
        <w:rPr>
          <w:sz w:val="17"/>
        </w:rPr>
        <w:t>los</w:t>
      </w:r>
    </w:p>
    <w:p>
      <w:pPr>
        <w:pStyle w:val="BodyText"/>
        <w:spacing w:before="6"/>
        <w:rPr>
          <w:rFonts w:ascii="Times New Roman"/>
          <w:sz w:val="10"/>
        </w:rPr>
      </w:pPr>
    </w:p>
    <w:p>
      <w:pPr>
        <w:pStyle w:val="ListParagraph"/>
        <w:numPr>
          <w:ilvl w:val="0"/>
          <w:numId w:val="23"/>
        </w:numPr>
        <w:tabs>
          <w:tab w:pos="1455" w:val="left" w:leader="none"/>
          <w:tab w:pos="1456" w:val="left" w:leader="none"/>
        </w:tabs>
        <w:spacing w:line="240" w:lineRule="auto" w:before="80" w:after="0"/>
        <w:ind w:left="1455" w:right="0" w:hanging="549"/>
        <w:jc w:val="left"/>
        <w:rPr>
          <w:sz w:val="17"/>
        </w:rPr>
      </w:pPr>
      <w:r>
        <w:rPr>
          <w:sz w:val="17"/>
        </w:rPr>
        <w:t>aislados de referencia no presentaron </w:t>
      </w:r>
      <w:r>
        <w:rPr>
          <w:spacing w:val="31"/>
          <w:sz w:val="17"/>
        </w:rPr>
        <w:t> </w:t>
      </w:r>
      <w:r>
        <w:rPr>
          <w:sz w:val="17"/>
        </w:rPr>
        <w:t>diferencias.</w:t>
      </w:r>
    </w:p>
    <w:p>
      <w:pPr>
        <w:pStyle w:val="BodyText"/>
        <w:spacing w:before="5"/>
        <w:rPr>
          <w:rFonts w:ascii="Times New Roman"/>
          <w:sz w:val="17"/>
        </w:rPr>
      </w:pPr>
    </w:p>
    <w:p>
      <w:pPr>
        <w:pStyle w:val="ListParagraph"/>
        <w:numPr>
          <w:ilvl w:val="0"/>
          <w:numId w:val="23"/>
        </w:numPr>
        <w:tabs>
          <w:tab w:pos="1199" w:val="left" w:leader="none"/>
        </w:tabs>
        <w:spacing w:line="240" w:lineRule="auto" w:before="0" w:after="0"/>
        <w:ind w:left="1198" w:right="0" w:hanging="292"/>
        <w:jc w:val="left"/>
        <w:rPr>
          <w:rFonts w:ascii="Cambria"/>
          <w:sz w:val="17"/>
        </w:rPr>
      </w:pPr>
    </w:p>
    <w:p>
      <w:pPr>
        <w:pStyle w:val="BodyText"/>
        <w:spacing w:before="9"/>
        <w:rPr>
          <w:rFonts w:ascii="Cambria"/>
          <w:sz w:val="22"/>
        </w:rPr>
      </w:pPr>
    </w:p>
    <w:p>
      <w:pPr>
        <w:pStyle w:val="ListParagraph"/>
        <w:numPr>
          <w:ilvl w:val="0"/>
          <w:numId w:val="23"/>
        </w:numPr>
        <w:tabs>
          <w:tab w:pos="1455" w:val="left" w:leader="none"/>
          <w:tab w:pos="1456" w:val="left" w:leader="none"/>
        </w:tabs>
        <w:spacing w:line="240" w:lineRule="auto" w:before="80" w:after="0"/>
        <w:ind w:left="1455" w:right="0" w:hanging="549"/>
        <w:jc w:val="left"/>
        <w:rPr>
          <w:b/>
          <w:sz w:val="17"/>
        </w:rPr>
      </w:pPr>
      <w:r>
        <w:rPr>
          <w:b/>
          <w:sz w:val="17"/>
        </w:rPr>
        <w:t>Cuantificación  de</w:t>
      </w:r>
      <w:r>
        <w:rPr>
          <w:b/>
          <w:spacing w:val="1"/>
          <w:sz w:val="17"/>
        </w:rPr>
        <w:t> </w:t>
      </w:r>
      <w:r>
        <w:rPr>
          <w:b/>
          <w:sz w:val="17"/>
        </w:rPr>
        <w:t>oosporas</w:t>
      </w:r>
    </w:p>
    <w:p>
      <w:pPr>
        <w:pStyle w:val="BodyText"/>
        <w:spacing w:before="6"/>
        <w:rPr>
          <w:rFonts w:ascii="Times New Roman"/>
          <w:b/>
          <w:sz w:val="10"/>
        </w:rPr>
      </w:pPr>
    </w:p>
    <w:p>
      <w:pPr>
        <w:pStyle w:val="ListParagraph"/>
        <w:numPr>
          <w:ilvl w:val="0"/>
          <w:numId w:val="23"/>
        </w:numPr>
        <w:tabs>
          <w:tab w:pos="1455" w:val="left" w:leader="none"/>
          <w:tab w:pos="1456" w:val="left" w:leader="none"/>
        </w:tabs>
        <w:spacing w:line="240" w:lineRule="auto" w:before="80" w:after="0"/>
        <w:ind w:left="1455" w:right="0" w:hanging="549"/>
        <w:jc w:val="left"/>
        <w:rPr>
          <w:sz w:val="17"/>
        </w:rPr>
      </w:pPr>
      <w:r>
        <w:rPr>
          <w:sz w:val="17"/>
        </w:rPr>
        <w:t>Con  ayuda  de  un  microscopio  óptico  se  contaron  el  número  total  de  oosporas  que   </w:t>
      </w:r>
      <w:r>
        <w:rPr>
          <w:spacing w:val="4"/>
          <w:sz w:val="17"/>
        </w:rPr>
        <w:t> </w:t>
      </w:r>
      <w:r>
        <w:rPr>
          <w:sz w:val="17"/>
        </w:rPr>
        <w:t>se</w:t>
      </w:r>
    </w:p>
    <w:p>
      <w:pPr>
        <w:pStyle w:val="BodyText"/>
        <w:spacing w:before="6"/>
        <w:rPr>
          <w:rFonts w:ascii="Times New Roman"/>
          <w:sz w:val="10"/>
        </w:rPr>
      </w:pPr>
    </w:p>
    <w:p>
      <w:pPr>
        <w:pStyle w:val="ListParagraph"/>
        <w:numPr>
          <w:ilvl w:val="0"/>
          <w:numId w:val="23"/>
        </w:numPr>
        <w:tabs>
          <w:tab w:pos="1455" w:val="left" w:leader="none"/>
          <w:tab w:pos="1456" w:val="left" w:leader="none"/>
        </w:tabs>
        <w:spacing w:line="240" w:lineRule="auto" w:before="80" w:after="0"/>
        <w:ind w:left="1455" w:right="0" w:hanging="549"/>
        <w:jc w:val="left"/>
        <w:rPr>
          <w:sz w:val="17"/>
        </w:rPr>
      </w:pPr>
      <w:r>
        <w:rPr>
          <w:sz w:val="17"/>
        </w:rPr>
        <w:t>encontraban</w:t>
      </w:r>
      <w:r>
        <w:rPr>
          <w:spacing w:val="26"/>
          <w:sz w:val="17"/>
        </w:rPr>
        <w:t> </w:t>
      </w:r>
      <w:r>
        <w:rPr>
          <w:sz w:val="17"/>
        </w:rPr>
        <w:t>entre</w:t>
      </w:r>
      <w:r>
        <w:rPr>
          <w:spacing w:val="26"/>
          <w:sz w:val="17"/>
        </w:rPr>
        <w:t> </w:t>
      </w:r>
      <w:r>
        <w:rPr>
          <w:sz w:val="17"/>
        </w:rPr>
        <w:t>y</w:t>
      </w:r>
      <w:r>
        <w:rPr>
          <w:spacing w:val="26"/>
          <w:sz w:val="17"/>
        </w:rPr>
        <w:t> </w:t>
      </w:r>
      <w:r>
        <w:rPr>
          <w:sz w:val="17"/>
        </w:rPr>
        <w:t>sobre</w:t>
      </w:r>
      <w:r>
        <w:rPr>
          <w:spacing w:val="26"/>
          <w:sz w:val="17"/>
        </w:rPr>
        <w:t> </w:t>
      </w:r>
      <w:r>
        <w:rPr>
          <w:sz w:val="17"/>
        </w:rPr>
        <w:t>la</w:t>
      </w:r>
      <w:r>
        <w:rPr>
          <w:spacing w:val="26"/>
          <w:sz w:val="17"/>
        </w:rPr>
        <w:t> </w:t>
      </w:r>
      <w:r>
        <w:rPr>
          <w:sz w:val="17"/>
        </w:rPr>
        <w:t>superficie</w:t>
      </w:r>
      <w:r>
        <w:rPr>
          <w:spacing w:val="26"/>
          <w:sz w:val="17"/>
        </w:rPr>
        <w:t> </w:t>
      </w:r>
      <w:r>
        <w:rPr>
          <w:sz w:val="17"/>
        </w:rPr>
        <w:t>del</w:t>
      </w:r>
      <w:r>
        <w:rPr>
          <w:spacing w:val="26"/>
          <w:sz w:val="17"/>
        </w:rPr>
        <w:t> </w:t>
      </w:r>
      <w:r>
        <w:rPr>
          <w:sz w:val="17"/>
        </w:rPr>
        <w:t>micelio</w:t>
      </w:r>
      <w:r>
        <w:rPr>
          <w:spacing w:val="26"/>
          <w:sz w:val="17"/>
        </w:rPr>
        <w:t> </w:t>
      </w:r>
      <w:r>
        <w:rPr>
          <w:sz w:val="17"/>
        </w:rPr>
        <w:t>en</w:t>
      </w:r>
      <w:r>
        <w:rPr>
          <w:spacing w:val="26"/>
          <w:sz w:val="17"/>
        </w:rPr>
        <w:t> </w:t>
      </w:r>
      <w:r>
        <w:rPr>
          <w:sz w:val="17"/>
        </w:rPr>
        <w:t>cada</w:t>
      </w:r>
      <w:r>
        <w:rPr>
          <w:spacing w:val="26"/>
          <w:sz w:val="17"/>
        </w:rPr>
        <w:t> </w:t>
      </w:r>
      <w:r>
        <w:rPr>
          <w:sz w:val="17"/>
        </w:rPr>
        <w:t>caja</w:t>
      </w:r>
      <w:r>
        <w:rPr>
          <w:spacing w:val="26"/>
          <w:sz w:val="17"/>
        </w:rPr>
        <w:t> </w:t>
      </w:r>
      <w:r>
        <w:rPr>
          <w:sz w:val="17"/>
        </w:rPr>
        <w:t>Petri</w:t>
      </w:r>
      <w:r>
        <w:rPr>
          <w:spacing w:val="26"/>
          <w:sz w:val="17"/>
        </w:rPr>
        <w:t> </w:t>
      </w:r>
      <w:r>
        <w:rPr>
          <w:sz w:val="17"/>
        </w:rPr>
        <w:t>(9</w:t>
      </w:r>
      <w:r>
        <w:rPr>
          <w:spacing w:val="26"/>
          <w:sz w:val="17"/>
        </w:rPr>
        <w:t> </w:t>
      </w:r>
      <w:r>
        <w:rPr>
          <w:sz w:val="17"/>
        </w:rPr>
        <w:t>cm</w:t>
      </w:r>
      <w:r>
        <w:rPr>
          <w:spacing w:val="26"/>
          <w:sz w:val="17"/>
        </w:rPr>
        <w:t> </w:t>
      </w:r>
      <w:r>
        <w:rPr>
          <w:sz w:val="17"/>
        </w:rPr>
        <w:t>de</w:t>
      </w:r>
      <w:r>
        <w:rPr>
          <w:spacing w:val="26"/>
          <w:sz w:val="17"/>
        </w:rPr>
        <w:t> </w:t>
      </w:r>
      <w:r>
        <w:rPr>
          <w:sz w:val="17"/>
        </w:rPr>
        <w:t>diámetro)</w:t>
      </w:r>
    </w:p>
    <w:p>
      <w:pPr>
        <w:pStyle w:val="BodyText"/>
        <w:spacing w:before="6"/>
        <w:rPr>
          <w:rFonts w:ascii="Times New Roman"/>
          <w:sz w:val="10"/>
        </w:rPr>
      </w:pPr>
    </w:p>
    <w:p>
      <w:pPr>
        <w:pStyle w:val="ListParagraph"/>
        <w:numPr>
          <w:ilvl w:val="0"/>
          <w:numId w:val="23"/>
        </w:numPr>
        <w:tabs>
          <w:tab w:pos="1455" w:val="left" w:leader="none"/>
          <w:tab w:pos="1456" w:val="left" w:leader="none"/>
        </w:tabs>
        <w:spacing w:line="240" w:lineRule="auto" w:before="80" w:after="0"/>
        <w:ind w:left="1455" w:right="0" w:hanging="549"/>
        <w:jc w:val="left"/>
        <w:rPr>
          <w:sz w:val="17"/>
        </w:rPr>
      </w:pPr>
      <w:r>
        <w:rPr>
          <w:sz w:val="17"/>
        </w:rPr>
        <w:t>veinte</w:t>
      </w:r>
      <w:r>
        <w:rPr>
          <w:spacing w:val="17"/>
          <w:sz w:val="17"/>
        </w:rPr>
        <w:t> </w:t>
      </w:r>
      <w:r>
        <w:rPr>
          <w:sz w:val="17"/>
        </w:rPr>
        <w:t>días</w:t>
      </w:r>
      <w:r>
        <w:rPr>
          <w:spacing w:val="17"/>
          <w:sz w:val="17"/>
        </w:rPr>
        <w:t> </w:t>
      </w:r>
      <w:r>
        <w:rPr>
          <w:sz w:val="17"/>
        </w:rPr>
        <w:t>después</w:t>
      </w:r>
      <w:r>
        <w:rPr>
          <w:spacing w:val="17"/>
          <w:sz w:val="17"/>
        </w:rPr>
        <w:t> </w:t>
      </w:r>
      <w:r>
        <w:rPr>
          <w:sz w:val="17"/>
        </w:rPr>
        <w:t>del</w:t>
      </w:r>
      <w:r>
        <w:rPr>
          <w:spacing w:val="17"/>
          <w:sz w:val="17"/>
        </w:rPr>
        <w:t> </w:t>
      </w:r>
      <w:r>
        <w:rPr>
          <w:sz w:val="17"/>
        </w:rPr>
        <w:t>enfrentamiento</w:t>
      </w:r>
      <w:r>
        <w:rPr>
          <w:spacing w:val="17"/>
          <w:sz w:val="17"/>
        </w:rPr>
        <w:t> </w:t>
      </w:r>
      <w:r>
        <w:rPr>
          <w:sz w:val="17"/>
        </w:rPr>
        <w:t>entre</w:t>
      </w:r>
      <w:r>
        <w:rPr>
          <w:spacing w:val="17"/>
          <w:sz w:val="17"/>
        </w:rPr>
        <w:t> </w:t>
      </w:r>
      <w:r>
        <w:rPr>
          <w:sz w:val="17"/>
        </w:rPr>
        <w:t>los</w:t>
      </w:r>
      <w:r>
        <w:rPr>
          <w:spacing w:val="17"/>
          <w:sz w:val="17"/>
        </w:rPr>
        <w:t> </w:t>
      </w:r>
      <w:r>
        <w:rPr>
          <w:sz w:val="17"/>
        </w:rPr>
        <w:t>aislamientos</w:t>
      </w:r>
      <w:r>
        <w:rPr>
          <w:spacing w:val="17"/>
          <w:sz w:val="17"/>
        </w:rPr>
        <w:t> </w:t>
      </w:r>
      <w:r>
        <w:rPr>
          <w:sz w:val="17"/>
        </w:rPr>
        <w:t>homotálicos</w:t>
      </w:r>
      <w:r>
        <w:rPr>
          <w:spacing w:val="17"/>
          <w:sz w:val="17"/>
        </w:rPr>
        <w:t> </w:t>
      </w:r>
      <w:r>
        <w:rPr>
          <w:sz w:val="17"/>
        </w:rPr>
        <w:t>y</w:t>
      </w:r>
      <w:r>
        <w:rPr>
          <w:spacing w:val="17"/>
          <w:sz w:val="17"/>
        </w:rPr>
        <w:t> </w:t>
      </w:r>
      <w:r>
        <w:rPr>
          <w:sz w:val="17"/>
        </w:rPr>
        <w:t>los</w:t>
      </w:r>
      <w:r>
        <w:rPr>
          <w:spacing w:val="17"/>
          <w:sz w:val="17"/>
        </w:rPr>
        <w:t> </w:t>
      </w:r>
      <w:r>
        <w:rPr>
          <w:sz w:val="17"/>
        </w:rPr>
        <w:t>aislados</w:t>
      </w:r>
      <w:r>
        <w:rPr>
          <w:spacing w:val="17"/>
          <w:sz w:val="17"/>
        </w:rPr>
        <w:t> </w:t>
      </w:r>
      <w:r>
        <w:rPr>
          <w:sz w:val="17"/>
        </w:rPr>
        <w:t>de</w:t>
      </w:r>
    </w:p>
    <w:p>
      <w:pPr>
        <w:pStyle w:val="BodyText"/>
        <w:spacing w:before="6"/>
        <w:rPr>
          <w:rFonts w:ascii="Times New Roman"/>
          <w:sz w:val="10"/>
        </w:rPr>
      </w:pPr>
    </w:p>
    <w:p>
      <w:pPr>
        <w:pStyle w:val="ListParagraph"/>
        <w:numPr>
          <w:ilvl w:val="0"/>
          <w:numId w:val="23"/>
        </w:numPr>
        <w:tabs>
          <w:tab w:pos="1455" w:val="left" w:leader="none"/>
          <w:tab w:pos="1456" w:val="left" w:leader="none"/>
        </w:tabs>
        <w:spacing w:line="240" w:lineRule="auto" w:before="80" w:after="0"/>
        <w:ind w:left="1455" w:right="0" w:hanging="549"/>
        <w:jc w:val="left"/>
        <w:rPr>
          <w:sz w:val="17"/>
        </w:rPr>
      </w:pPr>
      <w:r>
        <w:rPr>
          <w:sz w:val="17"/>
        </w:rPr>
        <w:t>referencia</w:t>
      </w:r>
      <w:r>
        <w:rPr>
          <w:spacing w:val="26"/>
          <w:sz w:val="17"/>
        </w:rPr>
        <w:t> </w:t>
      </w:r>
      <w:r>
        <w:rPr>
          <w:sz w:val="17"/>
        </w:rPr>
        <w:t>heterotálicos</w:t>
      </w:r>
      <w:r>
        <w:rPr>
          <w:spacing w:val="26"/>
          <w:sz w:val="17"/>
        </w:rPr>
        <w:t> </w:t>
      </w:r>
      <w:r>
        <w:rPr>
          <w:sz w:val="17"/>
        </w:rPr>
        <w:t>(Groves</w:t>
      </w:r>
      <w:r>
        <w:rPr>
          <w:spacing w:val="26"/>
          <w:sz w:val="17"/>
        </w:rPr>
        <w:t> </w:t>
      </w:r>
      <w:r>
        <w:rPr>
          <w:sz w:val="17"/>
        </w:rPr>
        <w:t>y</w:t>
      </w:r>
      <w:r>
        <w:rPr>
          <w:spacing w:val="26"/>
          <w:sz w:val="17"/>
        </w:rPr>
        <w:t> </w:t>
      </w:r>
      <w:r>
        <w:rPr>
          <w:sz w:val="17"/>
        </w:rPr>
        <w:t>Ristaino,</w:t>
      </w:r>
      <w:r>
        <w:rPr>
          <w:spacing w:val="26"/>
          <w:sz w:val="17"/>
        </w:rPr>
        <w:t> </w:t>
      </w:r>
      <w:r>
        <w:rPr>
          <w:sz w:val="17"/>
        </w:rPr>
        <w:t>2000;</w:t>
      </w:r>
      <w:r>
        <w:rPr>
          <w:spacing w:val="26"/>
          <w:sz w:val="17"/>
        </w:rPr>
        <w:t> </w:t>
      </w:r>
      <w:r>
        <w:rPr>
          <w:sz w:val="17"/>
        </w:rPr>
        <w:t>Han</w:t>
      </w:r>
      <w:r>
        <w:rPr>
          <w:spacing w:val="26"/>
          <w:sz w:val="17"/>
        </w:rPr>
        <w:t> </w:t>
      </w:r>
      <w:r>
        <w:rPr>
          <w:i/>
          <w:sz w:val="17"/>
        </w:rPr>
        <w:t>et.</w:t>
      </w:r>
      <w:r>
        <w:rPr>
          <w:i/>
          <w:spacing w:val="16"/>
          <w:sz w:val="17"/>
        </w:rPr>
        <w:t> </w:t>
      </w:r>
      <w:r>
        <w:rPr>
          <w:i/>
          <w:sz w:val="17"/>
        </w:rPr>
        <w:t>al</w:t>
      </w:r>
      <w:r>
        <w:rPr>
          <w:sz w:val="17"/>
        </w:rPr>
        <w:t>.,</w:t>
      </w:r>
      <w:r>
        <w:rPr>
          <w:spacing w:val="26"/>
          <w:sz w:val="17"/>
        </w:rPr>
        <w:t> </w:t>
      </w:r>
      <w:r>
        <w:rPr>
          <w:sz w:val="17"/>
        </w:rPr>
        <w:t>2013).</w:t>
      </w:r>
      <w:r>
        <w:rPr>
          <w:spacing w:val="26"/>
          <w:sz w:val="17"/>
        </w:rPr>
        <w:t> </w:t>
      </w:r>
      <w:r>
        <w:rPr>
          <w:sz w:val="17"/>
        </w:rPr>
        <w:t>De</w:t>
      </w:r>
      <w:r>
        <w:rPr>
          <w:spacing w:val="26"/>
          <w:sz w:val="17"/>
        </w:rPr>
        <w:t> </w:t>
      </w:r>
      <w:r>
        <w:rPr>
          <w:sz w:val="17"/>
        </w:rPr>
        <w:t>igual</w:t>
      </w:r>
      <w:r>
        <w:rPr>
          <w:spacing w:val="26"/>
          <w:sz w:val="17"/>
        </w:rPr>
        <w:t> </w:t>
      </w:r>
      <w:r>
        <w:rPr>
          <w:sz w:val="17"/>
        </w:rPr>
        <w:t>manera,</w:t>
      </w:r>
      <w:r>
        <w:rPr>
          <w:spacing w:val="26"/>
          <w:sz w:val="17"/>
        </w:rPr>
        <w:t> </w:t>
      </w:r>
      <w:r>
        <w:rPr>
          <w:sz w:val="17"/>
        </w:rPr>
        <w:t>se</w:t>
      </w:r>
    </w:p>
    <w:p>
      <w:pPr>
        <w:pStyle w:val="BodyText"/>
        <w:spacing w:before="6"/>
        <w:rPr>
          <w:rFonts w:ascii="Times New Roman"/>
          <w:sz w:val="10"/>
        </w:rPr>
      </w:pPr>
    </w:p>
    <w:p>
      <w:pPr>
        <w:pStyle w:val="ListParagraph"/>
        <w:numPr>
          <w:ilvl w:val="0"/>
          <w:numId w:val="23"/>
        </w:numPr>
        <w:tabs>
          <w:tab w:pos="1455" w:val="left" w:leader="none"/>
          <w:tab w:pos="1456" w:val="left" w:leader="none"/>
        </w:tabs>
        <w:spacing w:line="240" w:lineRule="auto" w:before="80" w:after="0"/>
        <w:ind w:left="1455" w:right="0" w:hanging="549"/>
        <w:jc w:val="left"/>
        <w:rPr>
          <w:sz w:val="17"/>
        </w:rPr>
      </w:pPr>
      <w:r>
        <w:rPr>
          <w:sz w:val="17"/>
        </w:rPr>
        <w:t>cuantificaron las oosporas producidas por los aislamientos homotálicos por sí    solos.</w:t>
      </w:r>
    </w:p>
    <w:p>
      <w:pPr>
        <w:pStyle w:val="BodyText"/>
        <w:spacing w:before="5"/>
        <w:rPr>
          <w:rFonts w:ascii="Times New Roman"/>
          <w:sz w:val="17"/>
        </w:rPr>
      </w:pPr>
    </w:p>
    <w:p>
      <w:pPr>
        <w:pStyle w:val="ListParagraph"/>
        <w:numPr>
          <w:ilvl w:val="0"/>
          <w:numId w:val="23"/>
        </w:numPr>
        <w:tabs>
          <w:tab w:pos="1199" w:val="left" w:leader="none"/>
        </w:tabs>
        <w:spacing w:line="240" w:lineRule="auto" w:before="0" w:after="0"/>
        <w:ind w:left="1198" w:right="0" w:hanging="292"/>
        <w:jc w:val="left"/>
        <w:rPr>
          <w:rFonts w:ascii="Cambria"/>
          <w:sz w:val="17"/>
        </w:rPr>
      </w:pPr>
    </w:p>
    <w:p>
      <w:pPr>
        <w:pStyle w:val="BodyText"/>
        <w:spacing w:before="1"/>
        <w:rPr>
          <w:rFonts w:ascii="Cambria"/>
          <w:sz w:val="17"/>
        </w:rPr>
      </w:pPr>
    </w:p>
    <w:p>
      <w:pPr>
        <w:pStyle w:val="ListParagraph"/>
        <w:numPr>
          <w:ilvl w:val="0"/>
          <w:numId w:val="23"/>
        </w:numPr>
        <w:tabs>
          <w:tab w:pos="1199" w:val="left" w:leader="none"/>
        </w:tabs>
        <w:spacing w:line="240" w:lineRule="auto" w:before="0" w:after="0"/>
        <w:ind w:left="1198" w:right="0" w:hanging="292"/>
        <w:jc w:val="left"/>
        <w:rPr>
          <w:rFonts w:ascii="Cambria"/>
          <w:sz w:val="17"/>
        </w:rPr>
      </w:pPr>
    </w:p>
    <w:p>
      <w:pPr>
        <w:pStyle w:val="BodyText"/>
        <w:spacing w:before="1"/>
        <w:rPr>
          <w:rFonts w:ascii="Cambria"/>
          <w:sz w:val="17"/>
        </w:rPr>
      </w:pPr>
    </w:p>
    <w:p>
      <w:pPr>
        <w:pStyle w:val="ListParagraph"/>
        <w:numPr>
          <w:ilvl w:val="0"/>
          <w:numId w:val="23"/>
        </w:numPr>
        <w:tabs>
          <w:tab w:pos="1199" w:val="left" w:leader="none"/>
        </w:tabs>
        <w:spacing w:line="240" w:lineRule="auto" w:before="0" w:after="0"/>
        <w:ind w:left="1198" w:right="0" w:hanging="292"/>
        <w:jc w:val="left"/>
        <w:rPr>
          <w:rFonts w:ascii="Cambria"/>
          <w:sz w:val="17"/>
        </w:rPr>
      </w:pPr>
    </w:p>
    <w:p>
      <w:pPr>
        <w:pStyle w:val="BodyText"/>
        <w:spacing w:before="1"/>
        <w:rPr>
          <w:rFonts w:ascii="Cambria"/>
          <w:sz w:val="17"/>
        </w:rPr>
      </w:pPr>
    </w:p>
    <w:p>
      <w:pPr>
        <w:pStyle w:val="ListParagraph"/>
        <w:numPr>
          <w:ilvl w:val="0"/>
          <w:numId w:val="23"/>
        </w:numPr>
        <w:tabs>
          <w:tab w:pos="1199" w:val="left" w:leader="none"/>
        </w:tabs>
        <w:spacing w:line="240" w:lineRule="auto" w:before="0" w:after="0"/>
        <w:ind w:left="1198" w:right="0" w:hanging="292"/>
        <w:jc w:val="left"/>
        <w:rPr>
          <w:rFonts w:ascii="Cambria"/>
          <w:sz w:val="17"/>
        </w:rPr>
      </w:pPr>
    </w:p>
    <w:p>
      <w:pPr>
        <w:spacing w:after="0" w:line="240" w:lineRule="auto"/>
        <w:jc w:val="left"/>
        <w:rPr>
          <w:rFonts w:ascii="Cambria"/>
          <w:sz w:val="17"/>
        </w:rPr>
        <w:sectPr>
          <w:footerReference w:type="default" r:id="rId57"/>
          <w:pgSz w:w="12240" w:h="15840"/>
          <w:pgMar w:footer="740" w:header="719" w:top="1260" w:bottom="920" w:left="1460" w:right="1440"/>
        </w:sect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spacing w:before="1"/>
        <w:rPr>
          <w:rFonts w:ascii="Cambria"/>
          <w:sz w:val="20"/>
        </w:rPr>
      </w:pPr>
    </w:p>
    <w:p>
      <w:pPr>
        <w:pStyle w:val="ListParagraph"/>
        <w:numPr>
          <w:ilvl w:val="0"/>
          <w:numId w:val="23"/>
        </w:numPr>
        <w:tabs>
          <w:tab w:pos="1450" w:val="left" w:leader="none"/>
          <w:tab w:pos="1451" w:val="left" w:leader="none"/>
        </w:tabs>
        <w:spacing w:line="240" w:lineRule="auto" w:before="80" w:after="0"/>
        <w:ind w:left="1450" w:right="0" w:hanging="552"/>
        <w:jc w:val="left"/>
        <w:rPr>
          <w:b/>
          <w:sz w:val="17"/>
        </w:rPr>
      </w:pPr>
      <w:r>
        <w:rPr>
          <w:b/>
          <w:sz w:val="17"/>
        </w:rPr>
        <w:t>Análisis</w:t>
      </w:r>
      <w:r>
        <w:rPr>
          <w:b/>
          <w:spacing w:val="36"/>
          <w:sz w:val="17"/>
        </w:rPr>
        <w:t> </w:t>
      </w:r>
      <w:r>
        <w:rPr>
          <w:b/>
          <w:sz w:val="17"/>
        </w:rPr>
        <w:t>estadístico</w:t>
      </w:r>
    </w:p>
    <w:p>
      <w:pPr>
        <w:pStyle w:val="BodyText"/>
        <w:spacing w:before="7"/>
        <w:rPr>
          <w:rFonts w:ascii="Times New Roman"/>
          <w:b/>
          <w:sz w:val="10"/>
        </w:rPr>
      </w:pPr>
    </w:p>
    <w:p>
      <w:pPr>
        <w:pStyle w:val="ListParagraph"/>
        <w:numPr>
          <w:ilvl w:val="0"/>
          <w:numId w:val="23"/>
        </w:numPr>
        <w:tabs>
          <w:tab w:pos="1450" w:val="left" w:leader="none"/>
          <w:tab w:pos="1451" w:val="left" w:leader="none"/>
        </w:tabs>
        <w:spacing w:line="240" w:lineRule="auto" w:before="80" w:after="0"/>
        <w:ind w:left="1450" w:right="0" w:hanging="552"/>
        <w:jc w:val="left"/>
        <w:rPr>
          <w:sz w:val="17"/>
        </w:rPr>
      </w:pPr>
      <w:r>
        <w:rPr>
          <w:w w:val="105"/>
          <w:sz w:val="17"/>
        </w:rPr>
        <w:t>Los datos del número de oosporas producidas obtenidos para cada uno de los ensayos  </w:t>
      </w:r>
      <w:r>
        <w:rPr>
          <w:spacing w:val="20"/>
          <w:w w:val="105"/>
          <w:sz w:val="17"/>
        </w:rPr>
        <w:t> </w:t>
      </w:r>
      <w:r>
        <w:rPr>
          <w:w w:val="105"/>
          <w:sz w:val="17"/>
        </w:rPr>
        <w:t>se</w:t>
      </w:r>
    </w:p>
    <w:p>
      <w:pPr>
        <w:pStyle w:val="BodyText"/>
        <w:spacing w:before="7"/>
        <w:rPr>
          <w:rFonts w:ascii="Times New Roman"/>
          <w:sz w:val="10"/>
        </w:rPr>
      </w:pPr>
    </w:p>
    <w:p>
      <w:pPr>
        <w:pStyle w:val="ListParagraph"/>
        <w:numPr>
          <w:ilvl w:val="0"/>
          <w:numId w:val="23"/>
        </w:numPr>
        <w:tabs>
          <w:tab w:pos="1450" w:val="left" w:leader="none"/>
          <w:tab w:pos="1451" w:val="left" w:leader="none"/>
        </w:tabs>
        <w:spacing w:line="240" w:lineRule="auto" w:before="80" w:after="0"/>
        <w:ind w:left="1450" w:right="0" w:hanging="552"/>
        <w:jc w:val="left"/>
        <w:rPr>
          <w:sz w:val="17"/>
        </w:rPr>
      </w:pPr>
      <w:r>
        <w:rPr>
          <w:w w:val="105"/>
          <w:sz w:val="17"/>
        </w:rPr>
        <w:t>sometieron</w:t>
      </w:r>
      <w:r>
        <w:rPr>
          <w:spacing w:val="-4"/>
          <w:w w:val="105"/>
          <w:sz w:val="17"/>
        </w:rPr>
        <w:t> </w:t>
      </w:r>
      <w:r>
        <w:rPr>
          <w:w w:val="105"/>
          <w:sz w:val="17"/>
        </w:rPr>
        <w:t>a</w:t>
      </w:r>
      <w:r>
        <w:rPr>
          <w:spacing w:val="-4"/>
          <w:w w:val="105"/>
          <w:sz w:val="17"/>
        </w:rPr>
        <w:t> </w:t>
      </w:r>
      <w:r>
        <w:rPr>
          <w:w w:val="105"/>
          <w:sz w:val="17"/>
        </w:rPr>
        <w:t>análisis</w:t>
      </w:r>
      <w:r>
        <w:rPr>
          <w:spacing w:val="-4"/>
          <w:w w:val="105"/>
          <w:sz w:val="17"/>
        </w:rPr>
        <w:t> </w:t>
      </w:r>
      <w:r>
        <w:rPr>
          <w:w w:val="105"/>
          <w:sz w:val="17"/>
        </w:rPr>
        <w:t>de</w:t>
      </w:r>
      <w:r>
        <w:rPr>
          <w:spacing w:val="-4"/>
          <w:w w:val="105"/>
          <w:sz w:val="17"/>
        </w:rPr>
        <w:t> </w:t>
      </w:r>
      <w:r>
        <w:rPr>
          <w:w w:val="105"/>
          <w:sz w:val="17"/>
        </w:rPr>
        <w:t>varianza</w:t>
      </w:r>
      <w:r>
        <w:rPr>
          <w:spacing w:val="-4"/>
          <w:w w:val="105"/>
          <w:sz w:val="17"/>
        </w:rPr>
        <w:t> </w:t>
      </w:r>
      <w:r>
        <w:rPr>
          <w:w w:val="105"/>
          <w:sz w:val="17"/>
        </w:rPr>
        <w:t>y</w:t>
      </w:r>
      <w:r>
        <w:rPr>
          <w:spacing w:val="-4"/>
          <w:w w:val="105"/>
          <w:sz w:val="17"/>
        </w:rPr>
        <w:t> </w:t>
      </w:r>
      <w:r>
        <w:rPr>
          <w:w w:val="105"/>
          <w:sz w:val="17"/>
        </w:rPr>
        <w:t>prueba</w:t>
      </w:r>
      <w:r>
        <w:rPr>
          <w:spacing w:val="-4"/>
          <w:w w:val="105"/>
          <w:sz w:val="17"/>
        </w:rPr>
        <w:t> </w:t>
      </w:r>
      <w:r>
        <w:rPr>
          <w:w w:val="105"/>
          <w:sz w:val="17"/>
        </w:rPr>
        <w:t>de</w:t>
      </w:r>
      <w:r>
        <w:rPr>
          <w:spacing w:val="-4"/>
          <w:w w:val="105"/>
          <w:sz w:val="17"/>
        </w:rPr>
        <w:t> </w:t>
      </w:r>
      <w:r>
        <w:rPr>
          <w:w w:val="105"/>
          <w:sz w:val="17"/>
        </w:rPr>
        <w:t>comparación</w:t>
      </w:r>
      <w:r>
        <w:rPr>
          <w:spacing w:val="-4"/>
          <w:w w:val="105"/>
          <w:sz w:val="17"/>
        </w:rPr>
        <w:t> </w:t>
      </w:r>
      <w:r>
        <w:rPr>
          <w:w w:val="105"/>
          <w:sz w:val="17"/>
        </w:rPr>
        <w:t>de</w:t>
      </w:r>
      <w:r>
        <w:rPr>
          <w:spacing w:val="-4"/>
          <w:w w:val="105"/>
          <w:sz w:val="17"/>
        </w:rPr>
        <w:t> </w:t>
      </w:r>
      <w:r>
        <w:rPr>
          <w:w w:val="105"/>
          <w:sz w:val="17"/>
        </w:rPr>
        <w:t>medias</w:t>
      </w:r>
      <w:r>
        <w:rPr>
          <w:spacing w:val="-4"/>
          <w:w w:val="105"/>
          <w:sz w:val="17"/>
        </w:rPr>
        <w:t> </w:t>
      </w:r>
      <w:r>
        <w:rPr>
          <w:w w:val="105"/>
          <w:sz w:val="17"/>
        </w:rPr>
        <w:t>de</w:t>
      </w:r>
      <w:r>
        <w:rPr>
          <w:spacing w:val="-4"/>
          <w:w w:val="105"/>
          <w:sz w:val="17"/>
        </w:rPr>
        <w:t> </w:t>
      </w:r>
      <w:r>
        <w:rPr>
          <w:w w:val="105"/>
          <w:sz w:val="17"/>
        </w:rPr>
        <w:t>Tukey</w:t>
      </w:r>
      <w:r>
        <w:rPr>
          <w:spacing w:val="-4"/>
          <w:w w:val="105"/>
          <w:sz w:val="17"/>
        </w:rPr>
        <w:t> </w:t>
      </w:r>
      <w:r>
        <w:rPr>
          <w:w w:val="105"/>
          <w:sz w:val="17"/>
        </w:rPr>
        <w:t>(p</w:t>
      </w:r>
      <w:r>
        <w:rPr>
          <w:spacing w:val="-4"/>
          <w:w w:val="105"/>
          <w:sz w:val="17"/>
        </w:rPr>
        <w:t> </w:t>
      </w:r>
      <w:r>
        <w:rPr>
          <w:w w:val="105"/>
          <w:sz w:val="17"/>
        </w:rPr>
        <w:t>&lt;</w:t>
      </w:r>
      <w:r>
        <w:rPr>
          <w:spacing w:val="-4"/>
          <w:w w:val="105"/>
          <w:sz w:val="17"/>
        </w:rPr>
        <w:t> </w:t>
      </w:r>
      <w:r>
        <w:rPr>
          <w:w w:val="105"/>
          <w:sz w:val="17"/>
        </w:rPr>
        <w:t>0.05),</w:t>
      </w:r>
    </w:p>
    <w:p>
      <w:pPr>
        <w:pStyle w:val="BodyText"/>
        <w:spacing w:before="7"/>
        <w:rPr>
          <w:rFonts w:ascii="Times New Roman"/>
          <w:sz w:val="10"/>
        </w:rPr>
      </w:pPr>
    </w:p>
    <w:p>
      <w:pPr>
        <w:pStyle w:val="ListParagraph"/>
        <w:numPr>
          <w:ilvl w:val="0"/>
          <w:numId w:val="23"/>
        </w:numPr>
        <w:tabs>
          <w:tab w:pos="1450" w:val="left" w:leader="none"/>
          <w:tab w:pos="1451" w:val="left" w:leader="none"/>
        </w:tabs>
        <w:spacing w:line="240" w:lineRule="auto" w:before="80" w:after="0"/>
        <w:ind w:left="1450" w:right="0" w:hanging="552"/>
        <w:jc w:val="left"/>
        <w:rPr>
          <w:sz w:val="17"/>
        </w:rPr>
      </w:pPr>
      <w:r>
        <w:rPr>
          <w:w w:val="105"/>
          <w:sz w:val="17"/>
        </w:rPr>
        <w:t>con</w:t>
      </w:r>
      <w:r>
        <w:rPr>
          <w:spacing w:val="-12"/>
          <w:w w:val="105"/>
          <w:sz w:val="17"/>
        </w:rPr>
        <w:t> </w:t>
      </w:r>
      <w:r>
        <w:rPr>
          <w:w w:val="105"/>
          <w:sz w:val="17"/>
        </w:rPr>
        <w:t>el</w:t>
      </w:r>
      <w:r>
        <w:rPr>
          <w:spacing w:val="-12"/>
          <w:w w:val="105"/>
          <w:sz w:val="17"/>
        </w:rPr>
        <w:t> </w:t>
      </w:r>
      <w:r>
        <w:rPr>
          <w:w w:val="105"/>
          <w:sz w:val="17"/>
        </w:rPr>
        <w:t>paquete</w:t>
      </w:r>
      <w:r>
        <w:rPr>
          <w:spacing w:val="-12"/>
          <w:w w:val="105"/>
          <w:sz w:val="17"/>
        </w:rPr>
        <w:t> </w:t>
      </w:r>
      <w:r>
        <w:rPr>
          <w:w w:val="105"/>
          <w:sz w:val="17"/>
        </w:rPr>
        <w:t>estadístico</w:t>
      </w:r>
      <w:r>
        <w:rPr>
          <w:spacing w:val="-12"/>
          <w:w w:val="105"/>
          <w:sz w:val="17"/>
        </w:rPr>
        <w:t> </w:t>
      </w:r>
      <w:r>
        <w:rPr>
          <w:w w:val="105"/>
          <w:sz w:val="17"/>
        </w:rPr>
        <w:t>SAS</w:t>
      </w:r>
      <w:r>
        <w:rPr>
          <w:spacing w:val="-12"/>
          <w:w w:val="105"/>
          <w:sz w:val="17"/>
        </w:rPr>
        <w:t> </w:t>
      </w:r>
      <w:r>
        <w:rPr>
          <w:w w:val="105"/>
          <w:sz w:val="17"/>
        </w:rPr>
        <w:t>versión</w:t>
      </w:r>
      <w:r>
        <w:rPr>
          <w:spacing w:val="-12"/>
          <w:w w:val="105"/>
          <w:sz w:val="17"/>
        </w:rPr>
        <w:t> </w:t>
      </w:r>
      <w:r>
        <w:rPr>
          <w:w w:val="105"/>
          <w:sz w:val="17"/>
        </w:rPr>
        <w:t>9.0</w:t>
      </w:r>
      <w:r>
        <w:rPr>
          <w:spacing w:val="-12"/>
          <w:w w:val="105"/>
          <w:sz w:val="17"/>
        </w:rPr>
        <w:t> </w:t>
      </w:r>
      <w:r>
        <w:rPr>
          <w:w w:val="105"/>
          <w:sz w:val="17"/>
        </w:rPr>
        <w:t>(SAS</w:t>
      </w:r>
      <w:r>
        <w:rPr>
          <w:spacing w:val="-12"/>
          <w:w w:val="105"/>
          <w:sz w:val="17"/>
        </w:rPr>
        <w:t> </w:t>
      </w:r>
      <w:r>
        <w:rPr>
          <w:w w:val="105"/>
          <w:sz w:val="17"/>
        </w:rPr>
        <w:t>Institute,</w:t>
      </w:r>
      <w:r>
        <w:rPr>
          <w:spacing w:val="-12"/>
          <w:w w:val="105"/>
          <w:sz w:val="17"/>
        </w:rPr>
        <w:t> </w:t>
      </w:r>
      <w:r>
        <w:rPr>
          <w:w w:val="105"/>
          <w:sz w:val="17"/>
        </w:rPr>
        <w:t>2002)</w:t>
      </w:r>
    </w:p>
    <w:p>
      <w:pPr>
        <w:pStyle w:val="BodyText"/>
        <w:spacing w:before="6"/>
        <w:rPr>
          <w:rFonts w:ascii="Times New Roman"/>
          <w:sz w:val="17"/>
        </w:rPr>
      </w:pPr>
    </w:p>
    <w:p>
      <w:pPr>
        <w:pStyle w:val="ListParagraph"/>
        <w:numPr>
          <w:ilvl w:val="0"/>
          <w:numId w:val="23"/>
        </w:numPr>
        <w:tabs>
          <w:tab w:pos="1192" w:val="left" w:leader="none"/>
        </w:tabs>
        <w:spacing w:line="240" w:lineRule="auto" w:before="0" w:after="0"/>
        <w:ind w:left="1192" w:right="0" w:hanging="294"/>
        <w:jc w:val="left"/>
        <w:rPr>
          <w:rFonts w:ascii="Cambria"/>
          <w:sz w:val="17"/>
        </w:rPr>
      </w:pPr>
    </w:p>
    <w:p>
      <w:pPr>
        <w:pStyle w:val="BodyText"/>
        <w:spacing w:before="4"/>
        <w:rPr>
          <w:rFonts w:ascii="Cambria"/>
          <w:sz w:val="10"/>
        </w:rPr>
      </w:pPr>
    </w:p>
    <w:p>
      <w:pPr>
        <w:pStyle w:val="ListParagraph"/>
        <w:numPr>
          <w:ilvl w:val="0"/>
          <w:numId w:val="23"/>
        </w:numPr>
        <w:tabs>
          <w:tab w:pos="1450" w:val="left" w:leader="none"/>
          <w:tab w:pos="1451" w:val="left" w:leader="none"/>
        </w:tabs>
        <w:spacing w:line="240" w:lineRule="auto" w:before="80" w:after="0"/>
        <w:ind w:left="1450" w:right="0" w:hanging="552"/>
        <w:jc w:val="left"/>
        <w:rPr>
          <w:b/>
          <w:sz w:val="17"/>
        </w:rPr>
      </w:pPr>
      <w:r>
        <w:rPr>
          <w:b/>
          <w:w w:val="105"/>
          <w:sz w:val="17"/>
        </w:rPr>
        <w:t>RESULTADOS</w:t>
      </w:r>
    </w:p>
    <w:p>
      <w:pPr>
        <w:pStyle w:val="BodyText"/>
        <w:spacing w:before="7"/>
        <w:rPr>
          <w:rFonts w:ascii="Times New Roman"/>
          <w:b/>
          <w:sz w:val="10"/>
        </w:rPr>
      </w:pPr>
    </w:p>
    <w:p>
      <w:pPr>
        <w:pStyle w:val="ListParagraph"/>
        <w:numPr>
          <w:ilvl w:val="0"/>
          <w:numId w:val="23"/>
        </w:numPr>
        <w:tabs>
          <w:tab w:pos="1450" w:val="left" w:leader="none"/>
          <w:tab w:pos="1451" w:val="left" w:leader="none"/>
        </w:tabs>
        <w:spacing w:line="240" w:lineRule="auto" w:before="80" w:after="0"/>
        <w:ind w:left="1450" w:right="0" w:hanging="552"/>
        <w:jc w:val="left"/>
        <w:rPr>
          <w:sz w:val="17"/>
        </w:rPr>
      </w:pPr>
      <w:r>
        <w:rPr>
          <w:w w:val="105"/>
          <w:sz w:val="17"/>
        </w:rPr>
        <w:t>Progenie</w:t>
      </w:r>
      <w:r>
        <w:rPr>
          <w:spacing w:val="-15"/>
          <w:w w:val="105"/>
          <w:sz w:val="17"/>
        </w:rPr>
        <w:t> </w:t>
      </w:r>
      <w:r>
        <w:rPr>
          <w:w w:val="105"/>
          <w:sz w:val="17"/>
        </w:rPr>
        <w:t>de</w:t>
      </w:r>
      <w:r>
        <w:rPr>
          <w:spacing w:val="-15"/>
          <w:w w:val="105"/>
          <w:sz w:val="17"/>
        </w:rPr>
        <w:t> </w:t>
      </w:r>
      <w:r>
        <w:rPr>
          <w:w w:val="105"/>
          <w:sz w:val="17"/>
        </w:rPr>
        <w:t>los</w:t>
      </w:r>
      <w:r>
        <w:rPr>
          <w:spacing w:val="-15"/>
          <w:w w:val="105"/>
          <w:sz w:val="17"/>
        </w:rPr>
        <w:t> </w:t>
      </w:r>
      <w:r>
        <w:rPr>
          <w:w w:val="105"/>
          <w:sz w:val="17"/>
        </w:rPr>
        <w:t>aislados</w:t>
      </w:r>
      <w:r>
        <w:rPr>
          <w:spacing w:val="-15"/>
          <w:w w:val="105"/>
          <w:sz w:val="17"/>
        </w:rPr>
        <w:t> </w:t>
      </w:r>
      <w:r>
        <w:rPr>
          <w:w w:val="105"/>
          <w:sz w:val="17"/>
        </w:rPr>
        <w:t>homotálicos</w:t>
      </w:r>
    </w:p>
    <w:p>
      <w:pPr>
        <w:pStyle w:val="BodyText"/>
        <w:spacing w:before="7"/>
        <w:rPr>
          <w:rFonts w:ascii="Times New Roman"/>
          <w:sz w:val="10"/>
        </w:rPr>
      </w:pPr>
    </w:p>
    <w:p>
      <w:pPr>
        <w:pStyle w:val="ListParagraph"/>
        <w:numPr>
          <w:ilvl w:val="0"/>
          <w:numId w:val="23"/>
        </w:numPr>
        <w:tabs>
          <w:tab w:pos="1450" w:val="left" w:leader="none"/>
          <w:tab w:pos="1451" w:val="left" w:leader="none"/>
        </w:tabs>
        <w:spacing w:line="240" w:lineRule="auto" w:before="80" w:after="0"/>
        <w:ind w:left="1450" w:right="0" w:hanging="552"/>
        <w:jc w:val="left"/>
        <w:rPr>
          <w:sz w:val="17"/>
        </w:rPr>
      </w:pPr>
      <w:r>
        <w:rPr>
          <w:w w:val="105"/>
          <w:sz w:val="17"/>
        </w:rPr>
        <w:t>Los</w:t>
      </w:r>
      <w:r>
        <w:rPr>
          <w:spacing w:val="15"/>
          <w:w w:val="105"/>
          <w:sz w:val="17"/>
        </w:rPr>
        <w:t> </w:t>
      </w:r>
      <w:r>
        <w:rPr>
          <w:w w:val="105"/>
          <w:sz w:val="17"/>
        </w:rPr>
        <w:t>ensayos</w:t>
      </w:r>
      <w:r>
        <w:rPr>
          <w:spacing w:val="15"/>
          <w:w w:val="105"/>
          <w:sz w:val="17"/>
        </w:rPr>
        <w:t> </w:t>
      </w:r>
      <w:r>
        <w:rPr>
          <w:w w:val="105"/>
          <w:sz w:val="17"/>
        </w:rPr>
        <w:t>de</w:t>
      </w:r>
      <w:r>
        <w:rPr>
          <w:spacing w:val="15"/>
          <w:w w:val="105"/>
          <w:sz w:val="17"/>
        </w:rPr>
        <w:t> </w:t>
      </w:r>
      <w:r>
        <w:rPr>
          <w:w w:val="105"/>
          <w:sz w:val="17"/>
        </w:rPr>
        <w:t>valoración</w:t>
      </w:r>
      <w:r>
        <w:rPr>
          <w:spacing w:val="15"/>
          <w:w w:val="105"/>
          <w:sz w:val="17"/>
        </w:rPr>
        <w:t> </w:t>
      </w:r>
      <w:r>
        <w:rPr>
          <w:w w:val="105"/>
          <w:sz w:val="17"/>
        </w:rPr>
        <w:t>de</w:t>
      </w:r>
      <w:r>
        <w:rPr>
          <w:spacing w:val="15"/>
          <w:w w:val="105"/>
          <w:sz w:val="17"/>
        </w:rPr>
        <w:t> </w:t>
      </w:r>
      <w:r>
        <w:rPr>
          <w:w w:val="105"/>
          <w:sz w:val="17"/>
        </w:rPr>
        <w:t>la</w:t>
      </w:r>
      <w:r>
        <w:rPr>
          <w:spacing w:val="15"/>
          <w:w w:val="105"/>
          <w:sz w:val="17"/>
        </w:rPr>
        <w:t> </w:t>
      </w:r>
      <w:r>
        <w:rPr>
          <w:w w:val="105"/>
          <w:sz w:val="17"/>
        </w:rPr>
        <w:t>progenie</w:t>
      </w:r>
      <w:r>
        <w:rPr>
          <w:spacing w:val="15"/>
          <w:w w:val="105"/>
          <w:sz w:val="17"/>
        </w:rPr>
        <w:t> </w:t>
      </w:r>
      <w:r>
        <w:rPr>
          <w:w w:val="105"/>
          <w:sz w:val="17"/>
        </w:rPr>
        <w:t>monospórica</w:t>
      </w:r>
      <w:r>
        <w:rPr>
          <w:spacing w:val="16"/>
          <w:w w:val="105"/>
          <w:sz w:val="17"/>
        </w:rPr>
        <w:t> </w:t>
      </w:r>
      <w:r>
        <w:rPr>
          <w:w w:val="105"/>
          <w:sz w:val="17"/>
        </w:rPr>
        <w:t>de</w:t>
      </w:r>
      <w:r>
        <w:rPr>
          <w:spacing w:val="15"/>
          <w:w w:val="105"/>
          <w:sz w:val="17"/>
        </w:rPr>
        <w:t> </w:t>
      </w:r>
      <w:r>
        <w:rPr>
          <w:w w:val="105"/>
          <w:sz w:val="17"/>
        </w:rPr>
        <w:t>los</w:t>
      </w:r>
      <w:r>
        <w:rPr>
          <w:spacing w:val="15"/>
          <w:w w:val="105"/>
          <w:sz w:val="17"/>
        </w:rPr>
        <w:t> </w:t>
      </w:r>
      <w:r>
        <w:rPr>
          <w:w w:val="105"/>
          <w:sz w:val="17"/>
        </w:rPr>
        <w:t>seis</w:t>
      </w:r>
      <w:r>
        <w:rPr>
          <w:spacing w:val="15"/>
          <w:w w:val="105"/>
          <w:sz w:val="17"/>
        </w:rPr>
        <w:t> </w:t>
      </w:r>
      <w:r>
        <w:rPr>
          <w:w w:val="105"/>
          <w:sz w:val="17"/>
        </w:rPr>
        <w:t>aislados</w:t>
      </w:r>
      <w:r>
        <w:rPr>
          <w:spacing w:val="15"/>
          <w:w w:val="105"/>
          <w:sz w:val="17"/>
        </w:rPr>
        <w:t> </w:t>
      </w:r>
      <w:r>
        <w:rPr>
          <w:w w:val="105"/>
          <w:sz w:val="17"/>
        </w:rPr>
        <w:t>homotalicos</w:t>
      </w:r>
    </w:p>
    <w:p>
      <w:pPr>
        <w:pStyle w:val="BodyText"/>
        <w:spacing w:before="7"/>
        <w:rPr>
          <w:rFonts w:ascii="Times New Roman"/>
          <w:sz w:val="10"/>
        </w:rPr>
      </w:pPr>
    </w:p>
    <w:p>
      <w:pPr>
        <w:pStyle w:val="ListParagraph"/>
        <w:numPr>
          <w:ilvl w:val="0"/>
          <w:numId w:val="23"/>
        </w:numPr>
        <w:tabs>
          <w:tab w:pos="1450" w:val="left" w:leader="none"/>
          <w:tab w:pos="1451" w:val="left" w:leader="none"/>
        </w:tabs>
        <w:spacing w:line="240" w:lineRule="auto" w:before="80" w:after="0"/>
        <w:ind w:left="1450" w:right="0" w:hanging="552"/>
        <w:jc w:val="left"/>
        <w:rPr>
          <w:sz w:val="17"/>
        </w:rPr>
      </w:pPr>
      <w:r>
        <w:rPr>
          <w:w w:val="105"/>
          <w:sz w:val="17"/>
        </w:rPr>
        <w:t>demuestran que el 56% del total de su progenie fue homotalica (</w:t>
      </w:r>
      <w:r>
        <w:rPr>
          <w:b/>
          <w:w w:val="105"/>
          <w:sz w:val="17"/>
        </w:rPr>
        <w:t>Tabla II</w:t>
      </w:r>
      <w:r>
        <w:rPr>
          <w:w w:val="105"/>
          <w:sz w:val="17"/>
        </w:rPr>
        <w:t>). El</w:t>
      </w:r>
      <w:r>
        <w:rPr>
          <w:spacing w:val="23"/>
          <w:w w:val="105"/>
          <w:sz w:val="17"/>
        </w:rPr>
        <w:t> </w:t>
      </w:r>
      <w:r>
        <w:rPr>
          <w:w w:val="105"/>
          <w:sz w:val="17"/>
        </w:rPr>
        <w:t>aislamiento</w:t>
      </w:r>
    </w:p>
    <w:p>
      <w:pPr>
        <w:pStyle w:val="BodyText"/>
        <w:spacing w:before="7"/>
        <w:rPr>
          <w:rFonts w:ascii="Times New Roman"/>
          <w:sz w:val="10"/>
        </w:rPr>
      </w:pPr>
    </w:p>
    <w:p>
      <w:pPr>
        <w:pStyle w:val="ListParagraph"/>
        <w:numPr>
          <w:ilvl w:val="0"/>
          <w:numId w:val="23"/>
        </w:numPr>
        <w:tabs>
          <w:tab w:pos="1450" w:val="left" w:leader="none"/>
          <w:tab w:pos="1451" w:val="left" w:leader="none"/>
        </w:tabs>
        <w:spacing w:line="240" w:lineRule="auto" w:before="80" w:after="0"/>
        <w:ind w:left="1450" w:right="0" w:hanging="552"/>
        <w:jc w:val="left"/>
        <w:rPr>
          <w:sz w:val="17"/>
        </w:rPr>
      </w:pPr>
      <w:r>
        <w:rPr>
          <w:w w:val="105"/>
          <w:sz w:val="17"/>
        </w:rPr>
        <w:t>LPT2</w:t>
      </w:r>
      <w:r>
        <w:rPr>
          <w:spacing w:val="-9"/>
          <w:w w:val="105"/>
          <w:sz w:val="17"/>
        </w:rPr>
        <w:t> </w:t>
      </w:r>
      <w:r>
        <w:rPr>
          <w:w w:val="105"/>
          <w:sz w:val="17"/>
        </w:rPr>
        <w:t>fue</w:t>
      </w:r>
      <w:r>
        <w:rPr>
          <w:spacing w:val="-9"/>
          <w:w w:val="105"/>
          <w:sz w:val="17"/>
        </w:rPr>
        <w:t> </w:t>
      </w:r>
      <w:r>
        <w:rPr>
          <w:w w:val="105"/>
          <w:sz w:val="17"/>
        </w:rPr>
        <w:t>quien</w:t>
      </w:r>
      <w:r>
        <w:rPr>
          <w:spacing w:val="-9"/>
          <w:w w:val="105"/>
          <w:sz w:val="17"/>
        </w:rPr>
        <w:t> </w:t>
      </w:r>
      <w:r>
        <w:rPr>
          <w:w w:val="105"/>
          <w:sz w:val="17"/>
        </w:rPr>
        <w:t>presento</w:t>
      </w:r>
      <w:r>
        <w:rPr>
          <w:spacing w:val="-9"/>
          <w:w w:val="105"/>
          <w:sz w:val="17"/>
        </w:rPr>
        <w:t> </w:t>
      </w:r>
      <w:r>
        <w:rPr>
          <w:w w:val="105"/>
          <w:sz w:val="17"/>
        </w:rPr>
        <w:t>el</w:t>
      </w:r>
      <w:r>
        <w:rPr>
          <w:spacing w:val="-9"/>
          <w:w w:val="105"/>
          <w:sz w:val="17"/>
        </w:rPr>
        <w:t> </w:t>
      </w:r>
      <w:r>
        <w:rPr>
          <w:w w:val="105"/>
          <w:sz w:val="17"/>
        </w:rPr>
        <w:t>menor</w:t>
      </w:r>
      <w:r>
        <w:rPr>
          <w:spacing w:val="-9"/>
          <w:w w:val="105"/>
          <w:sz w:val="17"/>
        </w:rPr>
        <w:t> </w:t>
      </w:r>
      <w:r>
        <w:rPr>
          <w:w w:val="105"/>
          <w:sz w:val="17"/>
        </w:rPr>
        <w:t>porcentaje</w:t>
      </w:r>
      <w:r>
        <w:rPr>
          <w:spacing w:val="-9"/>
          <w:w w:val="105"/>
          <w:sz w:val="17"/>
        </w:rPr>
        <w:t> </w:t>
      </w:r>
      <w:r>
        <w:rPr>
          <w:w w:val="105"/>
          <w:sz w:val="17"/>
        </w:rPr>
        <w:t>de</w:t>
      </w:r>
      <w:r>
        <w:rPr>
          <w:spacing w:val="-9"/>
          <w:w w:val="105"/>
          <w:sz w:val="17"/>
        </w:rPr>
        <w:t> </w:t>
      </w:r>
      <w:r>
        <w:rPr>
          <w:w w:val="105"/>
          <w:sz w:val="17"/>
        </w:rPr>
        <w:t>progenie</w:t>
      </w:r>
      <w:r>
        <w:rPr>
          <w:spacing w:val="-9"/>
          <w:w w:val="105"/>
          <w:sz w:val="17"/>
        </w:rPr>
        <w:t> </w:t>
      </w:r>
      <w:r>
        <w:rPr>
          <w:w w:val="105"/>
          <w:sz w:val="17"/>
        </w:rPr>
        <w:t>homotálica</w:t>
      </w:r>
      <w:r>
        <w:rPr>
          <w:spacing w:val="-9"/>
          <w:w w:val="105"/>
          <w:sz w:val="17"/>
        </w:rPr>
        <w:t> </w:t>
      </w:r>
      <w:r>
        <w:rPr>
          <w:w w:val="105"/>
          <w:sz w:val="17"/>
        </w:rPr>
        <w:t>(47.6%),</w:t>
      </w:r>
      <w:r>
        <w:rPr>
          <w:spacing w:val="-9"/>
          <w:w w:val="105"/>
          <w:sz w:val="17"/>
        </w:rPr>
        <w:t> </w:t>
      </w:r>
      <w:r>
        <w:rPr>
          <w:w w:val="105"/>
          <w:sz w:val="17"/>
        </w:rPr>
        <w:t>en</w:t>
      </w:r>
      <w:r>
        <w:rPr>
          <w:spacing w:val="-9"/>
          <w:w w:val="105"/>
          <w:sz w:val="17"/>
        </w:rPr>
        <w:t> </w:t>
      </w:r>
      <w:r>
        <w:rPr>
          <w:w w:val="105"/>
          <w:sz w:val="17"/>
        </w:rPr>
        <w:t>contraste</w:t>
      </w:r>
    </w:p>
    <w:p>
      <w:pPr>
        <w:pStyle w:val="BodyText"/>
        <w:spacing w:before="7"/>
        <w:rPr>
          <w:rFonts w:ascii="Times New Roman"/>
          <w:sz w:val="10"/>
        </w:rPr>
      </w:pPr>
    </w:p>
    <w:p>
      <w:pPr>
        <w:pStyle w:val="ListParagraph"/>
        <w:numPr>
          <w:ilvl w:val="0"/>
          <w:numId w:val="23"/>
        </w:numPr>
        <w:tabs>
          <w:tab w:pos="1450" w:val="left" w:leader="none"/>
          <w:tab w:pos="1451" w:val="left" w:leader="none"/>
        </w:tabs>
        <w:spacing w:line="240" w:lineRule="auto" w:before="80" w:after="0"/>
        <w:ind w:left="1450" w:right="0" w:hanging="552"/>
        <w:jc w:val="left"/>
        <w:rPr>
          <w:sz w:val="17"/>
        </w:rPr>
      </w:pPr>
      <w:r>
        <w:rPr>
          <w:w w:val="105"/>
          <w:sz w:val="17"/>
        </w:rPr>
        <w:t>los</w:t>
      </w:r>
      <w:r>
        <w:rPr>
          <w:spacing w:val="-7"/>
          <w:w w:val="105"/>
          <w:sz w:val="17"/>
        </w:rPr>
        <w:t> </w:t>
      </w:r>
      <w:r>
        <w:rPr>
          <w:w w:val="105"/>
          <w:sz w:val="17"/>
        </w:rPr>
        <w:t>porcentajes</w:t>
      </w:r>
      <w:r>
        <w:rPr>
          <w:spacing w:val="-7"/>
          <w:w w:val="105"/>
          <w:sz w:val="17"/>
        </w:rPr>
        <w:t> </w:t>
      </w:r>
      <w:r>
        <w:rPr>
          <w:w w:val="105"/>
          <w:sz w:val="17"/>
        </w:rPr>
        <w:t>de</w:t>
      </w:r>
      <w:r>
        <w:rPr>
          <w:spacing w:val="-7"/>
          <w:w w:val="105"/>
          <w:sz w:val="17"/>
        </w:rPr>
        <w:t> </w:t>
      </w:r>
      <w:r>
        <w:rPr>
          <w:w w:val="105"/>
          <w:sz w:val="17"/>
        </w:rPr>
        <w:t>progenie</w:t>
      </w:r>
      <w:r>
        <w:rPr>
          <w:spacing w:val="-7"/>
          <w:w w:val="105"/>
          <w:sz w:val="17"/>
        </w:rPr>
        <w:t> </w:t>
      </w:r>
      <w:r>
        <w:rPr>
          <w:w w:val="105"/>
          <w:sz w:val="17"/>
        </w:rPr>
        <w:t>homotalica</w:t>
      </w:r>
      <w:r>
        <w:rPr>
          <w:spacing w:val="-7"/>
          <w:w w:val="105"/>
          <w:sz w:val="17"/>
        </w:rPr>
        <w:t> </w:t>
      </w:r>
      <w:r>
        <w:rPr>
          <w:w w:val="105"/>
          <w:sz w:val="17"/>
        </w:rPr>
        <w:t>de</w:t>
      </w:r>
      <w:r>
        <w:rPr>
          <w:spacing w:val="-7"/>
          <w:w w:val="105"/>
          <w:sz w:val="17"/>
        </w:rPr>
        <w:t> </w:t>
      </w:r>
      <w:r>
        <w:rPr>
          <w:w w:val="105"/>
          <w:sz w:val="17"/>
        </w:rPr>
        <w:t>los</w:t>
      </w:r>
      <w:r>
        <w:rPr>
          <w:spacing w:val="-7"/>
          <w:w w:val="105"/>
          <w:sz w:val="17"/>
        </w:rPr>
        <w:t> </w:t>
      </w:r>
      <w:r>
        <w:rPr>
          <w:w w:val="105"/>
          <w:sz w:val="17"/>
        </w:rPr>
        <w:t>aislados</w:t>
      </w:r>
      <w:r>
        <w:rPr>
          <w:spacing w:val="32"/>
          <w:w w:val="105"/>
          <w:sz w:val="17"/>
        </w:rPr>
        <w:t> </w:t>
      </w:r>
      <w:r>
        <w:rPr>
          <w:w w:val="105"/>
          <w:sz w:val="17"/>
        </w:rPr>
        <w:t>RT1</w:t>
      </w:r>
      <w:r>
        <w:rPr>
          <w:spacing w:val="-7"/>
          <w:w w:val="105"/>
          <w:sz w:val="17"/>
        </w:rPr>
        <w:t> </w:t>
      </w:r>
      <w:r>
        <w:rPr>
          <w:w w:val="105"/>
          <w:sz w:val="17"/>
        </w:rPr>
        <w:t>y</w:t>
      </w:r>
      <w:r>
        <w:rPr>
          <w:spacing w:val="-7"/>
          <w:w w:val="105"/>
          <w:sz w:val="17"/>
        </w:rPr>
        <w:t> </w:t>
      </w:r>
      <w:r>
        <w:rPr>
          <w:w w:val="105"/>
          <w:sz w:val="17"/>
        </w:rPr>
        <w:t>LP5</w:t>
      </w:r>
      <w:r>
        <w:rPr>
          <w:spacing w:val="-7"/>
          <w:w w:val="105"/>
          <w:sz w:val="17"/>
        </w:rPr>
        <w:t> </w:t>
      </w:r>
      <w:r>
        <w:rPr>
          <w:w w:val="105"/>
          <w:sz w:val="17"/>
        </w:rPr>
        <w:t>fueron</w:t>
      </w:r>
      <w:r>
        <w:rPr>
          <w:spacing w:val="-7"/>
          <w:w w:val="105"/>
          <w:sz w:val="17"/>
        </w:rPr>
        <w:t> </w:t>
      </w:r>
      <w:r>
        <w:rPr>
          <w:w w:val="105"/>
          <w:sz w:val="17"/>
        </w:rPr>
        <w:t>los</w:t>
      </w:r>
      <w:r>
        <w:rPr>
          <w:spacing w:val="-7"/>
          <w:w w:val="105"/>
          <w:sz w:val="17"/>
        </w:rPr>
        <w:t> </w:t>
      </w:r>
      <w:r>
        <w:rPr>
          <w:w w:val="105"/>
          <w:sz w:val="17"/>
        </w:rPr>
        <w:t>más</w:t>
      </w:r>
      <w:r>
        <w:rPr>
          <w:spacing w:val="-7"/>
          <w:w w:val="105"/>
          <w:sz w:val="17"/>
        </w:rPr>
        <w:t> </w:t>
      </w:r>
      <w:r>
        <w:rPr>
          <w:w w:val="105"/>
          <w:sz w:val="17"/>
        </w:rPr>
        <w:t>altas</w:t>
      </w:r>
      <w:r>
        <w:rPr>
          <w:spacing w:val="-7"/>
          <w:w w:val="105"/>
          <w:sz w:val="17"/>
        </w:rPr>
        <w:t> </w:t>
      </w:r>
      <w:r>
        <w:rPr>
          <w:w w:val="105"/>
          <w:sz w:val="17"/>
        </w:rPr>
        <w:t>con</w:t>
      </w:r>
    </w:p>
    <w:p>
      <w:pPr>
        <w:pStyle w:val="BodyText"/>
        <w:spacing w:before="7"/>
        <w:rPr>
          <w:rFonts w:ascii="Times New Roman"/>
          <w:sz w:val="10"/>
        </w:rPr>
      </w:pPr>
    </w:p>
    <w:p>
      <w:pPr>
        <w:pStyle w:val="ListParagraph"/>
        <w:numPr>
          <w:ilvl w:val="0"/>
          <w:numId w:val="23"/>
        </w:numPr>
        <w:tabs>
          <w:tab w:pos="1450" w:val="left" w:leader="none"/>
          <w:tab w:pos="1451" w:val="left" w:leader="none"/>
        </w:tabs>
        <w:spacing w:line="240" w:lineRule="auto" w:before="80" w:after="0"/>
        <w:ind w:left="1450" w:right="0" w:hanging="552"/>
        <w:jc w:val="left"/>
        <w:rPr>
          <w:sz w:val="17"/>
        </w:rPr>
      </w:pPr>
      <w:r>
        <w:rPr>
          <w:w w:val="105"/>
          <w:sz w:val="17"/>
        </w:rPr>
        <w:t>valores mayores a 62</w:t>
      </w:r>
      <w:r>
        <w:rPr>
          <w:spacing w:val="3"/>
          <w:w w:val="105"/>
          <w:sz w:val="17"/>
        </w:rPr>
        <w:t> </w:t>
      </w:r>
      <w:r>
        <w:rPr>
          <w:w w:val="105"/>
          <w:sz w:val="17"/>
        </w:rPr>
        <w:t>%.</w:t>
      </w:r>
    </w:p>
    <w:p>
      <w:pPr>
        <w:pStyle w:val="BodyText"/>
        <w:spacing w:before="7"/>
        <w:rPr>
          <w:rFonts w:ascii="Times New Roman"/>
          <w:sz w:val="10"/>
        </w:rPr>
      </w:pPr>
    </w:p>
    <w:p>
      <w:pPr>
        <w:pStyle w:val="ListParagraph"/>
        <w:numPr>
          <w:ilvl w:val="0"/>
          <w:numId w:val="23"/>
        </w:numPr>
        <w:tabs>
          <w:tab w:pos="1450" w:val="left" w:leader="none"/>
          <w:tab w:pos="1451" w:val="left" w:leader="none"/>
        </w:tabs>
        <w:spacing w:line="240" w:lineRule="auto" w:before="80" w:after="0"/>
        <w:ind w:left="1450" w:right="0" w:hanging="552"/>
        <w:jc w:val="left"/>
        <w:rPr>
          <w:sz w:val="17"/>
        </w:rPr>
      </w:pPr>
      <w:r>
        <w:rPr>
          <w:w w:val="105"/>
          <w:sz w:val="17"/>
        </w:rPr>
        <w:t>El</w:t>
      </w:r>
      <w:r>
        <w:rPr>
          <w:spacing w:val="22"/>
          <w:w w:val="105"/>
          <w:sz w:val="17"/>
        </w:rPr>
        <w:t> </w:t>
      </w:r>
      <w:r>
        <w:rPr>
          <w:w w:val="105"/>
          <w:sz w:val="17"/>
        </w:rPr>
        <w:t>porcentaje</w:t>
      </w:r>
      <w:r>
        <w:rPr>
          <w:spacing w:val="22"/>
          <w:w w:val="105"/>
          <w:sz w:val="17"/>
        </w:rPr>
        <w:t> </w:t>
      </w:r>
      <w:r>
        <w:rPr>
          <w:w w:val="105"/>
          <w:sz w:val="17"/>
        </w:rPr>
        <w:t>de</w:t>
      </w:r>
      <w:r>
        <w:rPr>
          <w:spacing w:val="22"/>
          <w:w w:val="105"/>
          <w:sz w:val="17"/>
        </w:rPr>
        <w:t> </w:t>
      </w:r>
      <w:r>
        <w:rPr>
          <w:w w:val="105"/>
          <w:sz w:val="17"/>
        </w:rPr>
        <w:t>descendencia</w:t>
      </w:r>
      <w:r>
        <w:rPr>
          <w:spacing w:val="22"/>
          <w:w w:val="105"/>
          <w:sz w:val="17"/>
        </w:rPr>
        <w:t> </w:t>
      </w:r>
      <w:r>
        <w:rPr>
          <w:w w:val="105"/>
          <w:sz w:val="17"/>
        </w:rPr>
        <w:t>estéril</w:t>
      </w:r>
      <w:r>
        <w:rPr>
          <w:spacing w:val="22"/>
          <w:w w:val="105"/>
          <w:sz w:val="17"/>
        </w:rPr>
        <w:t> </w:t>
      </w:r>
      <w:r>
        <w:rPr>
          <w:w w:val="105"/>
          <w:sz w:val="17"/>
        </w:rPr>
        <w:t>para</w:t>
      </w:r>
      <w:r>
        <w:rPr>
          <w:spacing w:val="22"/>
          <w:w w:val="105"/>
          <w:sz w:val="17"/>
        </w:rPr>
        <w:t> </w:t>
      </w:r>
      <w:r>
        <w:rPr>
          <w:w w:val="105"/>
          <w:sz w:val="17"/>
        </w:rPr>
        <w:t>los</w:t>
      </w:r>
      <w:r>
        <w:rPr>
          <w:spacing w:val="22"/>
          <w:w w:val="105"/>
          <w:sz w:val="17"/>
        </w:rPr>
        <w:t> </w:t>
      </w:r>
      <w:r>
        <w:rPr>
          <w:w w:val="105"/>
          <w:sz w:val="17"/>
        </w:rPr>
        <w:t>seis</w:t>
      </w:r>
      <w:r>
        <w:rPr>
          <w:spacing w:val="22"/>
          <w:w w:val="105"/>
          <w:sz w:val="17"/>
        </w:rPr>
        <w:t> </w:t>
      </w:r>
      <w:r>
        <w:rPr>
          <w:w w:val="105"/>
          <w:sz w:val="17"/>
        </w:rPr>
        <w:t>aislados</w:t>
      </w:r>
      <w:r>
        <w:rPr>
          <w:spacing w:val="22"/>
          <w:w w:val="105"/>
          <w:sz w:val="17"/>
        </w:rPr>
        <w:t> </w:t>
      </w:r>
      <w:r>
        <w:rPr>
          <w:w w:val="105"/>
          <w:sz w:val="17"/>
        </w:rPr>
        <w:t>fue</w:t>
      </w:r>
      <w:r>
        <w:rPr>
          <w:spacing w:val="22"/>
          <w:w w:val="105"/>
          <w:sz w:val="17"/>
        </w:rPr>
        <w:t> </w:t>
      </w:r>
      <w:r>
        <w:rPr>
          <w:w w:val="105"/>
          <w:sz w:val="17"/>
        </w:rPr>
        <w:t>del</w:t>
      </w:r>
      <w:r>
        <w:rPr>
          <w:spacing w:val="22"/>
          <w:w w:val="105"/>
          <w:sz w:val="17"/>
        </w:rPr>
        <w:t> </w:t>
      </w:r>
      <w:r>
        <w:rPr>
          <w:w w:val="105"/>
          <w:sz w:val="17"/>
        </w:rPr>
        <w:t>2%</w:t>
      </w:r>
      <w:r>
        <w:rPr>
          <w:spacing w:val="22"/>
          <w:w w:val="105"/>
          <w:sz w:val="17"/>
        </w:rPr>
        <w:t> </w:t>
      </w:r>
      <w:r>
        <w:rPr>
          <w:w w:val="105"/>
          <w:sz w:val="17"/>
        </w:rPr>
        <w:t>al</w:t>
      </w:r>
      <w:r>
        <w:rPr>
          <w:spacing w:val="22"/>
          <w:w w:val="105"/>
          <w:sz w:val="17"/>
        </w:rPr>
        <w:t> </w:t>
      </w:r>
      <w:r>
        <w:rPr>
          <w:w w:val="105"/>
          <w:sz w:val="17"/>
        </w:rPr>
        <w:t>4.8%.</w:t>
      </w:r>
      <w:r>
        <w:rPr>
          <w:spacing w:val="22"/>
          <w:w w:val="105"/>
          <w:sz w:val="17"/>
        </w:rPr>
        <w:t> </w:t>
      </w:r>
      <w:r>
        <w:rPr>
          <w:w w:val="105"/>
          <w:sz w:val="17"/>
        </w:rPr>
        <w:t>No</w:t>
      </w:r>
      <w:r>
        <w:rPr>
          <w:spacing w:val="22"/>
          <w:w w:val="105"/>
          <w:sz w:val="17"/>
        </w:rPr>
        <w:t> </w:t>
      </w:r>
      <w:r>
        <w:rPr>
          <w:w w:val="105"/>
          <w:sz w:val="17"/>
        </w:rPr>
        <w:t>se</w:t>
      </w:r>
    </w:p>
    <w:p>
      <w:pPr>
        <w:pStyle w:val="BodyText"/>
        <w:spacing w:before="7"/>
        <w:rPr>
          <w:rFonts w:ascii="Times New Roman"/>
          <w:sz w:val="10"/>
        </w:rPr>
      </w:pPr>
    </w:p>
    <w:p>
      <w:pPr>
        <w:pStyle w:val="ListParagraph"/>
        <w:numPr>
          <w:ilvl w:val="0"/>
          <w:numId w:val="23"/>
        </w:numPr>
        <w:tabs>
          <w:tab w:pos="1450" w:val="left" w:leader="none"/>
          <w:tab w:pos="1451" w:val="left" w:leader="none"/>
        </w:tabs>
        <w:spacing w:line="240" w:lineRule="auto" w:before="80" w:after="0"/>
        <w:ind w:left="1450" w:right="0" w:hanging="552"/>
        <w:jc w:val="left"/>
        <w:rPr>
          <w:sz w:val="17"/>
        </w:rPr>
      </w:pPr>
      <w:r>
        <w:rPr>
          <w:w w:val="105"/>
          <w:sz w:val="17"/>
        </w:rPr>
        <w:t>encontró</w:t>
      </w:r>
      <w:r>
        <w:rPr>
          <w:spacing w:val="26"/>
          <w:w w:val="105"/>
          <w:sz w:val="17"/>
        </w:rPr>
        <w:t> </w:t>
      </w:r>
      <w:r>
        <w:rPr>
          <w:w w:val="105"/>
          <w:sz w:val="17"/>
        </w:rPr>
        <w:t>descendencia</w:t>
      </w:r>
      <w:r>
        <w:rPr>
          <w:spacing w:val="26"/>
          <w:w w:val="105"/>
          <w:sz w:val="17"/>
        </w:rPr>
        <w:t> </w:t>
      </w:r>
      <w:r>
        <w:rPr>
          <w:w w:val="105"/>
          <w:sz w:val="17"/>
        </w:rPr>
        <w:t>del</w:t>
      </w:r>
      <w:r>
        <w:rPr>
          <w:spacing w:val="26"/>
          <w:w w:val="105"/>
          <w:sz w:val="17"/>
        </w:rPr>
        <w:t> </w:t>
      </w:r>
      <w:r>
        <w:rPr>
          <w:w w:val="105"/>
          <w:sz w:val="17"/>
        </w:rPr>
        <w:t>tipo</w:t>
      </w:r>
      <w:r>
        <w:rPr>
          <w:spacing w:val="26"/>
          <w:w w:val="105"/>
          <w:sz w:val="17"/>
        </w:rPr>
        <w:t> </w:t>
      </w:r>
      <w:r>
        <w:rPr>
          <w:w w:val="105"/>
          <w:sz w:val="17"/>
        </w:rPr>
        <w:t>de</w:t>
      </w:r>
      <w:r>
        <w:rPr>
          <w:spacing w:val="26"/>
          <w:w w:val="105"/>
          <w:sz w:val="17"/>
        </w:rPr>
        <w:t> </w:t>
      </w:r>
      <w:r>
        <w:rPr>
          <w:w w:val="105"/>
          <w:sz w:val="17"/>
        </w:rPr>
        <w:t>apareamiento</w:t>
      </w:r>
      <w:r>
        <w:rPr>
          <w:spacing w:val="26"/>
          <w:w w:val="105"/>
          <w:sz w:val="17"/>
        </w:rPr>
        <w:t> </w:t>
      </w:r>
      <w:r>
        <w:rPr>
          <w:w w:val="105"/>
          <w:sz w:val="17"/>
        </w:rPr>
        <w:t>A1A2,</w:t>
      </w:r>
      <w:r>
        <w:rPr>
          <w:spacing w:val="26"/>
          <w:w w:val="105"/>
          <w:sz w:val="17"/>
        </w:rPr>
        <w:t> </w:t>
      </w:r>
      <w:r>
        <w:rPr>
          <w:w w:val="105"/>
          <w:sz w:val="17"/>
        </w:rPr>
        <w:t>cuya</w:t>
      </w:r>
      <w:r>
        <w:rPr>
          <w:spacing w:val="26"/>
          <w:w w:val="105"/>
          <w:sz w:val="17"/>
        </w:rPr>
        <w:t> </w:t>
      </w:r>
      <w:r>
        <w:rPr>
          <w:w w:val="105"/>
          <w:sz w:val="17"/>
        </w:rPr>
        <w:t>característica</w:t>
      </w:r>
      <w:r>
        <w:rPr>
          <w:spacing w:val="26"/>
          <w:w w:val="105"/>
          <w:sz w:val="17"/>
        </w:rPr>
        <w:t> </w:t>
      </w:r>
      <w:r>
        <w:rPr>
          <w:w w:val="105"/>
          <w:sz w:val="17"/>
        </w:rPr>
        <w:t>es</w:t>
      </w:r>
      <w:r>
        <w:rPr>
          <w:spacing w:val="26"/>
          <w:w w:val="105"/>
          <w:sz w:val="17"/>
        </w:rPr>
        <w:t> </w:t>
      </w:r>
      <w:r>
        <w:rPr>
          <w:w w:val="105"/>
          <w:sz w:val="17"/>
        </w:rPr>
        <w:t>producir</w:t>
      </w:r>
    </w:p>
    <w:p>
      <w:pPr>
        <w:pStyle w:val="BodyText"/>
        <w:spacing w:before="7"/>
        <w:rPr>
          <w:rFonts w:ascii="Times New Roman"/>
          <w:sz w:val="10"/>
        </w:rPr>
      </w:pPr>
    </w:p>
    <w:p>
      <w:pPr>
        <w:pStyle w:val="ListParagraph"/>
        <w:numPr>
          <w:ilvl w:val="0"/>
          <w:numId w:val="23"/>
        </w:numPr>
        <w:tabs>
          <w:tab w:pos="1450" w:val="left" w:leader="none"/>
          <w:tab w:pos="1451" w:val="left" w:leader="none"/>
        </w:tabs>
        <w:spacing w:line="240" w:lineRule="auto" w:before="80" w:after="0"/>
        <w:ind w:left="1450" w:right="0" w:hanging="552"/>
        <w:jc w:val="left"/>
        <w:rPr>
          <w:sz w:val="17"/>
        </w:rPr>
      </w:pPr>
      <w:r>
        <w:rPr>
          <w:w w:val="105"/>
          <w:sz w:val="17"/>
        </w:rPr>
        <w:t>oosporas</w:t>
      </w:r>
      <w:r>
        <w:rPr>
          <w:spacing w:val="17"/>
          <w:w w:val="105"/>
          <w:sz w:val="17"/>
        </w:rPr>
        <w:t> </w:t>
      </w:r>
      <w:r>
        <w:rPr>
          <w:w w:val="105"/>
          <w:sz w:val="17"/>
        </w:rPr>
        <w:t>al</w:t>
      </w:r>
      <w:r>
        <w:rPr>
          <w:spacing w:val="17"/>
          <w:w w:val="105"/>
          <w:sz w:val="17"/>
        </w:rPr>
        <w:t> </w:t>
      </w:r>
      <w:r>
        <w:rPr>
          <w:w w:val="105"/>
          <w:sz w:val="17"/>
        </w:rPr>
        <w:t>ser</w:t>
      </w:r>
      <w:r>
        <w:rPr>
          <w:spacing w:val="17"/>
          <w:w w:val="105"/>
          <w:sz w:val="17"/>
        </w:rPr>
        <w:t> </w:t>
      </w:r>
      <w:r>
        <w:rPr>
          <w:w w:val="105"/>
          <w:sz w:val="17"/>
        </w:rPr>
        <w:t>enfrentado</w:t>
      </w:r>
      <w:r>
        <w:rPr>
          <w:spacing w:val="17"/>
          <w:w w:val="105"/>
          <w:sz w:val="17"/>
        </w:rPr>
        <w:t> </w:t>
      </w:r>
      <w:r>
        <w:rPr>
          <w:w w:val="105"/>
          <w:sz w:val="17"/>
        </w:rPr>
        <w:t>con</w:t>
      </w:r>
      <w:r>
        <w:rPr>
          <w:spacing w:val="17"/>
          <w:w w:val="105"/>
          <w:sz w:val="17"/>
        </w:rPr>
        <w:t> </w:t>
      </w:r>
      <w:r>
        <w:rPr>
          <w:w w:val="105"/>
          <w:sz w:val="17"/>
        </w:rPr>
        <w:t>los</w:t>
      </w:r>
      <w:r>
        <w:rPr>
          <w:spacing w:val="17"/>
          <w:w w:val="105"/>
          <w:sz w:val="17"/>
        </w:rPr>
        <w:t> </w:t>
      </w:r>
      <w:r>
        <w:rPr>
          <w:w w:val="105"/>
          <w:sz w:val="17"/>
        </w:rPr>
        <w:t>tipos</w:t>
      </w:r>
      <w:r>
        <w:rPr>
          <w:spacing w:val="17"/>
          <w:w w:val="105"/>
          <w:sz w:val="17"/>
        </w:rPr>
        <w:t> </w:t>
      </w:r>
      <w:r>
        <w:rPr>
          <w:w w:val="105"/>
          <w:sz w:val="17"/>
        </w:rPr>
        <w:t>de</w:t>
      </w:r>
      <w:r>
        <w:rPr>
          <w:spacing w:val="17"/>
          <w:w w:val="105"/>
          <w:sz w:val="17"/>
        </w:rPr>
        <w:t> </w:t>
      </w:r>
      <w:r>
        <w:rPr>
          <w:w w:val="105"/>
          <w:sz w:val="17"/>
        </w:rPr>
        <w:t>apareamiento</w:t>
      </w:r>
      <w:r>
        <w:rPr>
          <w:spacing w:val="17"/>
          <w:w w:val="105"/>
          <w:sz w:val="17"/>
        </w:rPr>
        <w:t> </w:t>
      </w:r>
      <w:r>
        <w:rPr>
          <w:w w:val="105"/>
          <w:sz w:val="17"/>
        </w:rPr>
        <w:t>A1</w:t>
      </w:r>
      <w:r>
        <w:rPr>
          <w:spacing w:val="17"/>
          <w:w w:val="105"/>
          <w:sz w:val="17"/>
        </w:rPr>
        <w:t> </w:t>
      </w:r>
      <w:r>
        <w:rPr>
          <w:w w:val="105"/>
          <w:sz w:val="17"/>
        </w:rPr>
        <w:t>y</w:t>
      </w:r>
      <w:r>
        <w:rPr>
          <w:spacing w:val="17"/>
          <w:w w:val="105"/>
          <w:sz w:val="17"/>
        </w:rPr>
        <w:t> </w:t>
      </w:r>
      <w:r>
        <w:rPr>
          <w:w w:val="105"/>
          <w:sz w:val="17"/>
        </w:rPr>
        <w:t>A2</w:t>
      </w:r>
      <w:r>
        <w:rPr>
          <w:spacing w:val="17"/>
          <w:w w:val="105"/>
          <w:sz w:val="17"/>
        </w:rPr>
        <w:t> </w:t>
      </w:r>
      <w:r>
        <w:rPr>
          <w:w w:val="105"/>
          <w:sz w:val="17"/>
        </w:rPr>
        <w:t>pero</w:t>
      </w:r>
      <w:r>
        <w:rPr>
          <w:spacing w:val="17"/>
          <w:w w:val="105"/>
          <w:sz w:val="17"/>
        </w:rPr>
        <w:t> </w:t>
      </w:r>
      <w:r>
        <w:rPr>
          <w:w w:val="105"/>
          <w:sz w:val="17"/>
        </w:rPr>
        <w:t>no</w:t>
      </w:r>
      <w:r>
        <w:rPr>
          <w:spacing w:val="17"/>
          <w:w w:val="105"/>
          <w:sz w:val="17"/>
        </w:rPr>
        <w:t> </w:t>
      </w:r>
      <w:r>
        <w:rPr>
          <w:w w:val="105"/>
          <w:sz w:val="17"/>
        </w:rPr>
        <w:t>es</w:t>
      </w:r>
      <w:r>
        <w:rPr>
          <w:spacing w:val="17"/>
          <w:w w:val="105"/>
          <w:sz w:val="17"/>
        </w:rPr>
        <w:t> </w:t>
      </w:r>
      <w:r>
        <w:rPr>
          <w:w w:val="105"/>
          <w:sz w:val="17"/>
        </w:rPr>
        <w:t>capaz</w:t>
      </w:r>
      <w:r>
        <w:rPr>
          <w:spacing w:val="17"/>
          <w:w w:val="105"/>
          <w:sz w:val="17"/>
        </w:rPr>
        <w:t> </w:t>
      </w:r>
      <w:r>
        <w:rPr>
          <w:w w:val="105"/>
          <w:sz w:val="17"/>
        </w:rPr>
        <w:t>de</w:t>
      </w:r>
    </w:p>
    <w:p>
      <w:pPr>
        <w:pStyle w:val="BodyText"/>
        <w:spacing w:before="7"/>
        <w:rPr>
          <w:rFonts w:ascii="Times New Roman"/>
          <w:sz w:val="10"/>
        </w:rPr>
      </w:pPr>
    </w:p>
    <w:p>
      <w:pPr>
        <w:pStyle w:val="ListParagraph"/>
        <w:numPr>
          <w:ilvl w:val="0"/>
          <w:numId w:val="23"/>
        </w:numPr>
        <w:tabs>
          <w:tab w:pos="1450" w:val="left" w:leader="none"/>
          <w:tab w:pos="1451" w:val="left" w:leader="none"/>
        </w:tabs>
        <w:spacing w:line="240" w:lineRule="auto" w:before="80" w:after="0"/>
        <w:ind w:left="1450" w:right="0" w:hanging="552"/>
        <w:jc w:val="left"/>
        <w:rPr>
          <w:sz w:val="17"/>
        </w:rPr>
      </w:pPr>
      <w:r>
        <w:rPr>
          <w:w w:val="105"/>
          <w:sz w:val="17"/>
        </w:rPr>
        <w:t>producir</w:t>
      </w:r>
      <w:r>
        <w:rPr>
          <w:spacing w:val="-12"/>
          <w:w w:val="105"/>
          <w:sz w:val="17"/>
        </w:rPr>
        <w:t> </w:t>
      </w:r>
      <w:r>
        <w:rPr>
          <w:w w:val="105"/>
          <w:sz w:val="17"/>
        </w:rPr>
        <w:t>oosporas</w:t>
      </w:r>
      <w:r>
        <w:rPr>
          <w:spacing w:val="-12"/>
          <w:w w:val="105"/>
          <w:sz w:val="17"/>
        </w:rPr>
        <w:t> </w:t>
      </w:r>
      <w:r>
        <w:rPr>
          <w:w w:val="105"/>
          <w:sz w:val="17"/>
        </w:rPr>
        <w:t>por</w:t>
      </w:r>
      <w:r>
        <w:rPr>
          <w:spacing w:val="-12"/>
          <w:w w:val="105"/>
          <w:sz w:val="17"/>
        </w:rPr>
        <w:t> </w:t>
      </w:r>
      <w:r>
        <w:rPr>
          <w:w w:val="105"/>
          <w:sz w:val="17"/>
        </w:rPr>
        <w:t>sí</w:t>
      </w:r>
      <w:r>
        <w:rPr>
          <w:spacing w:val="-12"/>
          <w:w w:val="105"/>
          <w:sz w:val="17"/>
        </w:rPr>
        <w:t> </w:t>
      </w:r>
      <w:r>
        <w:rPr>
          <w:w w:val="105"/>
          <w:sz w:val="17"/>
        </w:rPr>
        <w:t>sólo.</w:t>
      </w:r>
    </w:p>
    <w:p>
      <w:pPr>
        <w:pStyle w:val="BodyText"/>
        <w:spacing w:before="7"/>
        <w:rPr>
          <w:rFonts w:ascii="Times New Roman"/>
          <w:sz w:val="10"/>
        </w:rPr>
      </w:pPr>
    </w:p>
    <w:p>
      <w:pPr>
        <w:pStyle w:val="ListParagraph"/>
        <w:numPr>
          <w:ilvl w:val="0"/>
          <w:numId w:val="23"/>
        </w:numPr>
        <w:tabs>
          <w:tab w:pos="1450" w:val="left" w:leader="none"/>
          <w:tab w:pos="1451" w:val="left" w:leader="none"/>
        </w:tabs>
        <w:spacing w:line="240" w:lineRule="auto" w:before="80" w:after="0"/>
        <w:ind w:left="1450" w:right="0" w:hanging="552"/>
        <w:jc w:val="left"/>
        <w:rPr>
          <w:sz w:val="17"/>
        </w:rPr>
      </w:pPr>
      <w:r>
        <w:rPr>
          <w:w w:val="105"/>
          <w:sz w:val="17"/>
        </w:rPr>
        <w:t>Los</w:t>
      </w:r>
      <w:r>
        <w:rPr>
          <w:spacing w:val="19"/>
          <w:w w:val="105"/>
          <w:sz w:val="17"/>
        </w:rPr>
        <w:t> </w:t>
      </w:r>
      <w:r>
        <w:rPr>
          <w:w w:val="105"/>
          <w:sz w:val="17"/>
        </w:rPr>
        <w:t>seis</w:t>
      </w:r>
      <w:r>
        <w:rPr>
          <w:spacing w:val="19"/>
          <w:w w:val="105"/>
          <w:sz w:val="17"/>
        </w:rPr>
        <w:t> </w:t>
      </w:r>
      <w:r>
        <w:rPr>
          <w:w w:val="105"/>
          <w:sz w:val="17"/>
        </w:rPr>
        <w:t>aislamientos</w:t>
      </w:r>
      <w:r>
        <w:rPr>
          <w:spacing w:val="19"/>
          <w:w w:val="105"/>
          <w:sz w:val="17"/>
        </w:rPr>
        <w:t> </w:t>
      </w:r>
      <w:r>
        <w:rPr>
          <w:w w:val="105"/>
          <w:sz w:val="17"/>
        </w:rPr>
        <w:t>homotálicos</w:t>
      </w:r>
      <w:r>
        <w:rPr>
          <w:spacing w:val="19"/>
          <w:w w:val="105"/>
          <w:sz w:val="17"/>
        </w:rPr>
        <w:t> </w:t>
      </w:r>
      <w:r>
        <w:rPr>
          <w:w w:val="105"/>
          <w:sz w:val="17"/>
        </w:rPr>
        <w:t>produjeron</w:t>
      </w:r>
      <w:r>
        <w:rPr>
          <w:spacing w:val="19"/>
          <w:w w:val="105"/>
          <w:sz w:val="17"/>
        </w:rPr>
        <w:t> </w:t>
      </w:r>
      <w:r>
        <w:rPr>
          <w:w w:val="105"/>
          <w:sz w:val="17"/>
        </w:rPr>
        <w:t>en</w:t>
      </w:r>
      <w:r>
        <w:rPr>
          <w:spacing w:val="19"/>
          <w:w w:val="105"/>
          <w:sz w:val="17"/>
        </w:rPr>
        <w:t> </w:t>
      </w:r>
      <w:r>
        <w:rPr>
          <w:w w:val="105"/>
          <w:sz w:val="17"/>
        </w:rPr>
        <w:t>promedio</w:t>
      </w:r>
      <w:r>
        <w:rPr>
          <w:spacing w:val="19"/>
          <w:w w:val="105"/>
          <w:sz w:val="17"/>
        </w:rPr>
        <w:t> </w:t>
      </w:r>
      <w:r>
        <w:rPr>
          <w:w w:val="105"/>
          <w:sz w:val="17"/>
        </w:rPr>
        <w:t>9.5</w:t>
      </w:r>
      <w:r>
        <w:rPr>
          <w:spacing w:val="19"/>
          <w:w w:val="105"/>
          <w:sz w:val="17"/>
        </w:rPr>
        <w:t> </w:t>
      </w:r>
      <w:r>
        <w:rPr>
          <w:w w:val="105"/>
          <w:sz w:val="17"/>
        </w:rPr>
        <w:t>aislamientos</w:t>
      </w:r>
      <w:r>
        <w:rPr>
          <w:spacing w:val="19"/>
          <w:w w:val="105"/>
          <w:sz w:val="17"/>
        </w:rPr>
        <w:t> </w:t>
      </w:r>
      <w:r>
        <w:rPr>
          <w:w w:val="105"/>
          <w:sz w:val="17"/>
        </w:rPr>
        <w:t>del</w:t>
      </w:r>
      <w:r>
        <w:rPr>
          <w:spacing w:val="19"/>
          <w:w w:val="105"/>
          <w:sz w:val="17"/>
        </w:rPr>
        <w:t> </w:t>
      </w:r>
      <w:r>
        <w:rPr>
          <w:w w:val="105"/>
          <w:sz w:val="17"/>
        </w:rPr>
        <w:t>tipo</w:t>
      </w:r>
      <w:r>
        <w:rPr>
          <w:spacing w:val="19"/>
          <w:w w:val="105"/>
          <w:sz w:val="17"/>
        </w:rPr>
        <w:t> </w:t>
      </w:r>
      <w:r>
        <w:rPr>
          <w:w w:val="105"/>
          <w:sz w:val="17"/>
        </w:rPr>
        <w:t>de</w:t>
      </w:r>
    </w:p>
    <w:p>
      <w:pPr>
        <w:pStyle w:val="BodyText"/>
        <w:spacing w:before="7"/>
        <w:rPr>
          <w:rFonts w:ascii="Times New Roman"/>
          <w:sz w:val="10"/>
        </w:rPr>
      </w:pPr>
    </w:p>
    <w:p>
      <w:pPr>
        <w:pStyle w:val="ListParagraph"/>
        <w:numPr>
          <w:ilvl w:val="0"/>
          <w:numId w:val="23"/>
        </w:numPr>
        <w:tabs>
          <w:tab w:pos="1450" w:val="left" w:leader="none"/>
          <w:tab w:pos="1451" w:val="left" w:leader="none"/>
        </w:tabs>
        <w:spacing w:line="240" w:lineRule="auto" w:before="80" w:after="0"/>
        <w:ind w:left="1450" w:right="0" w:hanging="552"/>
        <w:jc w:val="left"/>
        <w:rPr>
          <w:sz w:val="17"/>
        </w:rPr>
      </w:pPr>
      <w:r>
        <w:rPr>
          <w:w w:val="105"/>
          <w:sz w:val="17"/>
        </w:rPr>
        <w:t>apareamiento A1(21% del total de la progenie), y 9.17 del tipo de apareamiento A2</w:t>
      </w:r>
      <w:r>
        <w:rPr>
          <w:spacing w:val="37"/>
          <w:w w:val="105"/>
          <w:sz w:val="17"/>
        </w:rPr>
        <w:t> </w:t>
      </w:r>
      <w:r>
        <w:rPr>
          <w:w w:val="105"/>
          <w:sz w:val="17"/>
        </w:rPr>
        <w:t>(20%</w:t>
      </w:r>
    </w:p>
    <w:p>
      <w:pPr>
        <w:pStyle w:val="BodyText"/>
        <w:spacing w:before="7"/>
        <w:rPr>
          <w:rFonts w:ascii="Times New Roman"/>
          <w:sz w:val="10"/>
        </w:rPr>
      </w:pPr>
    </w:p>
    <w:p>
      <w:pPr>
        <w:pStyle w:val="ListParagraph"/>
        <w:numPr>
          <w:ilvl w:val="0"/>
          <w:numId w:val="23"/>
        </w:numPr>
        <w:tabs>
          <w:tab w:pos="1450" w:val="left" w:leader="none"/>
          <w:tab w:pos="1451" w:val="left" w:leader="none"/>
        </w:tabs>
        <w:spacing w:line="240" w:lineRule="auto" w:before="80" w:after="0"/>
        <w:ind w:left="1450" w:right="0" w:hanging="552"/>
        <w:jc w:val="left"/>
        <w:rPr>
          <w:sz w:val="17"/>
        </w:rPr>
      </w:pPr>
      <w:r>
        <w:rPr>
          <w:w w:val="105"/>
          <w:sz w:val="17"/>
        </w:rPr>
        <w:t>del total de la progenie), dando una proporción 1:1 en los tipos de apareamiento A1 y</w:t>
      </w:r>
      <w:r>
        <w:rPr>
          <w:spacing w:val="15"/>
          <w:w w:val="105"/>
          <w:sz w:val="17"/>
        </w:rPr>
        <w:t> </w:t>
      </w:r>
      <w:r>
        <w:rPr>
          <w:w w:val="105"/>
          <w:sz w:val="17"/>
        </w:rPr>
        <w:t>A2.</w:t>
      </w:r>
    </w:p>
    <w:p>
      <w:pPr>
        <w:pStyle w:val="BodyText"/>
        <w:spacing w:before="7"/>
        <w:rPr>
          <w:rFonts w:ascii="Times New Roman"/>
          <w:sz w:val="10"/>
        </w:rPr>
      </w:pPr>
    </w:p>
    <w:p>
      <w:pPr>
        <w:pStyle w:val="ListParagraph"/>
        <w:numPr>
          <w:ilvl w:val="0"/>
          <w:numId w:val="23"/>
        </w:numPr>
        <w:tabs>
          <w:tab w:pos="1450" w:val="left" w:leader="none"/>
          <w:tab w:pos="1451" w:val="left" w:leader="none"/>
        </w:tabs>
        <w:spacing w:line="240" w:lineRule="auto" w:before="80" w:after="0"/>
        <w:ind w:left="1450" w:right="0" w:hanging="552"/>
        <w:jc w:val="left"/>
        <w:rPr>
          <w:sz w:val="17"/>
        </w:rPr>
      </w:pPr>
      <w:r>
        <w:rPr>
          <w:w w:val="105"/>
          <w:sz w:val="17"/>
        </w:rPr>
        <w:t>El  aislamiento  LPT2  fue  el  que  produjo  el  mayor  número  de  progenie  del  tipo </w:t>
      </w:r>
      <w:r>
        <w:rPr>
          <w:spacing w:val="21"/>
          <w:w w:val="105"/>
          <w:sz w:val="17"/>
        </w:rPr>
        <w:t> </w:t>
      </w:r>
      <w:r>
        <w:rPr>
          <w:w w:val="105"/>
          <w:sz w:val="17"/>
        </w:rPr>
        <w:t>de</w:t>
      </w:r>
    </w:p>
    <w:p>
      <w:pPr>
        <w:pStyle w:val="BodyText"/>
        <w:spacing w:before="7"/>
        <w:rPr>
          <w:rFonts w:ascii="Times New Roman"/>
          <w:sz w:val="10"/>
        </w:rPr>
      </w:pPr>
    </w:p>
    <w:p>
      <w:pPr>
        <w:pStyle w:val="ListParagraph"/>
        <w:numPr>
          <w:ilvl w:val="0"/>
          <w:numId w:val="23"/>
        </w:numPr>
        <w:tabs>
          <w:tab w:pos="1450" w:val="left" w:leader="none"/>
          <w:tab w:pos="1451" w:val="left" w:leader="none"/>
        </w:tabs>
        <w:spacing w:line="240" w:lineRule="auto" w:before="80" w:after="0"/>
        <w:ind w:left="1450" w:right="0" w:hanging="552"/>
        <w:jc w:val="left"/>
        <w:rPr>
          <w:sz w:val="17"/>
        </w:rPr>
      </w:pPr>
      <w:r>
        <w:rPr>
          <w:w w:val="105"/>
          <w:sz w:val="17"/>
        </w:rPr>
        <w:t>apareamiento</w:t>
      </w:r>
      <w:r>
        <w:rPr>
          <w:spacing w:val="21"/>
          <w:w w:val="105"/>
          <w:sz w:val="17"/>
        </w:rPr>
        <w:t> </w:t>
      </w:r>
      <w:r>
        <w:rPr>
          <w:w w:val="105"/>
          <w:sz w:val="17"/>
        </w:rPr>
        <w:t>A1</w:t>
      </w:r>
      <w:r>
        <w:rPr>
          <w:spacing w:val="21"/>
          <w:w w:val="105"/>
          <w:sz w:val="17"/>
        </w:rPr>
        <w:t> </w:t>
      </w:r>
      <w:r>
        <w:rPr>
          <w:w w:val="105"/>
          <w:sz w:val="17"/>
        </w:rPr>
        <w:t>con</w:t>
      </w:r>
      <w:r>
        <w:rPr>
          <w:spacing w:val="21"/>
          <w:w w:val="105"/>
          <w:sz w:val="17"/>
        </w:rPr>
        <w:t> </w:t>
      </w:r>
      <w:r>
        <w:rPr>
          <w:w w:val="105"/>
          <w:sz w:val="17"/>
        </w:rPr>
        <w:t>12</w:t>
      </w:r>
      <w:r>
        <w:rPr>
          <w:spacing w:val="21"/>
          <w:w w:val="105"/>
          <w:sz w:val="17"/>
        </w:rPr>
        <w:t> </w:t>
      </w:r>
      <w:r>
        <w:rPr>
          <w:w w:val="105"/>
          <w:sz w:val="17"/>
        </w:rPr>
        <w:t>aislamientos</w:t>
      </w:r>
      <w:r>
        <w:rPr>
          <w:spacing w:val="21"/>
          <w:w w:val="105"/>
          <w:sz w:val="17"/>
        </w:rPr>
        <w:t> </w:t>
      </w:r>
      <w:r>
        <w:rPr>
          <w:w w:val="105"/>
          <w:sz w:val="17"/>
        </w:rPr>
        <w:t>(28.6%</w:t>
      </w:r>
      <w:r>
        <w:rPr>
          <w:spacing w:val="21"/>
          <w:w w:val="105"/>
          <w:sz w:val="17"/>
        </w:rPr>
        <w:t> </w:t>
      </w:r>
      <w:r>
        <w:rPr>
          <w:w w:val="105"/>
          <w:sz w:val="17"/>
        </w:rPr>
        <w:t>del</w:t>
      </w:r>
      <w:r>
        <w:rPr>
          <w:spacing w:val="21"/>
          <w:w w:val="105"/>
          <w:sz w:val="17"/>
        </w:rPr>
        <w:t> </w:t>
      </w:r>
      <w:r>
        <w:rPr>
          <w:w w:val="105"/>
          <w:sz w:val="17"/>
        </w:rPr>
        <w:t>total</w:t>
      </w:r>
      <w:r>
        <w:rPr>
          <w:spacing w:val="21"/>
          <w:w w:val="105"/>
          <w:sz w:val="17"/>
        </w:rPr>
        <w:t> </w:t>
      </w:r>
      <w:r>
        <w:rPr>
          <w:w w:val="105"/>
          <w:sz w:val="17"/>
        </w:rPr>
        <w:t>de</w:t>
      </w:r>
      <w:r>
        <w:rPr>
          <w:spacing w:val="21"/>
          <w:w w:val="105"/>
          <w:sz w:val="17"/>
        </w:rPr>
        <w:t> </w:t>
      </w:r>
      <w:r>
        <w:rPr>
          <w:w w:val="105"/>
          <w:sz w:val="17"/>
        </w:rPr>
        <w:t>su</w:t>
      </w:r>
      <w:r>
        <w:rPr>
          <w:spacing w:val="21"/>
          <w:w w:val="105"/>
          <w:sz w:val="17"/>
        </w:rPr>
        <w:t> </w:t>
      </w:r>
      <w:r>
        <w:rPr>
          <w:w w:val="105"/>
          <w:sz w:val="17"/>
        </w:rPr>
        <w:t>progenie),</w:t>
      </w:r>
      <w:r>
        <w:rPr>
          <w:spacing w:val="21"/>
          <w:w w:val="105"/>
          <w:sz w:val="17"/>
        </w:rPr>
        <w:t> </w:t>
      </w:r>
      <w:r>
        <w:rPr>
          <w:w w:val="105"/>
          <w:sz w:val="17"/>
        </w:rPr>
        <w:t>en</w:t>
      </w:r>
      <w:r>
        <w:rPr>
          <w:spacing w:val="21"/>
          <w:w w:val="105"/>
          <w:sz w:val="17"/>
        </w:rPr>
        <w:t> </w:t>
      </w:r>
      <w:r>
        <w:rPr>
          <w:w w:val="105"/>
          <w:sz w:val="17"/>
        </w:rPr>
        <w:t>contraste</w:t>
      </w:r>
      <w:r>
        <w:rPr>
          <w:spacing w:val="21"/>
          <w:w w:val="105"/>
          <w:sz w:val="17"/>
        </w:rPr>
        <w:t> </w:t>
      </w:r>
      <w:r>
        <w:rPr>
          <w:w w:val="105"/>
          <w:sz w:val="17"/>
        </w:rPr>
        <w:t>el</w:t>
      </w:r>
    </w:p>
    <w:p>
      <w:pPr>
        <w:pStyle w:val="BodyText"/>
        <w:spacing w:before="7"/>
        <w:rPr>
          <w:rFonts w:ascii="Times New Roman"/>
          <w:sz w:val="10"/>
        </w:rPr>
      </w:pPr>
    </w:p>
    <w:p>
      <w:pPr>
        <w:pStyle w:val="ListParagraph"/>
        <w:numPr>
          <w:ilvl w:val="0"/>
          <w:numId w:val="23"/>
        </w:numPr>
        <w:tabs>
          <w:tab w:pos="1450" w:val="left" w:leader="none"/>
          <w:tab w:pos="1451" w:val="left" w:leader="none"/>
        </w:tabs>
        <w:spacing w:line="240" w:lineRule="auto" w:before="80" w:after="0"/>
        <w:ind w:left="1450" w:right="0" w:hanging="552"/>
        <w:jc w:val="left"/>
        <w:rPr>
          <w:sz w:val="17"/>
        </w:rPr>
      </w:pPr>
      <w:r>
        <w:rPr>
          <w:w w:val="105"/>
          <w:sz w:val="17"/>
        </w:rPr>
        <w:t>aislamiento</w:t>
      </w:r>
      <w:r>
        <w:rPr>
          <w:spacing w:val="11"/>
          <w:w w:val="105"/>
          <w:sz w:val="17"/>
        </w:rPr>
        <w:t> </w:t>
      </w:r>
      <w:r>
        <w:rPr>
          <w:w w:val="105"/>
          <w:sz w:val="17"/>
        </w:rPr>
        <w:t>LPT3</w:t>
      </w:r>
      <w:r>
        <w:rPr>
          <w:spacing w:val="11"/>
          <w:w w:val="105"/>
          <w:sz w:val="17"/>
        </w:rPr>
        <w:t> </w:t>
      </w:r>
      <w:r>
        <w:rPr>
          <w:w w:val="105"/>
          <w:sz w:val="17"/>
        </w:rPr>
        <w:t>fue</w:t>
      </w:r>
      <w:r>
        <w:rPr>
          <w:spacing w:val="11"/>
          <w:w w:val="105"/>
          <w:sz w:val="17"/>
        </w:rPr>
        <w:t> </w:t>
      </w:r>
      <w:r>
        <w:rPr>
          <w:w w:val="105"/>
          <w:sz w:val="17"/>
        </w:rPr>
        <w:t>el</w:t>
      </w:r>
      <w:r>
        <w:rPr>
          <w:spacing w:val="11"/>
          <w:w w:val="105"/>
          <w:sz w:val="17"/>
        </w:rPr>
        <w:t> </w:t>
      </w:r>
      <w:r>
        <w:rPr>
          <w:w w:val="105"/>
          <w:sz w:val="17"/>
        </w:rPr>
        <w:t>que</w:t>
      </w:r>
      <w:r>
        <w:rPr>
          <w:spacing w:val="11"/>
          <w:w w:val="105"/>
          <w:sz w:val="17"/>
        </w:rPr>
        <w:t> </w:t>
      </w:r>
      <w:r>
        <w:rPr>
          <w:w w:val="105"/>
          <w:sz w:val="17"/>
        </w:rPr>
        <w:t>produjo</w:t>
      </w:r>
      <w:r>
        <w:rPr>
          <w:spacing w:val="11"/>
          <w:w w:val="105"/>
          <w:sz w:val="17"/>
        </w:rPr>
        <w:t> </w:t>
      </w:r>
      <w:r>
        <w:rPr>
          <w:w w:val="105"/>
          <w:sz w:val="17"/>
        </w:rPr>
        <w:t>menor</w:t>
      </w:r>
      <w:r>
        <w:rPr>
          <w:spacing w:val="11"/>
          <w:w w:val="105"/>
          <w:sz w:val="17"/>
        </w:rPr>
        <w:t> </w:t>
      </w:r>
      <w:r>
        <w:rPr>
          <w:w w:val="105"/>
          <w:sz w:val="17"/>
        </w:rPr>
        <w:t>progenie</w:t>
      </w:r>
      <w:r>
        <w:rPr>
          <w:spacing w:val="11"/>
          <w:w w:val="105"/>
          <w:sz w:val="17"/>
        </w:rPr>
        <w:t> </w:t>
      </w:r>
      <w:r>
        <w:rPr>
          <w:w w:val="105"/>
          <w:sz w:val="17"/>
        </w:rPr>
        <w:t>del</w:t>
      </w:r>
      <w:r>
        <w:rPr>
          <w:spacing w:val="11"/>
          <w:w w:val="105"/>
          <w:sz w:val="17"/>
        </w:rPr>
        <w:t> </w:t>
      </w:r>
      <w:r>
        <w:rPr>
          <w:w w:val="105"/>
          <w:sz w:val="17"/>
        </w:rPr>
        <w:t>tipo</w:t>
      </w:r>
      <w:r>
        <w:rPr>
          <w:spacing w:val="11"/>
          <w:w w:val="105"/>
          <w:sz w:val="17"/>
        </w:rPr>
        <w:t> </w:t>
      </w:r>
      <w:r>
        <w:rPr>
          <w:w w:val="105"/>
          <w:sz w:val="17"/>
        </w:rPr>
        <w:t>A1</w:t>
      </w:r>
      <w:r>
        <w:rPr>
          <w:spacing w:val="11"/>
          <w:w w:val="105"/>
          <w:sz w:val="17"/>
        </w:rPr>
        <w:t> </w:t>
      </w:r>
      <w:r>
        <w:rPr>
          <w:w w:val="105"/>
          <w:sz w:val="17"/>
        </w:rPr>
        <w:t>(17.5%</w:t>
      </w:r>
      <w:r>
        <w:rPr>
          <w:spacing w:val="11"/>
          <w:w w:val="105"/>
          <w:sz w:val="17"/>
        </w:rPr>
        <w:t> </w:t>
      </w:r>
      <w:r>
        <w:rPr>
          <w:w w:val="105"/>
          <w:sz w:val="17"/>
        </w:rPr>
        <w:t>del</w:t>
      </w:r>
      <w:r>
        <w:rPr>
          <w:spacing w:val="11"/>
          <w:w w:val="105"/>
          <w:sz w:val="17"/>
        </w:rPr>
        <w:t> </w:t>
      </w:r>
      <w:r>
        <w:rPr>
          <w:w w:val="105"/>
          <w:sz w:val="17"/>
        </w:rPr>
        <w:t>total</w:t>
      </w:r>
      <w:r>
        <w:rPr>
          <w:spacing w:val="11"/>
          <w:w w:val="105"/>
          <w:sz w:val="17"/>
        </w:rPr>
        <w:t> </w:t>
      </w:r>
      <w:r>
        <w:rPr>
          <w:w w:val="105"/>
          <w:sz w:val="17"/>
        </w:rPr>
        <w:t>de</w:t>
      </w:r>
      <w:r>
        <w:rPr>
          <w:spacing w:val="11"/>
          <w:w w:val="105"/>
          <w:sz w:val="17"/>
        </w:rPr>
        <w:t> </w:t>
      </w:r>
      <w:r>
        <w:rPr>
          <w:w w:val="105"/>
          <w:sz w:val="17"/>
        </w:rPr>
        <w:t>su</w:t>
      </w:r>
    </w:p>
    <w:p>
      <w:pPr>
        <w:pStyle w:val="BodyText"/>
        <w:spacing w:before="7"/>
        <w:rPr>
          <w:rFonts w:ascii="Times New Roman"/>
          <w:sz w:val="10"/>
        </w:rPr>
      </w:pPr>
    </w:p>
    <w:p>
      <w:pPr>
        <w:pStyle w:val="ListParagraph"/>
        <w:numPr>
          <w:ilvl w:val="0"/>
          <w:numId w:val="23"/>
        </w:numPr>
        <w:tabs>
          <w:tab w:pos="1450" w:val="left" w:leader="none"/>
          <w:tab w:pos="1451" w:val="left" w:leader="none"/>
        </w:tabs>
        <w:spacing w:line="240" w:lineRule="auto" w:before="80" w:after="0"/>
        <w:ind w:left="1450" w:right="0" w:hanging="552"/>
        <w:jc w:val="left"/>
        <w:rPr>
          <w:sz w:val="17"/>
        </w:rPr>
      </w:pPr>
      <w:r>
        <w:rPr>
          <w:w w:val="105"/>
          <w:sz w:val="17"/>
        </w:rPr>
        <w:t>progenie).</w:t>
      </w:r>
      <w:r>
        <w:rPr>
          <w:spacing w:val="20"/>
          <w:w w:val="105"/>
          <w:sz w:val="17"/>
        </w:rPr>
        <w:t> </w:t>
      </w:r>
      <w:r>
        <w:rPr>
          <w:w w:val="105"/>
          <w:sz w:val="17"/>
        </w:rPr>
        <w:t>El</w:t>
      </w:r>
      <w:r>
        <w:rPr>
          <w:spacing w:val="20"/>
          <w:w w:val="105"/>
          <w:sz w:val="17"/>
        </w:rPr>
        <w:t> </w:t>
      </w:r>
      <w:r>
        <w:rPr>
          <w:w w:val="105"/>
          <w:sz w:val="17"/>
        </w:rPr>
        <w:t>aislamiento</w:t>
      </w:r>
      <w:r>
        <w:rPr>
          <w:spacing w:val="20"/>
          <w:w w:val="105"/>
          <w:sz w:val="17"/>
        </w:rPr>
        <w:t> </w:t>
      </w:r>
      <w:r>
        <w:rPr>
          <w:w w:val="105"/>
          <w:sz w:val="17"/>
        </w:rPr>
        <w:t>RR1</w:t>
      </w:r>
      <w:r>
        <w:rPr>
          <w:spacing w:val="20"/>
          <w:w w:val="105"/>
          <w:sz w:val="17"/>
        </w:rPr>
        <w:t> </w:t>
      </w:r>
      <w:r>
        <w:rPr>
          <w:w w:val="105"/>
          <w:sz w:val="17"/>
        </w:rPr>
        <w:t>fue</w:t>
      </w:r>
      <w:r>
        <w:rPr>
          <w:spacing w:val="20"/>
          <w:w w:val="105"/>
          <w:sz w:val="17"/>
        </w:rPr>
        <w:t> </w:t>
      </w:r>
      <w:r>
        <w:rPr>
          <w:w w:val="105"/>
          <w:sz w:val="17"/>
        </w:rPr>
        <w:t>el</w:t>
      </w:r>
      <w:r>
        <w:rPr>
          <w:spacing w:val="20"/>
          <w:w w:val="105"/>
          <w:sz w:val="17"/>
        </w:rPr>
        <w:t> </w:t>
      </w:r>
      <w:r>
        <w:rPr>
          <w:w w:val="105"/>
          <w:sz w:val="17"/>
        </w:rPr>
        <w:t>que</w:t>
      </w:r>
      <w:r>
        <w:rPr>
          <w:spacing w:val="20"/>
          <w:w w:val="105"/>
          <w:sz w:val="17"/>
        </w:rPr>
        <w:t> </w:t>
      </w:r>
      <w:r>
        <w:rPr>
          <w:w w:val="105"/>
          <w:sz w:val="17"/>
        </w:rPr>
        <w:t>mayor</w:t>
      </w:r>
      <w:r>
        <w:rPr>
          <w:spacing w:val="20"/>
          <w:w w:val="105"/>
          <w:sz w:val="17"/>
        </w:rPr>
        <w:t> </w:t>
      </w:r>
      <w:r>
        <w:rPr>
          <w:w w:val="105"/>
          <w:sz w:val="17"/>
        </w:rPr>
        <w:t>progenie</w:t>
      </w:r>
      <w:r>
        <w:rPr>
          <w:spacing w:val="20"/>
          <w:w w:val="105"/>
          <w:sz w:val="17"/>
        </w:rPr>
        <w:t> </w:t>
      </w:r>
      <w:r>
        <w:rPr>
          <w:w w:val="105"/>
          <w:sz w:val="17"/>
        </w:rPr>
        <w:t>del</w:t>
      </w:r>
      <w:r>
        <w:rPr>
          <w:spacing w:val="20"/>
          <w:w w:val="105"/>
          <w:sz w:val="17"/>
        </w:rPr>
        <w:t> </w:t>
      </w:r>
      <w:r>
        <w:rPr>
          <w:w w:val="105"/>
          <w:sz w:val="17"/>
        </w:rPr>
        <w:t>tipo</w:t>
      </w:r>
      <w:r>
        <w:rPr>
          <w:spacing w:val="20"/>
          <w:w w:val="105"/>
          <w:sz w:val="17"/>
        </w:rPr>
        <w:t> </w:t>
      </w:r>
      <w:r>
        <w:rPr>
          <w:w w:val="105"/>
          <w:sz w:val="17"/>
        </w:rPr>
        <w:t>de</w:t>
      </w:r>
      <w:r>
        <w:rPr>
          <w:spacing w:val="20"/>
          <w:w w:val="105"/>
          <w:sz w:val="17"/>
        </w:rPr>
        <w:t> </w:t>
      </w:r>
      <w:r>
        <w:rPr>
          <w:w w:val="105"/>
          <w:sz w:val="17"/>
        </w:rPr>
        <w:t>apareamiento</w:t>
      </w:r>
      <w:r>
        <w:rPr>
          <w:spacing w:val="20"/>
          <w:w w:val="105"/>
          <w:sz w:val="17"/>
        </w:rPr>
        <w:t> </w:t>
      </w:r>
      <w:r>
        <w:rPr>
          <w:w w:val="105"/>
          <w:sz w:val="17"/>
        </w:rPr>
        <w:t>A2</w:t>
      </w:r>
    </w:p>
    <w:p>
      <w:pPr>
        <w:pStyle w:val="BodyText"/>
        <w:spacing w:before="7"/>
        <w:rPr>
          <w:rFonts w:ascii="Times New Roman"/>
          <w:sz w:val="10"/>
        </w:rPr>
      </w:pPr>
    </w:p>
    <w:p>
      <w:pPr>
        <w:pStyle w:val="ListParagraph"/>
        <w:numPr>
          <w:ilvl w:val="0"/>
          <w:numId w:val="23"/>
        </w:numPr>
        <w:tabs>
          <w:tab w:pos="1450" w:val="left" w:leader="none"/>
          <w:tab w:pos="1451" w:val="left" w:leader="none"/>
        </w:tabs>
        <w:spacing w:line="240" w:lineRule="auto" w:before="80" w:after="0"/>
        <w:ind w:left="1450" w:right="0" w:hanging="552"/>
        <w:jc w:val="left"/>
        <w:rPr>
          <w:sz w:val="17"/>
        </w:rPr>
      </w:pPr>
      <w:r>
        <w:rPr>
          <w:w w:val="105"/>
          <w:sz w:val="17"/>
        </w:rPr>
        <w:t>produjo</w:t>
      </w:r>
      <w:r>
        <w:rPr>
          <w:spacing w:val="-8"/>
          <w:w w:val="105"/>
          <w:sz w:val="17"/>
        </w:rPr>
        <w:t> </w:t>
      </w:r>
      <w:r>
        <w:rPr>
          <w:w w:val="105"/>
          <w:sz w:val="17"/>
        </w:rPr>
        <w:t>(26.0%</w:t>
      </w:r>
      <w:r>
        <w:rPr>
          <w:spacing w:val="-8"/>
          <w:w w:val="105"/>
          <w:sz w:val="17"/>
        </w:rPr>
        <w:t> </w:t>
      </w:r>
      <w:r>
        <w:rPr>
          <w:w w:val="105"/>
          <w:sz w:val="17"/>
        </w:rPr>
        <w:t>del</w:t>
      </w:r>
      <w:r>
        <w:rPr>
          <w:spacing w:val="-8"/>
          <w:w w:val="105"/>
          <w:sz w:val="17"/>
        </w:rPr>
        <w:t> </w:t>
      </w:r>
      <w:r>
        <w:rPr>
          <w:w w:val="105"/>
          <w:sz w:val="17"/>
        </w:rPr>
        <w:t>total</w:t>
      </w:r>
      <w:r>
        <w:rPr>
          <w:spacing w:val="-8"/>
          <w:w w:val="105"/>
          <w:sz w:val="17"/>
        </w:rPr>
        <w:t> </w:t>
      </w:r>
      <w:r>
        <w:rPr>
          <w:w w:val="105"/>
          <w:sz w:val="17"/>
        </w:rPr>
        <w:t>de</w:t>
      </w:r>
      <w:r>
        <w:rPr>
          <w:spacing w:val="-8"/>
          <w:w w:val="105"/>
          <w:sz w:val="17"/>
        </w:rPr>
        <w:t> </w:t>
      </w:r>
      <w:r>
        <w:rPr>
          <w:w w:val="105"/>
          <w:sz w:val="17"/>
        </w:rPr>
        <w:t>su</w:t>
      </w:r>
      <w:r>
        <w:rPr>
          <w:spacing w:val="-8"/>
          <w:w w:val="105"/>
          <w:sz w:val="17"/>
        </w:rPr>
        <w:t> </w:t>
      </w:r>
      <w:r>
        <w:rPr>
          <w:w w:val="105"/>
          <w:sz w:val="17"/>
        </w:rPr>
        <w:t>progenie),</w:t>
      </w:r>
      <w:r>
        <w:rPr>
          <w:spacing w:val="-8"/>
          <w:w w:val="105"/>
          <w:sz w:val="17"/>
        </w:rPr>
        <w:t> </w:t>
      </w:r>
      <w:r>
        <w:rPr>
          <w:w w:val="105"/>
          <w:sz w:val="17"/>
        </w:rPr>
        <w:t>mientras</w:t>
      </w:r>
      <w:r>
        <w:rPr>
          <w:spacing w:val="-8"/>
          <w:w w:val="105"/>
          <w:sz w:val="17"/>
        </w:rPr>
        <w:t> </w:t>
      </w:r>
      <w:r>
        <w:rPr>
          <w:w w:val="105"/>
          <w:sz w:val="17"/>
        </w:rPr>
        <w:t>que</w:t>
      </w:r>
      <w:r>
        <w:rPr>
          <w:spacing w:val="-8"/>
          <w:w w:val="105"/>
          <w:sz w:val="17"/>
        </w:rPr>
        <w:t> </w:t>
      </w:r>
      <w:r>
        <w:rPr>
          <w:w w:val="105"/>
          <w:sz w:val="17"/>
        </w:rPr>
        <w:t>los</w:t>
      </w:r>
      <w:r>
        <w:rPr>
          <w:spacing w:val="-8"/>
          <w:w w:val="105"/>
          <w:sz w:val="17"/>
        </w:rPr>
        <w:t> </w:t>
      </w:r>
      <w:r>
        <w:rPr>
          <w:w w:val="105"/>
          <w:sz w:val="17"/>
        </w:rPr>
        <w:t>aislamientos</w:t>
      </w:r>
      <w:r>
        <w:rPr>
          <w:spacing w:val="-8"/>
          <w:w w:val="105"/>
          <w:sz w:val="17"/>
        </w:rPr>
        <w:t> </w:t>
      </w:r>
      <w:r>
        <w:rPr>
          <w:w w:val="105"/>
          <w:sz w:val="17"/>
        </w:rPr>
        <w:t>LP5</w:t>
      </w:r>
      <w:r>
        <w:rPr>
          <w:spacing w:val="-8"/>
          <w:w w:val="105"/>
          <w:sz w:val="17"/>
        </w:rPr>
        <w:t> </w:t>
      </w:r>
      <w:r>
        <w:rPr>
          <w:w w:val="105"/>
          <w:sz w:val="17"/>
        </w:rPr>
        <w:t>y</w:t>
      </w:r>
      <w:r>
        <w:rPr>
          <w:spacing w:val="-8"/>
          <w:w w:val="105"/>
          <w:sz w:val="17"/>
        </w:rPr>
        <w:t> </w:t>
      </w:r>
      <w:r>
        <w:rPr>
          <w:w w:val="105"/>
          <w:sz w:val="17"/>
        </w:rPr>
        <w:t>LPT2</w:t>
      </w:r>
      <w:r>
        <w:rPr>
          <w:spacing w:val="-8"/>
          <w:w w:val="105"/>
          <w:sz w:val="17"/>
        </w:rPr>
        <w:t> </w:t>
      </w:r>
      <w:r>
        <w:rPr>
          <w:w w:val="105"/>
          <w:sz w:val="17"/>
        </w:rPr>
        <w:t>fueron</w:t>
      </w:r>
    </w:p>
    <w:p>
      <w:pPr>
        <w:spacing w:after="0" w:line="240" w:lineRule="auto"/>
        <w:jc w:val="left"/>
        <w:rPr>
          <w:sz w:val="17"/>
        </w:rPr>
        <w:sectPr>
          <w:footerReference w:type="default" r:id="rId58"/>
          <w:pgSz w:w="12240" w:h="15840"/>
          <w:pgMar w:footer="740" w:header="719" w:top="1260" w:bottom="920" w:left="1460" w:right="1440"/>
          <w:pgNumType w:start="51"/>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21"/>
        </w:rPr>
      </w:pPr>
    </w:p>
    <w:p>
      <w:pPr>
        <w:pStyle w:val="ListParagraph"/>
        <w:numPr>
          <w:ilvl w:val="0"/>
          <w:numId w:val="23"/>
        </w:numPr>
        <w:tabs>
          <w:tab w:pos="1453" w:val="left" w:leader="none"/>
          <w:tab w:pos="1454" w:val="left" w:leader="none"/>
        </w:tabs>
        <w:spacing w:line="240" w:lineRule="auto" w:before="79" w:after="0"/>
        <w:ind w:left="1453" w:right="0" w:hanging="550"/>
        <w:jc w:val="left"/>
        <w:rPr>
          <w:sz w:val="17"/>
        </w:rPr>
      </w:pPr>
      <w:r>
        <w:rPr>
          <w:sz w:val="17"/>
        </w:rPr>
        <w:t>los</w:t>
      </w:r>
      <w:r>
        <w:rPr>
          <w:spacing w:val="10"/>
          <w:sz w:val="17"/>
        </w:rPr>
        <w:t> </w:t>
      </w:r>
      <w:r>
        <w:rPr>
          <w:sz w:val="17"/>
        </w:rPr>
        <w:t>que</w:t>
      </w:r>
      <w:r>
        <w:rPr>
          <w:spacing w:val="10"/>
          <w:sz w:val="17"/>
        </w:rPr>
        <w:t> </w:t>
      </w:r>
      <w:r>
        <w:rPr>
          <w:sz w:val="17"/>
        </w:rPr>
        <w:t>presentaron</w:t>
      </w:r>
      <w:r>
        <w:rPr>
          <w:spacing w:val="10"/>
          <w:sz w:val="17"/>
        </w:rPr>
        <w:t> </w:t>
      </w:r>
      <w:r>
        <w:rPr>
          <w:sz w:val="17"/>
        </w:rPr>
        <w:t>los</w:t>
      </w:r>
      <w:r>
        <w:rPr>
          <w:spacing w:val="10"/>
          <w:sz w:val="17"/>
        </w:rPr>
        <w:t> </w:t>
      </w:r>
      <w:r>
        <w:rPr>
          <w:sz w:val="17"/>
        </w:rPr>
        <w:t>menores</w:t>
      </w:r>
      <w:r>
        <w:rPr>
          <w:spacing w:val="10"/>
          <w:sz w:val="17"/>
        </w:rPr>
        <w:t> </w:t>
      </w:r>
      <w:r>
        <w:rPr>
          <w:sz w:val="17"/>
        </w:rPr>
        <w:t>porcentajes</w:t>
      </w:r>
      <w:r>
        <w:rPr>
          <w:spacing w:val="10"/>
          <w:sz w:val="17"/>
        </w:rPr>
        <w:t> </w:t>
      </w:r>
      <w:r>
        <w:rPr>
          <w:sz w:val="17"/>
        </w:rPr>
        <w:t>de</w:t>
      </w:r>
      <w:r>
        <w:rPr>
          <w:spacing w:val="10"/>
          <w:sz w:val="17"/>
        </w:rPr>
        <w:t> </w:t>
      </w:r>
      <w:r>
        <w:rPr>
          <w:sz w:val="17"/>
        </w:rPr>
        <w:t>progenie</w:t>
      </w:r>
      <w:r>
        <w:rPr>
          <w:spacing w:val="10"/>
          <w:sz w:val="17"/>
        </w:rPr>
        <w:t> </w:t>
      </w:r>
      <w:r>
        <w:rPr>
          <w:sz w:val="17"/>
        </w:rPr>
        <w:t>del</w:t>
      </w:r>
      <w:r>
        <w:rPr>
          <w:spacing w:val="10"/>
          <w:sz w:val="17"/>
        </w:rPr>
        <w:t> </w:t>
      </w:r>
      <w:r>
        <w:rPr>
          <w:sz w:val="17"/>
        </w:rPr>
        <w:t>tipo</w:t>
      </w:r>
      <w:r>
        <w:rPr>
          <w:spacing w:val="10"/>
          <w:sz w:val="17"/>
        </w:rPr>
        <w:t> </w:t>
      </w:r>
      <w:r>
        <w:rPr>
          <w:sz w:val="17"/>
        </w:rPr>
        <w:t>A2</w:t>
      </w:r>
      <w:r>
        <w:rPr>
          <w:spacing w:val="10"/>
          <w:sz w:val="17"/>
        </w:rPr>
        <w:t> </w:t>
      </w:r>
      <w:r>
        <w:rPr>
          <w:sz w:val="17"/>
        </w:rPr>
        <w:t>(15.7%</w:t>
      </w:r>
      <w:r>
        <w:rPr>
          <w:spacing w:val="10"/>
          <w:sz w:val="17"/>
        </w:rPr>
        <w:t> </w:t>
      </w:r>
      <w:r>
        <w:rPr>
          <w:sz w:val="17"/>
        </w:rPr>
        <w:t>y</w:t>
      </w:r>
      <w:r>
        <w:rPr>
          <w:spacing w:val="10"/>
          <w:sz w:val="17"/>
        </w:rPr>
        <w:t> </w:t>
      </w:r>
      <w:r>
        <w:rPr>
          <w:sz w:val="17"/>
        </w:rPr>
        <w:t>19%</w:t>
      </w:r>
      <w:r>
        <w:rPr>
          <w:spacing w:val="10"/>
          <w:sz w:val="17"/>
        </w:rPr>
        <w:t> </w:t>
      </w:r>
      <w:r>
        <w:rPr>
          <w:sz w:val="17"/>
        </w:rPr>
        <w:t>del</w:t>
      </w:r>
      <w:r>
        <w:rPr>
          <w:spacing w:val="10"/>
          <w:sz w:val="17"/>
        </w:rPr>
        <w:t> </w:t>
      </w:r>
      <w:r>
        <w:rPr>
          <w:sz w:val="17"/>
        </w:rPr>
        <w:t>total</w:t>
      </w:r>
    </w:p>
    <w:p>
      <w:pPr>
        <w:pStyle w:val="BodyText"/>
        <w:spacing w:before="6"/>
        <w:rPr>
          <w:rFonts w:ascii="Times New Roman"/>
          <w:sz w:val="10"/>
        </w:rPr>
      </w:pPr>
    </w:p>
    <w:p>
      <w:pPr>
        <w:pStyle w:val="ListParagraph"/>
        <w:numPr>
          <w:ilvl w:val="0"/>
          <w:numId w:val="23"/>
        </w:numPr>
        <w:tabs>
          <w:tab w:pos="1453" w:val="left" w:leader="none"/>
          <w:tab w:pos="1454" w:val="left" w:leader="none"/>
        </w:tabs>
        <w:spacing w:line="240" w:lineRule="auto" w:before="79" w:after="0"/>
        <w:ind w:left="1453" w:right="0" w:hanging="550"/>
        <w:jc w:val="left"/>
        <w:rPr>
          <w:sz w:val="17"/>
        </w:rPr>
      </w:pPr>
      <w:r>
        <w:rPr>
          <w:sz w:val="17"/>
        </w:rPr>
        <w:t>de la progenie </w:t>
      </w:r>
      <w:r>
        <w:rPr>
          <w:spacing w:val="10"/>
          <w:sz w:val="17"/>
        </w:rPr>
        <w:t> </w:t>
      </w:r>
      <w:r>
        <w:rPr>
          <w:sz w:val="17"/>
        </w:rPr>
        <w:t>respectivamente).</w:t>
      </w:r>
    </w:p>
    <w:p>
      <w:pPr>
        <w:pStyle w:val="BodyText"/>
        <w:spacing w:before="5"/>
        <w:rPr>
          <w:rFonts w:ascii="Times New Roman"/>
          <w:sz w:val="17"/>
        </w:rPr>
      </w:pPr>
    </w:p>
    <w:p>
      <w:pPr>
        <w:pStyle w:val="ListParagraph"/>
        <w:numPr>
          <w:ilvl w:val="0"/>
          <w:numId w:val="23"/>
        </w:numPr>
        <w:tabs>
          <w:tab w:pos="1196" w:val="left" w:leader="none"/>
        </w:tabs>
        <w:spacing w:line="240" w:lineRule="auto" w:before="0" w:after="0"/>
        <w:ind w:left="1195" w:right="0" w:hanging="292"/>
        <w:jc w:val="left"/>
        <w:rPr>
          <w:rFonts w:ascii="Cambria"/>
          <w:sz w:val="17"/>
        </w:rPr>
      </w:pPr>
    </w:p>
    <w:p>
      <w:pPr>
        <w:pStyle w:val="BodyText"/>
        <w:spacing w:before="4"/>
        <w:rPr>
          <w:rFonts w:ascii="Cambria"/>
          <w:sz w:val="10"/>
        </w:rPr>
      </w:pPr>
    </w:p>
    <w:p>
      <w:pPr>
        <w:pStyle w:val="ListParagraph"/>
        <w:numPr>
          <w:ilvl w:val="0"/>
          <w:numId w:val="23"/>
        </w:numPr>
        <w:tabs>
          <w:tab w:pos="1453" w:val="left" w:leader="none"/>
          <w:tab w:pos="1454" w:val="left" w:leader="none"/>
        </w:tabs>
        <w:spacing w:line="240" w:lineRule="auto" w:before="79" w:after="0"/>
        <w:ind w:left="1453" w:right="0" w:hanging="550"/>
        <w:jc w:val="left"/>
        <w:rPr>
          <w:sz w:val="17"/>
        </w:rPr>
      </w:pPr>
      <w:r>
        <w:rPr>
          <w:sz w:val="17"/>
        </w:rPr>
        <w:t>Producción de</w:t>
      </w:r>
      <w:r>
        <w:rPr>
          <w:spacing w:val="38"/>
          <w:sz w:val="17"/>
        </w:rPr>
        <w:t> </w:t>
      </w:r>
      <w:r>
        <w:rPr>
          <w:sz w:val="17"/>
        </w:rPr>
        <w:t>oosporas</w:t>
      </w:r>
    </w:p>
    <w:p>
      <w:pPr>
        <w:pStyle w:val="BodyText"/>
        <w:spacing w:before="6"/>
        <w:rPr>
          <w:rFonts w:ascii="Times New Roman"/>
          <w:sz w:val="10"/>
        </w:rPr>
      </w:pPr>
    </w:p>
    <w:p>
      <w:pPr>
        <w:pStyle w:val="ListParagraph"/>
        <w:numPr>
          <w:ilvl w:val="0"/>
          <w:numId w:val="23"/>
        </w:numPr>
        <w:tabs>
          <w:tab w:pos="1453" w:val="left" w:leader="none"/>
          <w:tab w:pos="1454" w:val="left" w:leader="none"/>
        </w:tabs>
        <w:spacing w:line="240" w:lineRule="auto" w:before="79" w:after="0"/>
        <w:ind w:left="1453" w:right="0" w:hanging="550"/>
        <w:jc w:val="left"/>
        <w:rPr>
          <w:sz w:val="17"/>
        </w:rPr>
      </w:pPr>
      <w:r>
        <w:rPr>
          <w:sz w:val="17"/>
        </w:rPr>
        <w:t>El  análisis  de  varianza  indicó  que  no  hay  diferencias  significativas  en  el  número     </w:t>
      </w:r>
      <w:r>
        <w:rPr>
          <w:spacing w:val="30"/>
          <w:sz w:val="17"/>
        </w:rPr>
        <w:t> </w:t>
      </w:r>
      <w:r>
        <w:rPr>
          <w:sz w:val="17"/>
        </w:rPr>
        <w:t>de</w:t>
      </w:r>
    </w:p>
    <w:p>
      <w:pPr>
        <w:pStyle w:val="BodyText"/>
        <w:spacing w:before="6"/>
        <w:rPr>
          <w:rFonts w:ascii="Times New Roman"/>
          <w:sz w:val="10"/>
        </w:rPr>
      </w:pPr>
    </w:p>
    <w:p>
      <w:pPr>
        <w:pStyle w:val="ListParagraph"/>
        <w:numPr>
          <w:ilvl w:val="0"/>
          <w:numId w:val="23"/>
        </w:numPr>
        <w:tabs>
          <w:tab w:pos="1453" w:val="left" w:leader="none"/>
          <w:tab w:pos="1454" w:val="left" w:leader="none"/>
        </w:tabs>
        <w:spacing w:line="240" w:lineRule="auto" w:before="79" w:after="0"/>
        <w:ind w:left="1453" w:right="0" w:hanging="550"/>
        <w:jc w:val="left"/>
        <w:rPr>
          <w:sz w:val="17"/>
        </w:rPr>
      </w:pPr>
      <w:r>
        <w:rPr>
          <w:sz w:val="17"/>
        </w:rPr>
        <w:t>oosporas</w:t>
      </w:r>
      <w:r>
        <w:rPr>
          <w:spacing w:val="17"/>
          <w:sz w:val="17"/>
        </w:rPr>
        <w:t> </w:t>
      </w:r>
      <w:r>
        <w:rPr>
          <w:sz w:val="17"/>
        </w:rPr>
        <w:t>producidas</w:t>
      </w:r>
      <w:r>
        <w:rPr>
          <w:spacing w:val="17"/>
          <w:sz w:val="17"/>
        </w:rPr>
        <w:t> </w:t>
      </w:r>
      <w:r>
        <w:rPr>
          <w:sz w:val="17"/>
        </w:rPr>
        <w:t>en</w:t>
      </w:r>
      <w:r>
        <w:rPr>
          <w:spacing w:val="17"/>
          <w:sz w:val="17"/>
        </w:rPr>
        <w:t> </w:t>
      </w:r>
      <w:r>
        <w:rPr>
          <w:sz w:val="17"/>
        </w:rPr>
        <w:t>los</w:t>
      </w:r>
      <w:r>
        <w:rPr>
          <w:spacing w:val="17"/>
          <w:sz w:val="17"/>
        </w:rPr>
        <w:t> </w:t>
      </w:r>
      <w:r>
        <w:rPr>
          <w:sz w:val="17"/>
        </w:rPr>
        <w:t>cruzamientos</w:t>
      </w:r>
      <w:r>
        <w:rPr>
          <w:spacing w:val="17"/>
          <w:sz w:val="17"/>
        </w:rPr>
        <w:t> </w:t>
      </w:r>
      <w:r>
        <w:rPr>
          <w:sz w:val="17"/>
        </w:rPr>
        <w:t>entre</w:t>
      </w:r>
      <w:r>
        <w:rPr>
          <w:spacing w:val="17"/>
          <w:sz w:val="17"/>
        </w:rPr>
        <w:t> </w:t>
      </w:r>
      <w:r>
        <w:rPr>
          <w:sz w:val="17"/>
        </w:rPr>
        <w:t>los</w:t>
      </w:r>
      <w:r>
        <w:rPr>
          <w:spacing w:val="17"/>
          <w:sz w:val="17"/>
        </w:rPr>
        <w:t> </w:t>
      </w:r>
      <w:r>
        <w:rPr>
          <w:sz w:val="17"/>
        </w:rPr>
        <w:t>aislamientos</w:t>
      </w:r>
      <w:r>
        <w:rPr>
          <w:spacing w:val="17"/>
          <w:sz w:val="17"/>
        </w:rPr>
        <w:t> </w:t>
      </w:r>
      <w:r>
        <w:rPr>
          <w:sz w:val="17"/>
        </w:rPr>
        <w:t>homotálicos</w:t>
      </w:r>
      <w:r>
        <w:rPr>
          <w:spacing w:val="17"/>
          <w:sz w:val="17"/>
        </w:rPr>
        <w:t> </w:t>
      </w:r>
      <w:r>
        <w:rPr>
          <w:sz w:val="17"/>
        </w:rPr>
        <w:t>y</w:t>
      </w:r>
      <w:r>
        <w:rPr>
          <w:spacing w:val="17"/>
          <w:sz w:val="17"/>
        </w:rPr>
        <w:t> </w:t>
      </w:r>
      <w:r>
        <w:rPr>
          <w:sz w:val="17"/>
        </w:rPr>
        <w:t>el</w:t>
      </w:r>
      <w:r>
        <w:rPr>
          <w:spacing w:val="17"/>
          <w:sz w:val="17"/>
        </w:rPr>
        <w:t> </w:t>
      </w:r>
      <w:r>
        <w:rPr>
          <w:sz w:val="17"/>
        </w:rPr>
        <w:t>aislado</w:t>
      </w:r>
      <w:r>
        <w:rPr>
          <w:spacing w:val="17"/>
          <w:sz w:val="17"/>
        </w:rPr>
        <w:t> </w:t>
      </w:r>
      <w:r>
        <w:rPr>
          <w:sz w:val="17"/>
        </w:rPr>
        <w:t>de</w:t>
      </w:r>
    </w:p>
    <w:p>
      <w:pPr>
        <w:pStyle w:val="BodyText"/>
        <w:spacing w:before="6"/>
        <w:rPr>
          <w:rFonts w:ascii="Times New Roman"/>
          <w:sz w:val="10"/>
        </w:rPr>
      </w:pPr>
    </w:p>
    <w:p>
      <w:pPr>
        <w:pStyle w:val="ListParagraph"/>
        <w:numPr>
          <w:ilvl w:val="0"/>
          <w:numId w:val="23"/>
        </w:numPr>
        <w:tabs>
          <w:tab w:pos="1453" w:val="left" w:leader="none"/>
          <w:tab w:pos="1454" w:val="left" w:leader="none"/>
        </w:tabs>
        <w:spacing w:line="240" w:lineRule="auto" w:before="79" w:after="0"/>
        <w:ind w:left="1453" w:right="0" w:hanging="550"/>
        <w:jc w:val="left"/>
        <w:rPr>
          <w:sz w:val="17"/>
        </w:rPr>
      </w:pPr>
      <w:r>
        <w:rPr>
          <w:sz w:val="17"/>
        </w:rPr>
        <w:t>referencia</w:t>
      </w:r>
      <w:r>
        <w:rPr>
          <w:spacing w:val="31"/>
          <w:sz w:val="17"/>
        </w:rPr>
        <w:t> </w:t>
      </w:r>
      <w:r>
        <w:rPr>
          <w:sz w:val="17"/>
        </w:rPr>
        <w:t>J104</w:t>
      </w:r>
      <w:r>
        <w:rPr>
          <w:spacing w:val="31"/>
          <w:sz w:val="17"/>
        </w:rPr>
        <w:t> </w:t>
      </w:r>
      <w:r>
        <w:rPr>
          <w:sz w:val="17"/>
        </w:rPr>
        <w:t>(A1)</w:t>
      </w:r>
      <w:r>
        <w:rPr>
          <w:spacing w:val="31"/>
          <w:sz w:val="17"/>
        </w:rPr>
        <w:t> </w:t>
      </w:r>
      <w:r>
        <w:rPr>
          <w:sz w:val="17"/>
        </w:rPr>
        <w:t>y</w:t>
      </w:r>
      <w:r>
        <w:rPr>
          <w:spacing w:val="31"/>
          <w:sz w:val="17"/>
        </w:rPr>
        <w:t> </w:t>
      </w:r>
      <w:r>
        <w:rPr>
          <w:sz w:val="17"/>
        </w:rPr>
        <w:t>entre</w:t>
      </w:r>
      <w:r>
        <w:rPr>
          <w:spacing w:val="31"/>
          <w:sz w:val="17"/>
        </w:rPr>
        <w:t> </w:t>
      </w:r>
      <w:r>
        <w:rPr>
          <w:sz w:val="17"/>
        </w:rPr>
        <w:t>los</w:t>
      </w:r>
      <w:r>
        <w:rPr>
          <w:spacing w:val="31"/>
          <w:sz w:val="17"/>
        </w:rPr>
        <w:t> </w:t>
      </w:r>
      <w:r>
        <w:rPr>
          <w:sz w:val="17"/>
        </w:rPr>
        <w:t>aislamientos</w:t>
      </w:r>
      <w:r>
        <w:rPr>
          <w:spacing w:val="31"/>
          <w:sz w:val="17"/>
        </w:rPr>
        <w:t> </w:t>
      </w:r>
      <w:r>
        <w:rPr>
          <w:sz w:val="17"/>
        </w:rPr>
        <w:t>homotálicos</w:t>
      </w:r>
      <w:r>
        <w:rPr>
          <w:spacing w:val="31"/>
          <w:sz w:val="17"/>
        </w:rPr>
        <w:t> </w:t>
      </w:r>
      <w:r>
        <w:rPr>
          <w:sz w:val="17"/>
        </w:rPr>
        <w:t>y</w:t>
      </w:r>
      <w:r>
        <w:rPr>
          <w:spacing w:val="31"/>
          <w:sz w:val="17"/>
        </w:rPr>
        <w:t> </w:t>
      </w:r>
      <w:r>
        <w:rPr>
          <w:sz w:val="17"/>
        </w:rPr>
        <w:t>el</w:t>
      </w:r>
      <w:r>
        <w:rPr>
          <w:spacing w:val="31"/>
          <w:sz w:val="17"/>
        </w:rPr>
        <w:t> </w:t>
      </w:r>
      <w:r>
        <w:rPr>
          <w:sz w:val="17"/>
        </w:rPr>
        <w:t>aislamiento</w:t>
      </w:r>
      <w:r>
        <w:rPr>
          <w:spacing w:val="31"/>
          <w:sz w:val="17"/>
        </w:rPr>
        <w:t> </w:t>
      </w:r>
      <w:r>
        <w:rPr>
          <w:sz w:val="17"/>
        </w:rPr>
        <w:t>BV2</w:t>
      </w:r>
      <w:r>
        <w:rPr>
          <w:spacing w:val="31"/>
          <w:sz w:val="17"/>
        </w:rPr>
        <w:t> </w:t>
      </w:r>
      <w:r>
        <w:rPr>
          <w:sz w:val="17"/>
        </w:rPr>
        <w:t>(A1)</w:t>
      </w:r>
      <w:r>
        <w:rPr>
          <w:spacing w:val="31"/>
          <w:sz w:val="17"/>
        </w:rPr>
        <w:t> </w:t>
      </w:r>
      <w:r>
        <w:rPr>
          <w:sz w:val="17"/>
        </w:rPr>
        <w:t>(la</w:t>
      </w:r>
    </w:p>
    <w:p>
      <w:pPr>
        <w:pStyle w:val="BodyText"/>
        <w:spacing w:before="6"/>
        <w:rPr>
          <w:rFonts w:ascii="Times New Roman"/>
          <w:sz w:val="10"/>
        </w:rPr>
      </w:pPr>
    </w:p>
    <w:p>
      <w:pPr>
        <w:pStyle w:val="ListParagraph"/>
        <w:numPr>
          <w:ilvl w:val="0"/>
          <w:numId w:val="23"/>
        </w:numPr>
        <w:tabs>
          <w:tab w:pos="1453" w:val="left" w:leader="none"/>
          <w:tab w:pos="1454" w:val="left" w:leader="none"/>
        </w:tabs>
        <w:spacing w:line="240" w:lineRule="auto" w:before="79" w:after="0"/>
        <w:ind w:left="1453" w:right="0" w:hanging="550"/>
        <w:jc w:val="left"/>
        <w:rPr>
          <w:sz w:val="17"/>
        </w:rPr>
      </w:pPr>
      <w:r>
        <w:rPr>
          <w:sz w:val="17"/>
        </w:rPr>
        <w:t>media  de  los  ensayos  fue  49  oosporas  por  cruzamiento),  pero  sí  se  encontró</w:t>
      </w:r>
      <w:r>
        <w:rPr>
          <w:spacing w:val="39"/>
          <w:sz w:val="17"/>
        </w:rPr>
        <w:t> </w:t>
      </w:r>
      <w:r>
        <w:rPr>
          <w:sz w:val="17"/>
        </w:rPr>
        <w:t>diferencia</w:t>
      </w:r>
    </w:p>
    <w:p>
      <w:pPr>
        <w:pStyle w:val="BodyText"/>
        <w:spacing w:before="6"/>
        <w:rPr>
          <w:rFonts w:ascii="Times New Roman"/>
          <w:sz w:val="10"/>
        </w:rPr>
      </w:pPr>
    </w:p>
    <w:p>
      <w:pPr>
        <w:pStyle w:val="ListParagraph"/>
        <w:numPr>
          <w:ilvl w:val="0"/>
          <w:numId w:val="23"/>
        </w:numPr>
        <w:tabs>
          <w:tab w:pos="1453" w:val="left" w:leader="none"/>
          <w:tab w:pos="1454" w:val="left" w:leader="none"/>
        </w:tabs>
        <w:spacing w:line="240" w:lineRule="auto" w:before="79" w:after="0"/>
        <w:ind w:left="1453" w:right="0" w:hanging="550"/>
        <w:jc w:val="left"/>
        <w:rPr>
          <w:sz w:val="17"/>
        </w:rPr>
      </w:pPr>
      <w:r>
        <w:rPr>
          <w:sz w:val="17"/>
        </w:rPr>
        <w:t>significativa  al  comparase  con  los  cruzamientos  entre  los  aislamientos  homotálicos  y</w:t>
      </w:r>
      <w:r>
        <w:rPr>
          <w:spacing w:val="41"/>
          <w:sz w:val="17"/>
        </w:rPr>
        <w:t> </w:t>
      </w:r>
      <w:r>
        <w:rPr>
          <w:sz w:val="17"/>
        </w:rPr>
        <w:t>el</w:t>
      </w:r>
    </w:p>
    <w:p>
      <w:pPr>
        <w:pStyle w:val="BodyText"/>
        <w:spacing w:before="6"/>
        <w:rPr>
          <w:rFonts w:ascii="Times New Roman"/>
          <w:sz w:val="10"/>
        </w:rPr>
      </w:pPr>
    </w:p>
    <w:p>
      <w:pPr>
        <w:pStyle w:val="ListParagraph"/>
        <w:numPr>
          <w:ilvl w:val="0"/>
          <w:numId w:val="23"/>
        </w:numPr>
        <w:tabs>
          <w:tab w:pos="1453" w:val="left" w:leader="none"/>
          <w:tab w:pos="1454" w:val="left" w:leader="none"/>
        </w:tabs>
        <w:spacing w:line="240" w:lineRule="auto" w:before="79" w:after="0"/>
        <w:ind w:left="1453" w:right="0" w:hanging="550"/>
        <w:jc w:val="left"/>
        <w:rPr>
          <w:sz w:val="17"/>
        </w:rPr>
      </w:pPr>
      <w:r>
        <w:rPr>
          <w:sz w:val="17"/>
        </w:rPr>
        <w:t>aislado de referencia J204 (A2)       </w:t>
      </w:r>
      <w:r>
        <w:rPr>
          <w:spacing w:val="17"/>
          <w:sz w:val="17"/>
        </w:rPr>
        <w:t> </w:t>
      </w:r>
      <w:r>
        <w:rPr>
          <w:sz w:val="17"/>
        </w:rPr>
        <w:t>y con los aislamientos BV2 (A2) quienes presentaron una</w:t>
      </w:r>
    </w:p>
    <w:p>
      <w:pPr>
        <w:pStyle w:val="BodyText"/>
        <w:spacing w:before="6"/>
        <w:rPr>
          <w:rFonts w:ascii="Times New Roman"/>
          <w:sz w:val="10"/>
        </w:rPr>
      </w:pPr>
    </w:p>
    <w:p>
      <w:pPr>
        <w:pStyle w:val="ListParagraph"/>
        <w:numPr>
          <w:ilvl w:val="0"/>
          <w:numId w:val="23"/>
        </w:numPr>
        <w:tabs>
          <w:tab w:pos="1453" w:val="left" w:leader="none"/>
          <w:tab w:pos="1454" w:val="left" w:leader="none"/>
        </w:tabs>
        <w:spacing w:line="240" w:lineRule="auto" w:before="79" w:after="0"/>
        <w:ind w:left="1453" w:right="0" w:hanging="550"/>
        <w:jc w:val="left"/>
        <w:rPr>
          <w:sz w:val="17"/>
        </w:rPr>
      </w:pPr>
      <w:r>
        <w:rPr>
          <w:sz w:val="17"/>
        </w:rPr>
        <w:t>media de 36 oosporas por cruzamientos (</w:t>
      </w:r>
      <w:r>
        <w:rPr>
          <w:b/>
          <w:sz w:val="17"/>
        </w:rPr>
        <w:t>Tabla   III</w:t>
      </w:r>
      <w:r>
        <w:rPr>
          <w:sz w:val="17"/>
        </w:rPr>
        <w:t>).</w:t>
      </w:r>
    </w:p>
    <w:p>
      <w:pPr>
        <w:pStyle w:val="BodyText"/>
        <w:spacing w:before="5"/>
        <w:rPr>
          <w:rFonts w:ascii="Times New Roman"/>
          <w:sz w:val="17"/>
        </w:rPr>
      </w:pPr>
    </w:p>
    <w:p>
      <w:pPr>
        <w:pStyle w:val="ListParagraph"/>
        <w:numPr>
          <w:ilvl w:val="0"/>
          <w:numId w:val="23"/>
        </w:numPr>
        <w:tabs>
          <w:tab w:pos="1196" w:val="left" w:leader="none"/>
        </w:tabs>
        <w:spacing w:line="240" w:lineRule="auto" w:before="0" w:after="0"/>
        <w:ind w:left="1195" w:right="0" w:hanging="292"/>
        <w:jc w:val="left"/>
        <w:rPr>
          <w:rFonts w:ascii="Cambria"/>
          <w:sz w:val="17"/>
        </w:rPr>
      </w:pPr>
    </w:p>
    <w:p>
      <w:pPr>
        <w:pStyle w:val="BodyText"/>
        <w:spacing w:before="4"/>
        <w:rPr>
          <w:rFonts w:ascii="Cambria"/>
          <w:sz w:val="10"/>
        </w:rPr>
      </w:pPr>
    </w:p>
    <w:p>
      <w:pPr>
        <w:pStyle w:val="ListParagraph"/>
        <w:numPr>
          <w:ilvl w:val="0"/>
          <w:numId w:val="23"/>
        </w:numPr>
        <w:tabs>
          <w:tab w:pos="1453" w:val="left" w:leader="none"/>
          <w:tab w:pos="1454" w:val="left" w:leader="none"/>
        </w:tabs>
        <w:spacing w:line="240" w:lineRule="auto" w:before="79" w:after="0"/>
        <w:ind w:left="1453" w:right="0" w:hanging="550"/>
        <w:jc w:val="left"/>
        <w:rPr>
          <w:sz w:val="17"/>
        </w:rPr>
      </w:pPr>
      <w:r>
        <w:rPr>
          <w:sz w:val="17"/>
        </w:rPr>
        <w:t>Los </w:t>
      </w:r>
      <w:r>
        <w:rPr>
          <w:spacing w:val="27"/>
          <w:sz w:val="17"/>
        </w:rPr>
        <w:t> </w:t>
      </w:r>
      <w:r>
        <w:rPr>
          <w:sz w:val="17"/>
        </w:rPr>
        <w:t>aislamientos </w:t>
      </w:r>
      <w:r>
        <w:rPr>
          <w:spacing w:val="27"/>
          <w:sz w:val="17"/>
        </w:rPr>
        <w:t> </w:t>
      </w:r>
      <w:r>
        <w:rPr>
          <w:sz w:val="17"/>
        </w:rPr>
        <w:t>homotálicos </w:t>
      </w:r>
      <w:r>
        <w:rPr>
          <w:spacing w:val="27"/>
          <w:sz w:val="17"/>
        </w:rPr>
        <w:t> </w:t>
      </w:r>
      <w:r>
        <w:rPr>
          <w:sz w:val="17"/>
        </w:rPr>
        <w:t>produjeron </w:t>
      </w:r>
      <w:r>
        <w:rPr>
          <w:spacing w:val="27"/>
          <w:sz w:val="17"/>
        </w:rPr>
        <w:t> </w:t>
      </w:r>
      <w:r>
        <w:rPr>
          <w:sz w:val="17"/>
        </w:rPr>
        <w:t>por </w:t>
      </w:r>
      <w:r>
        <w:rPr>
          <w:spacing w:val="27"/>
          <w:sz w:val="17"/>
        </w:rPr>
        <w:t> </w:t>
      </w:r>
      <w:r>
        <w:rPr>
          <w:sz w:val="17"/>
        </w:rPr>
        <w:t>sí </w:t>
      </w:r>
      <w:r>
        <w:rPr>
          <w:spacing w:val="27"/>
          <w:sz w:val="17"/>
        </w:rPr>
        <w:t> </w:t>
      </w:r>
      <w:r>
        <w:rPr>
          <w:sz w:val="17"/>
        </w:rPr>
        <w:t>solos </w:t>
      </w:r>
      <w:r>
        <w:rPr>
          <w:spacing w:val="27"/>
          <w:sz w:val="17"/>
        </w:rPr>
        <w:t> </w:t>
      </w:r>
      <w:r>
        <w:rPr>
          <w:sz w:val="17"/>
        </w:rPr>
        <w:t>en </w:t>
      </w:r>
      <w:r>
        <w:rPr>
          <w:spacing w:val="27"/>
          <w:sz w:val="17"/>
        </w:rPr>
        <w:t> </w:t>
      </w:r>
      <w:r>
        <w:rPr>
          <w:sz w:val="17"/>
        </w:rPr>
        <w:t>promedio </w:t>
      </w:r>
      <w:r>
        <w:rPr>
          <w:spacing w:val="27"/>
          <w:sz w:val="17"/>
        </w:rPr>
        <w:t> </w:t>
      </w:r>
      <w:r>
        <w:rPr>
          <w:sz w:val="17"/>
        </w:rPr>
        <w:t>28 </w:t>
      </w:r>
      <w:r>
        <w:rPr>
          <w:spacing w:val="27"/>
          <w:sz w:val="17"/>
        </w:rPr>
        <w:t> </w:t>
      </w:r>
      <w:r>
        <w:rPr>
          <w:sz w:val="17"/>
        </w:rPr>
        <w:t>oosporas, </w:t>
      </w:r>
      <w:r>
        <w:rPr>
          <w:spacing w:val="27"/>
          <w:sz w:val="17"/>
        </w:rPr>
        <w:t> </w:t>
      </w:r>
      <w:r>
        <w:rPr>
          <w:sz w:val="17"/>
        </w:rPr>
        <w:t>no</w:t>
      </w:r>
    </w:p>
    <w:p>
      <w:pPr>
        <w:pStyle w:val="BodyText"/>
        <w:spacing w:before="6"/>
        <w:rPr>
          <w:rFonts w:ascii="Times New Roman"/>
          <w:sz w:val="10"/>
        </w:rPr>
      </w:pPr>
    </w:p>
    <w:p>
      <w:pPr>
        <w:pStyle w:val="ListParagraph"/>
        <w:numPr>
          <w:ilvl w:val="0"/>
          <w:numId w:val="23"/>
        </w:numPr>
        <w:tabs>
          <w:tab w:pos="1453" w:val="left" w:leader="none"/>
          <w:tab w:pos="1454" w:val="left" w:leader="none"/>
        </w:tabs>
        <w:spacing w:line="240" w:lineRule="auto" w:before="79" w:after="0"/>
        <w:ind w:left="1453" w:right="0" w:hanging="550"/>
        <w:jc w:val="left"/>
        <w:rPr>
          <w:sz w:val="17"/>
        </w:rPr>
      </w:pPr>
      <w:r>
        <w:rPr>
          <w:sz w:val="17"/>
        </w:rPr>
        <w:t>encontrándose  diferencia  significativa  con  el  número  de  oosporas  producidas  en       </w:t>
      </w:r>
      <w:r>
        <w:rPr>
          <w:spacing w:val="41"/>
          <w:sz w:val="17"/>
        </w:rPr>
        <w:t> </w:t>
      </w:r>
      <w:r>
        <w:rPr>
          <w:sz w:val="17"/>
        </w:rPr>
        <w:t>los</w:t>
      </w:r>
    </w:p>
    <w:p>
      <w:pPr>
        <w:pStyle w:val="BodyText"/>
        <w:spacing w:before="6"/>
        <w:rPr>
          <w:rFonts w:ascii="Times New Roman"/>
          <w:sz w:val="10"/>
        </w:rPr>
      </w:pPr>
    </w:p>
    <w:p>
      <w:pPr>
        <w:pStyle w:val="ListParagraph"/>
        <w:numPr>
          <w:ilvl w:val="0"/>
          <w:numId w:val="23"/>
        </w:numPr>
        <w:tabs>
          <w:tab w:pos="1453" w:val="left" w:leader="none"/>
          <w:tab w:pos="1454" w:val="left" w:leader="none"/>
        </w:tabs>
        <w:spacing w:line="240" w:lineRule="auto" w:before="79" w:after="0"/>
        <w:ind w:left="1453" w:right="0" w:hanging="550"/>
        <w:jc w:val="left"/>
        <w:rPr>
          <w:sz w:val="17"/>
        </w:rPr>
      </w:pPr>
      <w:r>
        <w:rPr>
          <w:sz w:val="17"/>
        </w:rPr>
        <w:t>cruzamientos  estrictamente  heterotálicos.  Al  enfrentar  los  aislamientos  heterotálicos   </w:t>
      </w:r>
      <w:r>
        <w:rPr>
          <w:spacing w:val="10"/>
          <w:sz w:val="17"/>
        </w:rPr>
        <w:t> </w:t>
      </w:r>
      <w:r>
        <w:rPr>
          <w:sz w:val="17"/>
        </w:rPr>
        <w:t>del</w:t>
      </w:r>
    </w:p>
    <w:p>
      <w:pPr>
        <w:pStyle w:val="BodyText"/>
        <w:spacing w:before="6"/>
        <w:rPr>
          <w:rFonts w:ascii="Times New Roman"/>
          <w:sz w:val="10"/>
        </w:rPr>
      </w:pPr>
    </w:p>
    <w:p>
      <w:pPr>
        <w:pStyle w:val="ListParagraph"/>
        <w:numPr>
          <w:ilvl w:val="0"/>
          <w:numId w:val="23"/>
        </w:numPr>
        <w:tabs>
          <w:tab w:pos="1453" w:val="left" w:leader="none"/>
          <w:tab w:pos="1454" w:val="left" w:leader="none"/>
        </w:tabs>
        <w:spacing w:line="240" w:lineRule="auto" w:before="79" w:after="0"/>
        <w:ind w:left="1453" w:right="0" w:hanging="550"/>
        <w:jc w:val="left"/>
        <w:rPr>
          <w:sz w:val="17"/>
        </w:rPr>
      </w:pPr>
      <w:r>
        <w:rPr>
          <w:sz w:val="17"/>
        </w:rPr>
        <w:t>tipo</w:t>
      </w:r>
      <w:r>
        <w:rPr>
          <w:spacing w:val="24"/>
          <w:sz w:val="17"/>
        </w:rPr>
        <w:t> </w:t>
      </w:r>
      <w:r>
        <w:rPr>
          <w:sz w:val="17"/>
        </w:rPr>
        <w:t>A1</w:t>
      </w:r>
      <w:r>
        <w:rPr>
          <w:spacing w:val="24"/>
          <w:sz w:val="17"/>
        </w:rPr>
        <w:t> </w:t>
      </w:r>
      <w:r>
        <w:rPr>
          <w:sz w:val="17"/>
        </w:rPr>
        <w:t>con</w:t>
      </w:r>
      <w:r>
        <w:rPr>
          <w:spacing w:val="24"/>
          <w:sz w:val="17"/>
        </w:rPr>
        <w:t> </w:t>
      </w:r>
      <w:r>
        <w:rPr>
          <w:sz w:val="17"/>
        </w:rPr>
        <w:t>el</w:t>
      </w:r>
      <w:r>
        <w:rPr>
          <w:spacing w:val="24"/>
          <w:sz w:val="17"/>
        </w:rPr>
        <w:t> </w:t>
      </w:r>
      <w:r>
        <w:rPr>
          <w:sz w:val="17"/>
        </w:rPr>
        <w:t>aislado</w:t>
      </w:r>
      <w:r>
        <w:rPr>
          <w:spacing w:val="24"/>
          <w:sz w:val="17"/>
        </w:rPr>
        <w:t> </w:t>
      </w:r>
      <w:r>
        <w:rPr>
          <w:sz w:val="17"/>
        </w:rPr>
        <w:t>de</w:t>
      </w:r>
      <w:r>
        <w:rPr>
          <w:spacing w:val="24"/>
          <w:sz w:val="17"/>
        </w:rPr>
        <w:t> </w:t>
      </w:r>
      <w:r>
        <w:rPr>
          <w:sz w:val="17"/>
        </w:rPr>
        <w:t>referencia</w:t>
      </w:r>
      <w:r>
        <w:rPr>
          <w:spacing w:val="24"/>
          <w:sz w:val="17"/>
        </w:rPr>
        <w:t> </w:t>
      </w:r>
      <w:r>
        <w:rPr>
          <w:sz w:val="17"/>
        </w:rPr>
        <w:t>J204</w:t>
      </w:r>
      <w:r>
        <w:rPr>
          <w:spacing w:val="24"/>
          <w:sz w:val="17"/>
        </w:rPr>
        <w:t> </w:t>
      </w:r>
      <w:r>
        <w:rPr>
          <w:sz w:val="17"/>
        </w:rPr>
        <w:t>(A2)</w:t>
      </w:r>
      <w:r>
        <w:rPr>
          <w:spacing w:val="24"/>
          <w:sz w:val="17"/>
        </w:rPr>
        <w:t> </w:t>
      </w:r>
      <w:r>
        <w:rPr>
          <w:sz w:val="17"/>
        </w:rPr>
        <w:t>se</w:t>
      </w:r>
      <w:r>
        <w:rPr>
          <w:spacing w:val="24"/>
          <w:sz w:val="17"/>
        </w:rPr>
        <w:t> </w:t>
      </w:r>
      <w:r>
        <w:rPr>
          <w:sz w:val="17"/>
        </w:rPr>
        <w:t>obtuvieron</w:t>
      </w:r>
      <w:r>
        <w:rPr>
          <w:spacing w:val="24"/>
          <w:sz w:val="17"/>
        </w:rPr>
        <w:t> </w:t>
      </w:r>
      <w:r>
        <w:rPr>
          <w:sz w:val="17"/>
        </w:rPr>
        <w:t>en</w:t>
      </w:r>
      <w:r>
        <w:rPr>
          <w:spacing w:val="24"/>
          <w:sz w:val="17"/>
        </w:rPr>
        <w:t> </w:t>
      </w:r>
      <w:r>
        <w:rPr>
          <w:sz w:val="17"/>
        </w:rPr>
        <w:t>promedio  </w:t>
      </w:r>
      <w:r>
        <w:rPr>
          <w:spacing w:val="7"/>
          <w:sz w:val="17"/>
        </w:rPr>
        <w:t> </w:t>
      </w:r>
      <w:r>
        <w:rPr>
          <w:sz w:val="17"/>
        </w:rPr>
        <w:t>27.5</w:t>
      </w:r>
      <w:r>
        <w:rPr>
          <w:spacing w:val="24"/>
          <w:sz w:val="17"/>
        </w:rPr>
        <w:t> </w:t>
      </w:r>
      <w:r>
        <w:rPr>
          <w:sz w:val="17"/>
        </w:rPr>
        <w:t>oosporas</w:t>
      </w:r>
    </w:p>
    <w:p>
      <w:pPr>
        <w:pStyle w:val="BodyText"/>
        <w:spacing w:before="6"/>
        <w:rPr>
          <w:rFonts w:ascii="Times New Roman"/>
          <w:sz w:val="10"/>
        </w:rPr>
      </w:pPr>
    </w:p>
    <w:p>
      <w:pPr>
        <w:pStyle w:val="ListParagraph"/>
        <w:numPr>
          <w:ilvl w:val="0"/>
          <w:numId w:val="23"/>
        </w:numPr>
        <w:tabs>
          <w:tab w:pos="1453" w:val="left" w:leader="none"/>
          <w:tab w:pos="1454" w:val="left" w:leader="none"/>
        </w:tabs>
        <w:spacing w:line="240" w:lineRule="auto" w:before="79" w:after="0"/>
        <w:ind w:left="1453" w:right="0" w:hanging="550"/>
        <w:jc w:val="left"/>
        <w:rPr>
          <w:sz w:val="17"/>
        </w:rPr>
      </w:pPr>
      <w:r>
        <w:rPr>
          <w:sz w:val="17"/>
        </w:rPr>
        <w:t>por</w:t>
      </w:r>
      <w:r>
        <w:rPr>
          <w:spacing w:val="30"/>
          <w:sz w:val="17"/>
        </w:rPr>
        <w:t> </w:t>
      </w:r>
      <w:r>
        <w:rPr>
          <w:sz w:val="17"/>
        </w:rPr>
        <w:t>cruzamiento,</w:t>
      </w:r>
      <w:r>
        <w:rPr>
          <w:spacing w:val="30"/>
          <w:sz w:val="17"/>
        </w:rPr>
        <w:t> </w:t>
      </w:r>
      <w:r>
        <w:rPr>
          <w:sz w:val="17"/>
        </w:rPr>
        <w:t>similar</w:t>
      </w:r>
      <w:r>
        <w:rPr>
          <w:spacing w:val="30"/>
          <w:sz w:val="17"/>
        </w:rPr>
        <w:t> </w:t>
      </w:r>
      <w:r>
        <w:rPr>
          <w:sz w:val="17"/>
        </w:rPr>
        <w:t>al</w:t>
      </w:r>
      <w:r>
        <w:rPr>
          <w:spacing w:val="30"/>
          <w:sz w:val="17"/>
        </w:rPr>
        <w:t> </w:t>
      </w:r>
      <w:r>
        <w:rPr>
          <w:sz w:val="17"/>
        </w:rPr>
        <w:t>número</w:t>
      </w:r>
      <w:r>
        <w:rPr>
          <w:spacing w:val="30"/>
          <w:sz w:val="17"/>
        </w:rPr>
        <w:t> </w:t>
      </w:r>
      <w:r>
        <w:rPr>
          <w:sz w:val="17"/>
        </w:rPr>
        <w:t>de</w:t>
      </w:r>
      <w:r>
        <w:rPr>
          <w:spacing w:val="30"/>
          <w:sz w:val="17"/>
        </w:rPr>
        <w:t> </w:t>
      </w:r>
      <w:r>
        <w:rPr>
          <w:sz w:val="17"/>
        </w:rPr>
        <w:t>oosporas</w:t>
      </w:r>
      <w:r>
        <w:rPr>
          <w:spacing w:val="30"/>
          <w:sz w:val="17"/>
        </w:rPr>
        <w:t> </w:t>
      </w:r>
      <w:r>
        <w:rPr>
          <w:sz w:val="17"/>
        </w:rPr>
        <w:t>obtenidas</w:t>
      </w:r>
      <w:r>
        <w:rPr>
          <w:spacing w:val="30"/>
          <w:sz w:val="17"/>
        </w:rPr>
        <w:t> </w:t>
      </w:r>
      <w:r>
        <w:rPr>
          <w:sz w:val="17"/>
        </w:rPr>
        <w:t>en</w:t>
      </w:r>
      <w:r>
        <w:rPr>
          <w:spacing w:val="30"/>
          <w:sz w:val="17"/>
        </w:rPr>
        <w:t> </w:t>
      </w:r>
      <w:r>
        <w:rPr>
          <w:sz w:val="17"/>
        </w:rPr>
        <w:t>los</w:t>
      </w:r>
      <w:r>
        <w:rPr>
          <w:spacing w:val="30"/>
          <w:sz w:val="17"/>
        </w:rPr>
        <w:t> </w:t>
      </w:r>
      <w:r>
        <w:rPr>
          <w:sz w:val="17"/>
        </w:rPr>
        <w:t>ensayos</w:t>
      </w:r>
      <w:r>
        <w:rPr>
          <w:spacing w:val="30"/>
          <w:sz w:val="17"/>
        </w:rPr>
        <w:t> </w:t>
      </w:r>
      <w:r>
        <w:rPr>
          <w:sz w:val="17"/>
        </w:rPr>
        <w:t>de</w:t>
      </w:r>
      <w:r>
        <w:rPr>
          <w:spacing w:val="30"/>
          <w:sz w:val="17"/>
        </w:rPr>
        <w:t> </w:t>
      </w:r>
      <w:r>
        <w:rPr>
          <w:sz w:val="17"/>
        </w:rPr>
        <w:t>cruzamiento</w:t>
      </w:r>
    </w:p>
    <w:p>
      <w:pPr>
        <w:pStyle w:val="BodyText"/>
        <w:spacing w:before="6"/>
        <w:rPr>
          <w:rFonts w:ascii="Times New Roman"/>
          <w:sz w:val="10"/>
        </w:rPr>
      </w:pPr>
    </w:p>
    <w:p>
      <w:pPr>
        <w:pStyle w:val="ListParagraph"/>
        <w:numPr>
          <w:ilvl w:val="0"/>
          <w:numId w:val="23"/>
        </w:numPr>
        <w:tabs>
          <w:tab w:pos="1453" w:val="left" w:leader="none"/>
          <w:tab w:pos="1454" w:val="left" w:leader="none"/>
        </w:tabs>
        <w:spacing w:line="240" w:lineRule="auto" w:before="79" w:after="0"/>
        <w:ind w:left="1453" w:right="0" w:hanging="550"/>
        <w:jc w:val="left"/>
        <w:rPr>
          <w:sz w:val="17"/>
        </w:rPr>
      </w:pPr>
      <w:r>
        <w:rPr>
          <w:sz w:val="17"/>
        </w:rPr>
        <w:t>con</w:t>
      </w:r>
      <w:r>
        <w:rPr>
          <w:spacing w:val="27"/>
          <w:sz w:val="17"/>
        </w:rPr>
        <w:t> </w:t>
      </w:r>
      <w:r>
        <w:rPr>
          <w:sz w:val="17"/>
        </w:rPr>
        <w:t>el</w:t>
      </w:r>
      <w:r>
        <w:rPr>
          <w:spacing w:val="27"/>
          <w:sz w:val="17"/>
        </w:rPr>
        <w:t> </w:t>
      </w:r>
      <w:r>
        <w:rPr>
          <w:sz w:val="17"/>
        </w:rPr>
        <w:t>aislamiento</w:t>
      </w:r>
      <w:r>
        <w:rPr>
          <w:spacing w:val="27"/>
          <w:sz w:val="17"/>
        </w:rPr>
        <w:t> </w:t>
      </w:r>
      <w:r>
        <w:rPr>
          <w:sz w:val="17"/>
        </w:rPr>
        <w:t>LPT5</w:t>
      </w:r>
      <w:r>
        <w:rPr>
          <w:spacing w:val="27"/>
          <w:sz w:val="17"/>
        </w:rPr>
        <w:t> </w:t>
      </w:r>
      <w:r>
        <w:rPr>
          <w:sz w:val="17"/>
        </w:rPr>
        <w:t>(A2).</w:t>
      </w:r>
      <w:r>
        <w:rPr>
          <w:spacing w:val="27"/>
          <w:sz w:val="17"/>
        </w:rPr>
        <w:t> </w:t>
      </w:r>
      <w:r>
        <w:rPr>
          <w:sz w:val="17"/>
        </w:rPr>
        <w:t>En</w:t>
      </w:r>
      <w:r>
        <w:rPr>
          <w:spacing w:val="27"/>
          <w:sz w:val="17"/>
        </w:rPr>
        <w:t> </w:t>
      </w:r>
      <w:r>
        <w:rPr>
          <w:sz w:val="17"/>
        </w:rPr>
        <w:t>los</w:t>
      </w:r>
      <w:r>
        <w:rPr>
          <w:spacing w:val="27"/>
          <w:sz w:val="17"/>
        </w:rPr>
        <w:t> </w:t>
      </w:r>
      <w:r>
        <w:rPr>
          <w:sz w:val="17"/>
        </w:rPr>
        <w:t>enfrentamientos</w:t>
      </w:r>
      <w:r>
        <w:rPr>
          <w:spacing w:val="27"/>
          <w:sz w:val="17"/>
        </w:rPr>
        <w:t> </w:t>
      </w:r>
      <w:r>
        <w:rPr>
          <w:sz w:val="17"/>
        </w:rPr>
        <w:t>entre</w:t>
      </w:r>
      <w:r>
        <w:rPr>
          <w:spacing w:val="27"/>
          <w:sz w:val="17"/>
        </w:rPr>
        <w:t> </w:t>
      </w:r>
      <w:r>
        <w:rPr>
          <w:sz w:val="17"/>
        </w:rPr>
        <w:t>los</w:t>
      </w:r>
      <w:r>
        <w:rPr>
          <w:spacing w:val="27"/>
          <w:sz w:val="17"/>
        </w:rPr>
        <w:t> </w:t>
      </w:r>
      <w:r>
        <w:rPr>
          <w:sz w:val="17"/>
        </w:rPr>
        <w:t>aislamientos</w:t>
      </w:r>
      <w:r>
        <w:rPr>
          <w:spacing w:val="27"/>
          <w:sz w:val="17"/>
        </w:rPr>
        <w:t> </w:t>
      </w:r>
      <w:r>
        <w:rPr>
          <w:sz w:val="17"/>
        </w:rPr>
        <w:t>heterotálicos</w:t>
      </w:r>
    </w:p>
    <w:p>
      <w:pPr>
        <w:pStyle w:val="BodyText"/>
        <w:spacing w:before="6"/>
        <w:rPr>
          <w:rFonts w:ascii="Times New Roman"/>
          <w:sz w:val="10"/>
        </w:rPr>
      </w:pPr>
    </w:p>
    <w:p>
      <w:pPr>
        <w:pStyle w:val="ListParagraph"/>
        <w:numPr>
          <w:ilvl w:val="0"/>
          <w:numId w:val="23"/>
        </w:numPr>
        <w:tabs>
          <w:tab w:pos="1453" w:val="left" w:leader="none"/>
          <w:tab w:pos="1454" w:val="left" w:leader="none"/>
        </w:tabs>
        <w:spacing w:line="240" w:lineRule="auto" w:before="79" w:after="0"/>
        <w:ind w:left="1453" w:right="0" w:hanging="550"/>
        <w:jc w:val="left"/>
        <w:rPr>
          <w:sz w:val="17"/>
        </w:rPr>
      </w:pPr>
      <w:r>
        <w:rPr>
          <w:sz w:val="17"/>
        </w:rPr>
        <w:t>del  tipo  A2  con  el  aislado  de  referencia  J104  (A1)  y </w:t>
      </w:r>
      <w:r>
        <w:rPr>
          <w:spacing w:val="4"/>
          <w:sz w:val="17"/>
        </w:rPr>
        <w:t> </w:t>
      </w:r>
      <w:r>
        <w:rPr>
          <w:sz w:val="17"/>
        </w:rPr>
        <w:t>con  el  aislamiento  BV2  (A1)  se</w:t>
      </w:r>
    </w:p>
    <w:p>
      <w:pPr>
        <w:pStyle w:val="BodyText"/>
        <w:spacing w:before="6"/>
        <w:rPr>
          <w:rFonts w:ascii="Times New Roman"/>
          <w:sz w:val="10"/>
        </w:rPr>
      </w:pPr>
    </w:p>
    <w:p>
      <w:pPr>
        <w:pStyle w:val="ListParagraph"/>
        <w:numPr>
          <w:ilvl w:val="0"/>
          <w:numId w:val="23"/>
        </w:numPr>
        <w:tabs>
          <w:tab w:pos="1453" w:val="left" w:leader="none"/>
          <w:tab w:pos="1454" w:val="left" w:leader="none"/>
        </w:tabs>
        <w:spacing w:line="240" w:lineRule="auto" w:before="79" w:after="0"/>
        <w:ind w:left="1453" w:right="0" w:hanging="550"/>
        <w:jc w:val="left"/>
        <w:rPr>
          <w:sz w:val="17"/>
        </w:rPr>
      </w:pPr>
      <w:r>
        <w:rPr>
          <w:sz w:val="17"/>
        </w:rPr>
        <w:t>obtuvo en promedio  28 oosporas por  cruzamiento (</w:t>
      </w:r>
      <w:r>
        <w:rPr>
          <w:b/>
          <w:sz w:val="17"/>
        </w:rPr>
        <w:t>Tabla  </w:t>
      </w:r>
      <w:r>
        <w:rPr>
          <w:b/>
          <w:spacing w:val="18"/>
          <w:sz w:val="17"/>
        </w:rPr>
        <w:t> </w:t>
      </w:r>
      <w:r>
        <w:rPr>
          <w:b/>
          <w:sz w:val="17"/>
        </w:rPr>
        <w:t>III</w:t>
      </w:r>
      <w:r>
        <w:rPr>
          <w:sz w:val="17"/>
        </w:rPr>
        <w:t>).</w:t>
      </w:r>
    </w:p>
    <w:p>
      <w:pPr>
        <w:pStyle w:val="BodyText"/>
        <w:spacing w:before="5"/>
        <w:rPr>
          <w:rFonts w:ascii="Times New Roman"/>
          <w:sz w:val="17"/>
        </w:rPr>
      </w:pPr>
    </w:p>
    <w:p>
      <w:pPr>
        <w:pStyle w:val="ListParagraph"/>
        <w:numPr>
          <w:ilvl w:val="0"/>
          <w:numId w:val="23"/>
        </w:numPr>
        <w:tabs>
          <w:tab w:pos="1196" w:val="left" w:leader="none"/>
        </w:tabs>
        <w:spacing w:line="240" w:lineRule="auto" w:before="0" w:after="0"/>
        <w:ind w:left="1195" w:right="0" w:hanging="292"/>
        <w:jc w:val="left"/>
        <w:rPr>
          <w:rFonts w:ascii="Cambria"/>
          <w:sz w:val="17"/>
        </w:rPr>
      </w:pPr>
    </w:p>
    <w:p>
      <w:pPr>
        <w:pStyle w:val="BodyText"/>
        <w:spacing w:before="4"/>
        <w:rPr>
          <w:rFonts w:ascii="Cambria"/>
          <w:sz w:val="10"/>
        </w:rPr>
      </w:pPr>
    </w:p>
    <w:p>
      <w:pPr>
        <w:pStyle w:val="ListParagraph"/>
        <w:numPr>
          <w:ilvl w:val="0"/>
          <w:numId w:val="23"/>
        </w:numPr>
        <w:tabs>
          <w:tab w:pos="1453" w:val="left" w:leader="none"/>
          <w:tab w:pos="1454" w:val="left" w:leader="none"/>
        </w:tabs>
        <w:spacing w:line="240" w:lineRule="auto" w:before="79" w:after="0"/>
        <w:ind w:left="1453" w:right="0" w:hanging="550"/>
        <w:jc w:val="left"/>
        <w:rPr>
          <w:b/>
          <w:sz w:val="17"/>
        </w:rPr>
      </w:pPr>
      <w:r>
        <w:rPr>
          <w:b/>
          <w:sz w:val="17"/>
        </w:rPr>
        <w:t>DISCUSIÓN</w:t>
      </w:r>
    </w:p>
    <w:p>
      <w:pPr>
        <w:pStyle w:val="BodyText"/>
        <w:spacing w:before="6"/>
        <w:rPr>
          <w:rFonts w:ascii="Times New Roman"/>
          <w:b/>
          <w:sz w:val="10"/>
        </w:rPr>
      </w:pPr>
    </w:p>
    <w:p>
      <w:pPr>
        <w:pStyle w:val="ListParagraph"/>
        <w:numPr>
          <w:ilvl w:val="0"/>
          <w:numId w:val="23"/>
        </w:numPr>
        <w:tabs>
          <w:tab w:pos="1453" w:val="left" w:leader="none"/>
          <w:tab w:pos="1454" w:val="left" w:leader="none"/>
        </w:tabs>
        <w:spacing w:line="240" w:lineRule="auto" w:before="79" w:after="0"/>
        <w:ind w:left="1453" w:right="0" w:hanging="550"/>
        <w:jc w:val="left"/>
        <w:rPr>
          <w:sz w:val="17"/>
        </w:rPr>
      </w:pPr>
      <w:r>
        <w:rPr>
          <w:sz w:val="17"/>
        </w:rPr>
        <w:t>La </w:t>
      </w:r>
      <w:r>
        <w:rPr>
          <w:spacing w:val="28"/>
          <w:sz w:val="17"/>
        </w:rPr>
        <w:t> </w:t>
      </w:r>
      <w:r>
        <w:rPr>
          <w:sz w:val="17"/>
        </w:rPr>
        <w:t>mayor </w:t>
      </w:r>
      <w:r>
        <w:rPr>
          <w:spacing w:val="28"/>
          <w:sz w:val="17"/>
        </w:rPr>
        <w:t> </w:t>
      </w:r>
      <w:r>
        <w:rPr>
          <w:sz w:val="17"/>
        </w:rPr>
        <w:t>parte </w:t>
      </w:r>
      <w:r>
        <w:rPr>
          <w:spacing w:val="28"/>
          <w:sz w:val="17"/>
        </w:rPr>
        <w:t> </w:t>
      </w:r>
      <w:r>
        <w:rPr>
          <w:sz w:val="17"/>
        </w:rPr>
        <w:t>de </w:t>
      </w:r>
      <w:r>
        <w:rPr>
          <w:spacing w:val="28"/>
          <w:sz w:val="17"/>
        </w:rPr>
        <w:t> </w:t>
      </w:r>
      <w:r>
        <w:rPr>
          <w:sz w:val="17"/>
        </w:rPr>
        <w:t>la </w:t>
      </w:r>
      <w:r>
        <w:rPr>
          <w:spacing w:val="28"/>
          <w:sz w:val="17"/>
        </w:rPr>
        <w:t> </w:t>
      </w:r>
      <w:r>
        <w:rPr>
          <w:sz w:val="17"/>
        </w:rPr>
        <w:t>progenie </w:t>
      </w:r>
      <w:r>
        <w:rPr>
          <w:spacing w:val="28"/>
          <w:sz w:val="17"/>
        </w:rPr>
        <w:t> </w:t>
      </w:r>
      <w:r>
        <w:rPr>
          <w:sz w:val="17"/>
        </w:rPr>
        <w:t>monozoospórica </w:t>
      </w:r>
      <w:r>
        <w:rPr>
          <w:spacing w:val="28"/>
          <w:sz w:val="17"/>
        </w:rPr>
        <w:t> </w:t>
      </w:r>
      <w:r>
        <w:rPr>
          <w:sz w:val="17"/>
        </w:rPr>
        <w:t>de </w:t>
      </w:r>
      <w:r>
        <w:rPr>
          <w:spacing w:val="28"/>
          <w:sz w:val="17"/>
        </w:rPr>
        <w:t> </w:t>
      </w:r>
      <w:r>
        <w:rPr>
          <w:sz w:val="17"/>
        </w:rPr>
        <w:t>los </w:t>
      </w:r>
      <w:r>
        <w:rPr>
          <w:spacing w:val="28"/>
          <w:sz w:val="17"/>
        </w:rPr>
        <w:t> </w:t>
      </w:r>
      <w:r>
        <w:rPr>
          <w:sz w:val="17"/>
        </w:rPr>
        <w:t>aislamientos </w:t>
      </w:r>
      <w:r>
        <w:rPr>
          <w:spacing w:val="28"/>
          <w:sz w:val="17"/>
        </w:rPr>
        <w:t> </w:t>
      </w:r>
      <w:r>
        <w:rPr>
          <w:sz w:val="17"/>
        </w:rPr>
        <w:t>homotálicos </w:t>
      </w:r>
      <w:r>
        <w:rPr>
          <w:spacing w:val="29"/>
          <w:sz w:val="17"/>
        </w:rPr>
        <w:t> </w:t>
      </w:r>
      <w:r>
        <w:rPr>
          <w:sz w:val="17"/>
        </w:rPr>
        <w:t>de</w:t>
      </w:r>
    </w:p>
    <w:p>
      <w:pPr>
        <w:pStyle w:val="BodyText"/>
        <w:spacing w:before="6"/>
        <w:rPr>
          <w:rFonts w:ascii="Times New Roman"/>
          <w:sz w:val="10"/>
        </w:rPr>
      </w:pPr>
    </w:p>
    <w:p>
      <w:pPr>
        <w:pStyle w:val="ListParagraph"/>
        <w:numPr>
          <w:ilvl w:val="0"/>
          <w:numId w:val="23"/>
        </w:numPr>
        <w:tabs>
          <w:tab w:pos="1453" w:val="left" w:leader="none"/>
          <w:tab w:pos="1454" w:val="left" w:leader="none"/>
        </w:tabs>
        <w:spacing w:line="240" w:lineRule="auto" w:before="79" w:after="0"/>
        <w:ind w:left="1453" w:right="0" w:hanging="550"/>
        <w:jc w:val="left"/>
        <w:rPr>
          <w:sz w:val="17"/>
        </w:rPr>
      </w:pPr>
      <w:r>
        <w:rPr>
          <w:i/>
          <w:sz w:val="17"/>
        </w:rPr>
        <w:t>Phytophthora   infestans   </w:t>
      </w:r>
      <w:r>
        <w:rPr>
          <w:sz w:val="17"/>
        </w:rPr>
        <w:t>fue   homotálica.   Cada   aislamiento   monozoospórico</w:t>
      </w:r>
      <w:r>
        <w:rPr>
          <w:spacing w:val="16"/>
          <w:sz w:val="17"/>
        </w:rPr>
        <w:t> </w:t>
      </w:r>
      <w:r>
        <w:rPr>
          <w:sz w:val="17"/>
        </w:rPr>
        <w:t>homotálico</w:t>
      </w:r>
    </w:p>
    <w:p>
      <w:pPr>
        <w:spacing w:after="0" w:line="240" w:lineRule="auto"/>
        <w:jc w:val="left"/>
        <w:rPr>
          <w:sz w:val="17"/>
        </w:rPr>
        <w:sectPr>
          <w:pgSz w:w="12240" w:h="15840"/>
          <w:pgMar w:header="719" w:footer="740" w:top="1260" w:bottom="920" w:left="1460" w:right="14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21"/>
        </w:rPr>
      </w:pPr>
    </w:p>
    <w:p>
      <w:pPr>
        <w:pStyle w:val="ListParagraph"/>
        <w:numPr>
          <w:ilvl w:val="0"/>
          <w:numId w:val="23"/>
        </w:numPr>
        <w:tabs>
          <w:tab w:pos="1457" w:val="left" w:leader="none"/>
          <w:tab w:pos="1458" w:val="left" w:leader="none"/>
        </w:tabs>
        <w:spacing w:line="240" w:lineRule="auto" w:before="80" w:after="0"/>
        <w:ind w:left="1457" w:right="0" w:hanging="551"/>
        <w:jc w:val="left"/>
        <w:rPr>
          <w:sz w:val="17"/>
        </w:rPr>
      </w:pPr>
      <w:r>
        <w:rPr>
          <w:w w:val="105"/>
          <w:sz w:val="17"/>
        </w:rPr>
        <w:t>mostró</w:t>
      </w:r>
      <w:r>
        <w:rPr>
          <w:spacing w:val="9"/>
          <w:w w:val="105"/>
          <w:sz w:val="17"/>
        </w:rPr>
        <w:t> </w:t>
      </w:r>
      <w:r>
        <w:rPr>
          <w:w w:val="105"/>
          <w:sz w:val="17"/>
        </w:rPr>
        <w:t>la</w:t>
      </w:r>
      <w:r>
        <w:rPr>
          <w:spacing w:val="9"/>
          <w:w w:val="105"/>
          <w:sz w:val="17"/>
        </w:rPr>
        <w:t> </w:t>
      </w:r>
      <w:r>
        <w:rPr>
          <w:w w:val="105"/>
          <w:sz w:val="17"/>
        </w:rPr>
        <w:t>capacidad</w:t>
      </w:r>
      <w:r>
        <w:rPr>
          <w:spacing w:val="9"/>
          <w:w w:val="105"/>
          <w:sz w:val="17"/>
        </w:rPr>
        <w:t> </w:t>
      </w:r>
      <w:r>
        <w:rPr>
          <w:w w:val="105"/>
          <w:sz w:val="17"/>
        </w:rPr>
        <w:t>de</w:t>
      </w:r>
      <w:r>
        <w:rPr>
          <w:spacing w:val="9"/>
          <w:w w:val="105"/>
          <w:sz w:val="17"/>
        </w:rPr>
        <w:t> </w:t>
      </w:r>
      <w:r>
        <w:rPr>
          <w:w w:val="105"/>
          <w:sz w:val="17"/>
        </w:rPr>
        <w:t>actuar</w:t>
      </w:r>
      <w:r>
        <w:rPr>
          <w:spacing w:val="9"/>
          <w:w w:val="105"/>
          <w:sz w:val="17"/>
        </w:rPr>
        <w:t> </w:t>
      </w:r>
      <w:r>
        <w:rPr>
          <w:w w:val="105"/>
          <w:sz w:val="17"/>
        </w:rPr>
        <w:t>como</w:t>
      </w:r>
      <w:r>
        <w:rPr>
          <w:spacing w:val="9"/>
          <w:w w:val="105"/>
          <w:sz w:val="17"/>
        </w:rPr>
        <w:t> </w:t>
      </w:r>
      <w:r>
        <w:rPr>
          <w:w w:val="105"/>
          <w:sz w:val="17"/>
        </w:rPr>
        <w:t>A1</w:t>
      </w:r>
      <w:r>
        <w:rPr>
          <w:spacing w:val="9"/>
          <w:w w:val="105"/>
          <w:sz w:val="17"/>
        </w:rPr>
        <w:t> </w:t>
      </w:r>
      <w:r>
        <w:rPr>
          <w:w w:val="105"/>
          <w:sz w:val="17"/>
        </w:rPr>
        <w:t>y</w:t>
      </w:r>
      <w:r>
        <w:rPr>
          <w:spacing w:val="9"/>
          <w:w w:val="105"/>
          <w:sz w:val="17"/>
        </w:rPr>
        <w:t> </w:t>
      </w:r>
      <w:r>
        <w:rPr>
          <w:w w:val="105"/>
          <w:sz w:val="17"/>
        </w:rPr>
        <w:t>A2</w:t>
      </w:r>
      <w:r>
        <w:rPr>
          <w:spacing w:val="9"/>
          <w:w w:val="105"/>
          <w:sz w:val="17"/>
        </w:rPr>
        <w:t> </w:t>
      </w:r>
      <w:r>
        <w:rPr>
          <w:w w:val="105"/>
          <w:sz w:val="17"/>
        </w:rPr>
        <w:t>durante</w:t>
      </w:r>
      <w:r>
        <w:rPr>
          <w:spacing w:val="9"/>
          <w:w w:val="105"/>
          <w:sz w:val="17"/>
        </w:rPr>
        <w:t> </w:t>
      </w:r>
      <w:r>
        <w:rPr>
          <w:w w:val="105"/>
          <w:sz w:val="17"/>
        </w:rPr>
        <w:t>el</w:t>
      </w:r>
      <w:r>
        <w:rPr>
          <w:spacing w:val="9"/>
          <w:w w:val="105"/>
          <w:sz w:val="17"/>
        </w:rPr>
        <w:t> </w:t>
      </w:r>
      <w:r>
        <w:rPr>
          <w:w w:val="105"/>
          <w:sz w:val="17"/>
        </w:rPr>
        <w:t>apareamiento</w:t>
      </w:r>
      <w:r>
        <w:rPr>
          <w:spacing w:val="9"/>
          <w:w w:val="105"/>
          <w:sz w:val="17"/>
        </w:rPr>
        <w:t> </w:t>
      </w:r>
      <w:r>
        <w:rPr>
          <w:w w:val="105"/>
          <w:sz w:val="17"/>
        </w:rPr>
        <w:t>heterotálico</w:t>
      </w:r>
      <w:r>
        <w:rPr>
          <w:spacing w:val="9"/>
          <w:w w:val="105"/>
          <w:sz w:val="17"/>
        </w:rPr>
        <w:t> </w:t>
      </w:r>
      <w:r>
        <w:rPr>
          <w:w w:val="105"/>
          <w:sz w:val="17"/>
        </w:rPr>
        <w:t>y</w:t>
      </w:r>
      <w:r>
        <w:rPr>
          <w:spacing w:val="9"/>
          <w:w w:val="105"/>
          <w:sz w:val="17"/>
        </w:rPr>
        <w:t> </w:t>
      </w:r>
      <w:r>
        <w:rPr>
          <w:w w:val="105"/>
          <w:sz w:val="17"/>
        </w:rPr>
        <w:t>fue</w:t>
      </w:r>
    </w:p>
    <w:p>
      <w:pPr>
        <w:pStyle w:val="BodyText"/>
        <w:spacing w:before="7"/>
        <w:rPr>
          <w:rFonts w:ascii="Times New Roman"/>
          <w:sz w:val="10"/>
        </w:rPr>
      </w:pPr>
    </w:p>
    <w:p>
      <w:pPr>
        <w:pStyle w:val="ListParagraph"/>
        <w:numPr>
          <w:ilvl w:val="0"/>
          <w:numId w:val="23"/>
        </w:numPr>
        <w:tabs>
          <w:tab w:pos="1457" w:val="left" w:leader="none"/>
          <w:tab w:pos="1458" w:val="left" w:leader="none"/>
        </w:tabs>
        <w:spacing w:line="240" w:lineRule="auto" w:before="80" w:after="0"/>
        <w:ind w:left="1457" w:right="0" w:hanging="551"/>
        <w:jc w:val="left"/>
        <w:rPr>
          <w:sz w:val="17"/>
        </w:rPr>
      </w:pPr>
      <w:r>
        <w:rPr>
          <w:w w:val="105"/>
          <w:sz w:val="17"/>
        </w:rPr>
        <w:t>capaz de producir estructuras sexuales (oogonios y anteridios anfiginos) y oosporas por</w:t>
      </w:r>
      <w:r>
        <w:rPr>
          <w:spacing w:val="10"/>
          <w:w w:val="105"/>
          <w:sz w:val="17"/>
        </w:rPr>
        <w:t> </w:t>
      </w:r>
      <w:r>
        <w:rPr>
          <w:w w:val="105"/>
          <w:sz w:val="17"/>
        </w:rPr>
        <w:t>sí</w:t>
      </w:r>
    </w:p>
    <w:p>
      <w:pPr>
        <w:pStyle w:val="BodyText"/>
        <w:spacing w:before="7"/>
        <w:rPr>
          <w:rFonts w:ascii="Times New Roman"/>
          <w:sz w:val="10"/>
        </w:rPr>
      </w:pPr>
    </w:p>
    <w:p>
      <w:pPr>
        <w:pStyle w:val="ListParagraph"/>
        <w:numPr>
          <w:ilvl w:val="0"/>
          <w:numId w:val="23"/>
        </w:numPr>
        <w:tabs>
          <w:tab w:pos="1457" w:val="left" w:leader="none"/>
          <w:tab w:pos="1458" w:val="left" w:leader="none"/>
        </w:tabs>
        <w:spacing w:line="240" w:lineRule="auto" w:before="80" w:after="0"/>
        <w:ind w:left="1457" w:right="0" w:hanging="551"/>
        <w:jc w:val="left"/>
        <w:rPr>
          <w:sz w:val="17"/>
        </w:rPr>
      </w:pPr>
      <w:r>
        <w:rPr>
          <w:w w:val="105"/>
          <w:sz w:val="17"/>
        </w:rPr>
        <w:t>solo,</w:t>
      </w:r>
      <w:r>
        <w:rPr>
          <w:spacing w:val="-15"/>
          <w:w w:val="105"/>
          <w:sz w:val="17"/>
        </w:rPr>
        <w:t> </w:t>
      </w:r>
      <w:r>
        <w:rPr>
          <w:w w:val="105"/>
          <w:sz w:val="17"/>
        </w:rPr>
        <w:t>un</w:t>
      </w:r>
      <w:r>
        <w:rPr>
          <w:spacing w:val="-15"/>
          <w:w w:val="105"/>
          <w:sz w:val="17"/>
        </w:rPr>
        <w:t> </w:t>
      </w:r>
      <w:r>
        <w:rPr>
          <w:w w:val="105"/>
          <w:sz w:val="17"/>
        </w:rPr>
        <w:t>fenómeno</w:t>
      </w:r>
      <w:r>
        <w:rPr>
          <w:spacing w:val="-15"/>
          <w:w w:val="105"/>
          <w:sz w:val="17"/>
        </w:rPr>
        <w:t> </w:t>
      </w:r>
      <w:r>
        <w:rPr>
          <w:w w:val="105"/>
          <w:sz w:val="17"/>
        </w:rPr>
        <w:t>no</w:t>
      </w:r>
      <w:r>
        <w:rPr>
          <w:spacing w:val="-15"/>
          <w:w w:val="105"/>
          <w:sz w:val="17"/>
        </w:rPr>
        <w:t> </w:t>
      </w:r>
      <w:r>
        <w:rPr>
          <w:w w:val="105"/>
          <w:sz w:val="17"/>
        </w:rPr>
        <w:t>observado</w:t>
      </w:r>
      <w:r>
        <w:rPr>
          <w:spacing w:val="-15"/>
          <w:w w:val="105"/>
          <w:sz w:val="17"/>
        </w:rPr>
        <w:t> </w:t>
      </w:r>
      <w:r>
        <w:rPr>
          <w:w w:val="105"/>
          <w:sz w:val="17"/>
        </w:rPr>
        <w:t>en</w:t>
      </w:r>
      <w:r>
        <w:rPr>
          <w:spacing w:val="-15"/>
          <w:w w:val="105"/>
          <w:sz w:val="17"/>
        </w:rPr>
        <w:t> </w:t>
      </w:r>
      <w:r>
        <w:rPr>
          <w:w w:val="105"/>
          <w:sz w:val="17"/>
        </w:rPr>
        <w:t>los</w:t>
      </w:r>
      <w:r>
        <w:rPr>
          <w:spacing w:val="-15"/>
          <w:w w:val="105"/>
          <w:sz w:val="17"/>
        </w:rPr>
        <w:t> </w:t>
      </w:r>
      <w:r>
        <w:rPr>
          <w:w w:val="105"/>
          <w:sz w:val="17"/>
        </w:rPr>
        <w:t>aislamientos</w:t>
      </w:r>
      <w:r>
        <w:rPr>
          <w:spacing w:val="-15"/>
          <w:w w:val="105"/>
          <w:sz w:val="17"/>
        </w:rPr>
        <w:t> </w:t>
      </w:r>
      <w:r>
        <w:rPr>
          <w:w w:val="105"/>
          <w:sz w:val="17"/>
        </w:rPr>
        <w:t>estrictamente</w:t>
      </w:r>
      <w:r>
        <w:rPr>
          <w:spacing w:val="-15"/>
          <w:w w:val="105"/>
          <w:sz w:val="17"/>
        </w:rPr>
        <w:t> </w:t>
      </w:r>
      <w:r>
        <w:rPr>
          <w:w w:val="105"/>
          <w:sz w:val="17"/>
        </w:rPr>
        <w:t>heterotálicos.</w:t>
      </w:r>
    </w:p>
    <w:p>
      <w:pPr>
        <w:pStyle w:val="BodyText"/>
        <w:spacing w:before="6"/>
        <w:rPr>
          <w:rFonts w:ascii="Times New Roman"/>
          <w:sz w:val="17"/>
        </w:rPr>
      </w:pPr>
    </w:p>
    <w:p>
      <w:pPr>
        <w:pStyle w:val="ListParagraph"/>
        <w:numPr>
          <w:ilvl w:val="0"/>
          <w:numId w:val="23"/>
        </w:numPr>
        <w:tabs>
          <w:tab w:pos="1200" w:val="left" w:leader="none"/>
        </w:tabs>
        <w:spacing w:line="240" w:lineRule="auto" w:before="0" w:after="0"/>
        <w:ind w:left="1199" w:right="0" w:hanging="293"/>
        <w:jc w:val="left"/>
        <w:rPr>
          <w:rFonts w:ascii="Cambria"/>
          <w:sz w:val="17"/>
        </w:rPr>
      </w:pPr>
    </w:p>
    <w:p>
      <w:pPr>
        <w:pStyle w:val="BodyText"/>
        <w:spacing w:before="4"/>
        <w:rPr>
          <w:rFonts w:ascii="Cambria"/>
          <w:sz w:val="10"/>
        </w:rPr>
      </w:pPr>
    </w:p>
    <w:p>
      <w:pPr>
        <w:pStyle w:val="ListParagraph"/>
        <w:numPr>
          <w:ilvl w:val="0"/>
          <w:numId w:val="23"/>
        </w:numPr>
        <w:tabs>
          <w:tab w:pos="1457" w:val="left" w:leader="none"/>
          <w:tab w:pos="1458" w:val="left" w:leader="none"/>
        </w:tabs>
        <w:spacing w:line="240" w:lineRule="auto" w:before="80" w:after="0"/>
        <w:ind w:left="1457" w:right="0" w:hanging="551"/>
        <w:jc w:val="left"/>
        <w:rPr>
          <w:sz w:val="17"/>
        </w:rPr>
      </w:pPr>
      <w:r>
        <w:rPr>
          <w:w w:val="105"/>
          <w:sz w:val="17"/>
        </w:rPr>
        <w:t>La</w:t>
      </w:r>
      <w:r>
        <w:rPr>
          <w:spacing w:val="22"/>
          <w:w w:val="105"/>
          <w:sz w:val="17"/>
        </w:rPr>
        <w:t> </w:t>
      </w:r>
      <w:r>
        <w:rPr>
          <w:w w:val="105"/>
          <w:sz w:val="17"/>
        </w:rPr>
        <w:t>capacidad</w:t>
      </w:r>
      <w:r>
        <w:rPr>
          <w:spacing w:val="22"/>
          <w:w w:val="105"/>
          <w:sz w:val="17"/>
        </w:rPr>
        <w:t> </w:t>
      </w:r>
      <w:r>
        <w:rPr>
          <w:w w:val="105"/>
          <w:sz w:val="17"/>
        </w:rPr>
        <w:t>que</w:t>
      </w:r>
      <w:r>
        <w:rPr>
          <w:spacing w:val="22"/>
          <w:w w:val="105"/>
          <w:sz w:val="17"/>
        </w:rPr>
        <w:t> </w:t>
      </w:r>
      <w:r>
        <w:rPr>
          <w:w w:val="105"/>
          <w:sz w:val="17"/>
        </w:rPr>
        <w:t>presentan</w:t>
      </w:r>
      <w:r>
        <w:rPr>
          <w:spacing w:val="22"/>
          <w:w w:val="105"/>
          <w:sz w:val="17"/>
        </w:rPr>
        <w:t> </w:t>
      </w:r>
      <w:r>
        <w:rPr>
          <w:w w:val="105"/>
          <w:sz w:val="17"/>
        </w:rPr>
        <w:t>los</w:t>
      </w:r>
      <w:r>
        <w:rPr>
          <w:spacing w:val="22"/>
          <w:w w:val="105"/>
          <w:sz w:val="17"/>
        </w:rPr>
        <w:t> </w:t>
      </w:r>
      <w:r>
        <w:rPr>
          <w:w w:val="105"/>
          <w:sz w:val="17"/>
        </w:rPr>
        <w:t>aislamientos</w:t>
      </w:r>
      <w:r>
        <w:rPr>
          <w:spacing w:val="22"/>
          <w:w w:val="105"/>
          <w:sz w:val="17"/>
        </w:rPr>
        <w:t> </w:t>
      </w:r>
      <w:r>
        <w:rPr>
          <w:w w:val="105"/>
          <w:sz w:val="17"/>
        </w:rPr>
        <w:t>homotálicos</w:t>
      </w:r>
      <w:r>
        <w:rPr>
          <w:spacing w:val="22"/>
          <w:w w:val="105"/>
          <w:sz w:val="17"/>
        </w:rPr>
        <w:t> </w:t>
      </w:r>
      <w:r>
        <w:rPr>
          <w:w w:val="105"/>
          <w:sz w:val="17"/>
        </w:rPr>
        <w:t>de</w:t>
      </w:r>
      <w:r>
        <w:rPr>
          <w:spacing w:val="22"/>
          <w:w w:val="105"/>
          <w:sz w:val="17"/>
        </w:rPr>
        <w:t> </w:t>
      </w:r>
      <w:r>
        <w:rPr>
          <w:i/>
          <w:w w:val="105"/>
          <w:sz w:val="17"/>
        </w:rPr>
        <w:t>P.</w:t>
      </w:r>
      <w:r>
        <w:rPr>
          <w:i/>
          <w:spacing w:val="13"/>
          <w:w w:val="105"/>
          <w:sz w:val="17"/>
        </w:rPr>
        <w:t> </w:t>
      </w:r>
      <w:r>
        <w:rPr>
          <w:i/>
          <w:w w:val="105"/>
          <w:sz w:val="17"/>
        </w:rPr>
        <w:t>infestans</w:t>
      </w:r>
      <w:r>
        <w:rPr>
          <w:i/>
          <w:spacing w:val="22"/>
          <w:w w:val="105"/>
          <w:sz w:val="17"/>
        </w:rPr>
        <w:t> </w:t>
      </w:r>
      <w:r>
        <w:rPr>
          <w:w w:val="105"/>
          <w:sz w:val="17"/>
        </w:rPr>
        <w:t>para</w:t>
      </w:r>
      <w:r>
        <w:rPr>
          <w:spacing w:val="22"/>
          <w:w w:val="105"/>
          <w:sz w:val="17"/>
        </w:rPr>
        <w:t> </w:t>
      </w:r>
      <w:r>
        <w:rPr>
          <w:w w:val="105"/>
          <w:sz w:val="17"/>
        </w:rPr>
        <w:t>producir</w:t>
      </w:r>
    </w:p>
    <w:p>
      <w:pPr>
        <w:pStyle w:val="BodyText"/>
        <w:spacing w:before="7"/>
        <w:rPr>
          <w:rFonts w:ascii="Times New Roman"/>
          <w:sz w:val="10"/>
        </w:rPr>
      </w:pPr>
    </w:p>
    <w:p>
      <w:pPr>
        <w:pStyle w:val="ListParagraph"/>
        <w:numPr>
          <w:ilvl w:val="0"/>
          <w:numId w:val="23"/>
        </w:numPr>
        <w:tabs>
          <w:tab w:pos="1457" w:val="left" w:leader="none"/>
          <w:tab w:pos="1458" w:val="left" w:leader="none"/>
        </w:tabs>
        <w:spacing w:line="240" w:lineRule="auto" w:before="80" w:after="0"/>
        <w:ind w:left="1457" w:right="0" w:hanging="551"/>
        <w:jc w:val="left"/>
        <w:rPr>
          <w:sz w:val="17"/>
        </w:rPr>
      </w:pPr>
      <w:r>
        <w:rPr>
          <w:w w:val="105"/>
          <w:sz w:val="17"/>
        </w:rPr>
        <w:t>progenie</w:t>
      </w:r>
      <w:r>
        <w:rPr>
          <w:spacing w:val="28"/>
          <w:w w:val="105"/>
          <w:sz w:val="17"/>
        </w:rPr>
        <w:t> </w:t>
      </w:r>
      <w:r>
        <w:rPr>
          <w:w w:val="105"/>
          <w:sz w:val="17"/>
        </w:rPr>
        <w:t>homotálica</w:t>
      </w:r>
      <w:r>
        <w:rPr>
          <w:spacing w:val="28"/>
          <w:w w:val="105"/>
          <w:sz w:val="17"/>
        </w:rPr>
        <w:t> </w:t>
      </w:r>
      <w:r>
        <w:rPr>
          <w:w w:val="105"/>
          <w:sz w:val="17"/>
        </w:rPr>
        <w:t>a</w:t>
      </w:r>
      <w:r>
        <w:rPr>
          <w:spacing w:val="28"/>
          <w:w w:val="105"/>
          <w:sz w:val="17"/>
        </w:rPr>
        <w:t> </w:t>
      </w:r>
      <w:r>
        <w:rPr>
          <w:w w:val="105"/>
          <w:sz w:val="17"/>
        </w:rPr>
        <w:t>través</w:t>
      </w:r>
      <w:r>
        <w:rPr>
          <w:spacing w:val="28"/>
          <w:w w:val="105"/>
          <w:sz w:val="17"/>
        </w:rPr>
        <w:t> </w:t>
      </w:r>
      <w:r>
        <w:rPr>
          <w:w w:val="105"/>
          <w:sz w:val="17"/>
        </w:rPr>
        <w:t>de</w:t>
      </w:r>
      <w:r>
        <w:rPr>
          <w:spacing w:val="28"/>
          <w:w w:val="105"/>
          <w:sz w:val="17"/>
        </w:rPr>
        <w:t> </w:t>
      </w:r>
      <w:r>
        <w:rPr>
          <w:w w:val="105"/>
          <w:sz w:val="17"/>
        </w:rPr>
        <w:t>zoosporas</w:t>
      </w:r>
      <w:r>
        <w:rPr>
          <w:spacing w:val="28"/>
          <w:w w:val="105"/>
          <w:sz w:val="17"/>
        </w:rPr>
        <w:t> </w:t>
      </w:r>
      <w:r>
        <w:rPr>
          <w:w w:val="105"/>
          <w:sz w:val="17"/>
        </w:rPr>
        <w:t>lo</w:t>
      </w:r>
      <w:r>
        <w:rPr>
          <w:spacing w:val="28"/>
          <w:w w:val="105"/>
          <w:sz w:val="17"/>
        </w:rPr>
        <w:t> </w:t>
      </w:r>
      <w:r>
        <w:rPr>
          <w:w w:val="105"/>
          <w:sz w:val="17"/>
        </w:rPr>
        <w:t>hace</w:t>
      </w:r>
      <w:r>
        <w:rPr>
          <w:spacing w:val="28"/>
          <w:w w:val="105"/>
          <w:sz w:val="17"/>
        </w:rPr>
        <w:t> </w:t>
      </w:r>
      <w:r>
        <w:rPr>
          <w:w w:val="105"/>
          <w:sz w:val="17"/>
        </w:rPr>
        <w:t>más</w:t>
      </w:r>
      <w:r>
        <w:rPr>
          <w:spacing w:val="28"/>
          <w:w w:val="105"/>
          <w:sz w:val="17"/>
        </w:rPr>
        <w:t> </w:t>
      </w:r>
      <w:r>
        <w:rPr>
          <w:w w:val="105"/>
          <w:sz w:val="17"/>
        </w:rPr>
        <w:t>patogénico</w:t>
      </w:r>
      <w:r>
        <w:rPr>
          <w:spacing w:val="28"/>
          <w:w w:val="105"/>
          <w:sz w:val="17"/>
        </w:rPr>
        <w:t> </w:t>
      </w:r>
      <w:r>
        <w:rPr>
          <w:w w:val="105"/>
          <w:sz w:val="17"/>
        </w:rPr>
        <w:t>al</w:t>
      </w:r>
      <w:r>
        <w:rPr>
          <w:spacing w:val="28"/>
          <w:w w:val="105"/>
          <w:sz w:val="17"/>
        </w:rPr>
        <w:t> </w:t>
      </w:r>
      <w:r>
        <w:rPr>
          <w:w w:val="105"/>
          <w:sz w:val="17"/>
        </w:rPr>
        <w:t>poder</w:t>
      </w:r>
      <w:r>
        <w:rPr>
          <w:spacing w:val="28"/>
          <w:w w:val="105"/>
          <w:sz w:val="17"/>
        </w:rPr>
        <w:t> </w:t>
      </w:r>
      <w:r>
        <w:rPr>
          <w:w w:val="105"/>
          <w:sz w:val="17"/>
        </w:rPr>
        <w:t>aumentar</w:t>
      </w:r>
    </w:p>
    <w:p>
      <w:pPr>
        <w:pStyle w:val="BodyText"/>
        <w:spacing w:before="7"/>
        <w:rPr>
          <w:rFonts w:ascii="Times New Roman"/>
          <w:sz w:val="10"/>
        </w:rPr>
      </w:pPr>
    </w:p>
    <w:p>
      <w:pPr>
        <w:pStyle w:val="ListParagraph"/>
        <w:numPr>
          <w:ilvl w:val="0"/>
          <w:numId w:val="23"/>
        </w:numPr>
        <w:tabs>
          <w:tab w:pos="1457" w:val="left" w:leader="none"/>
          <w:tab w:pos="1458" w:val="left" w:leader="none"/>
        </w:tabs>
        <w:spacing w:line="240" w:lineRule="auto" w:before="80" w:after="0"/>
        <w:ind w:left="1457" w:right="0" w:hanging="551"/>
        <w:jc w:val="left"/>
        <w:rPr>
          <w:sz w:val="17"/>
        </w:rPr>
      </w:pPr>
      <w:r>
        <w:rPr>
          <w:w w:val="105"/>
          <w:sz w:val="17"/>
        </w:rPr>
        <w:t>rápidamente</w:t>
      </w:r>
      <w:r>
        <w:rPr>
          <w:spacing w:val="23"/>
          <w:w w:val="105"/>
          <w:sz w:val="17"/>
        </w:rPr>
        <w:t> </w:t>
      </w:r>
      <w:r>
        <w:rPr>
          <w:w w:val="105"/>
          <w:sz w:val="17"/>
        </w:rPr>
        <w:t>el</w:t>
      </w:r>
      <w:r>
        <w:rPr>
          <w:spacing w:val="23"/>
          <w:w w:val="105"/>
          <w:sz w:val="17"/>
        </w:rPr>
        <w:t> </w:t>
      </w:r>
      <w:r>
        <w:rPr>
          <w:w w:val="105"/>
          <w:sz w:val="17"/>
        </w:rPr>
        <w:t>tamaño</w:t>
      </w:r>
      <w:r>
        <w:rPr>
          <w:spacing w:val="23"/>
          <w:w w:val="105"/>
          <w:sz w:val="17"/>
        </w:rPr>
        <w:t> </w:t>
      </w:r>
      <w:r>
        <w:rPr>
          <w:w w:val="105"/>
          <w:sz w:val="17"/>
        </w:rPr>
        <w:t>de</w:t>
      </w:r>
      <w:r>
        <w:rPr>
          <w:spacing w:val="23"/>
          <w:w w:val="105"/>
          <w:sz w:val="17"/>
        </w:rPr>
        <w:t> </w:t>
      </w:r>
      <w:r>
        <w:rPr>
          <w:w w:val="105"/>
          <w:sz w:val="17"/>
        </w:rPr>
        <w:t>la</w:t>
      </w:r>
      <w:r>
        <w:rPr>
          <w:spacing w:val="23"/>
          <w:w w:val="105"/>
          <w:sz w:val="17"/>
        </w:rPr>
        <w:t> </w:t>
      </w:r>
      <w:r>
        <w:rPr>
          <w:w w:val="105"/>
          <w:sz w:val="17"/>
        </w:rPr>
        <w:t>población</w:t>
      </w:r>
      <w:r>
        <w:rPr>
          <w:spacing w:val="23"/>
          <w:w w:val="105"/>
          <w:sz w:val="17"/>
        </w:rPr>
        <w:t> </w:t>
      </w:r>
      <w:r>
        <w:rPr>
          <w:w w:val="105"/>
          <w:sz w:val="17"/>
        </w:rPr>
        <w:t>homotálica</w:t>
      </w:r>
      <w:r>
        <w:rPr>
          <w:spacing w:val="23"/>
          <w:w w:val="105"/>
          <w:sz w:val="17"/>
        </w:rPr>
        <w:t> </w:t>
      </w:r>
      <w:r>
        <w:rPr>
          <w:w w:val="105"/>
          <w:sz w:val="17"/>
        </w:rPr>
        <w:t>en</w:t>
      </w:r>
      <w:r>
        <w:rPr>
          <w:spacing w:val="23"/>
          <w:w w:val="105"/>
          <w:sz w:val="17"/>
        </w:rPr>
        <w:t> </w:t>
      </w:r>
      <w:r>
        <w:rPr>
          <w:w w:val="105"/>
          <w:sz w:val="17"/>
        </w:rPr>
        <w:t>el</w:t>
      </w:r>
      <w:r>
        <w:rPr>
          <w:spacing w:val="23"/>
          <w:w w:val="105"/>
          <w:sz w:val="17"/>
        </w:rPr>
        <w:t> </w:t>
      </w:r>
      <w:r>
        <w:rPr>
          <w:w w:val="105"/>
          <w:sz w:val="17"/>
        </w:rPr>
        <w:t>cultivo,</w:t>
      </w:r>
      <w:r>
        <w:rPr>
          <w:spacing w:val="23"/>
          <w:w w:val="105"/>
          <w:sz w:val="17"/>
        </w:rPr>
        <w:t> </w:t>
      </w:r>
      <w:r>
        <w:rPr>
          <w:w w:val="105"/>
          <w:sz w:val="17"/>
        </w:rPr>
        <w:t>y</w:t>
      </w:r>
      <w:r>
        <w:rPr>
          <w:spacing w:val="23"/>
          <w:w w:val="105"/>
          <w:sz w:val="17"/>
        </w:rPr>
        <w:t> </w:t>
      </w:r>
      <w:r>
        <w:rPr>
          <w:w w:val="105"/>
          <w:sz w:val="17"/>
        </w:rPr>
        <w:t>poder</w:t>
      </w:r>
      <w:r>
        <w:rPr>
          <w:spacing w:val="23"/>
          <w:w w:val="105"/>
          <w:sz w:val="17"/>
        </w:rPr>
        <w:t> </w:t>
      </w:r>
      <w:r>
        <w:rPr>
          <w:w w:val="105"/>
          <w:sz w:val="17"/>
        </w:rPr>
        <w:t>propagarse</w:t>
      </w:r>
      <w:r>
        <w:rPr>
          <w:spacing w:val="23"/>
          <w:w w:val="105"/>
          <w:sz w:val="17"/>
        </w:rPr>
        <w:t> </w:t>
      </w:r>
      <w:r>
        <w:rPr>
          <w:w w:val="105"/>
          <w:sz w:val="17"/>
        </w:rPr>
        <w:t>a</w:t>
      </w:r>
    </w:p>
    <w:p>
      <w:pPr>
        <w:pStyle w:val="BodyText"/>
        <w:spacing w:before="7"/>
        <w:rPr>
          <w:rFonts w:ascii="Times New Roman"/>
          <w:sz w:val="10"/>
        </w:rPr>
      </w:pPr>
    </w:p>
    <w:p>
      <w:pPr>
        <w:pStyle w:val="ListParagraph"/>
        <w:numPr>
          <w:ilvl w:val="0"/>
          <w:numId w:val="23"/>
        </w:numPr>
        <w:tabs>
          <w:tab w:pos="1457" w:val="left" w:leader="none"/>
          <w:tab w:pos="1458" w:val="left" w:leader="none"/>
        </w:tabs>
        <w:spacing w:line="240" w:lineRule="auto" w:before="80" w:after="0"/>
        <w:ind w:left="1457" w:right="0" w:hanging="551"/>
        <w:jc w:val="left"/>
        <w:rPr>
          <w:sz w:val="17"/>
        </w:rPr>
      </w:pPr>
      <w:r>
        <w:rPr>
          <w:w w:val="105"/>
          <w:sz w:val="17"/>
        </w:rPr>
        <w:t>parcelas</w:t>
      </w:r>
      <w:r>
        <w:rPr>
          <w:spacing w:val="-11"/>
          <w:w w:val="105"/>
          <w:sz w:val="17"/>
        </w:rPr>
        <w:t> </w:t>
      </w:r>
      <w:r>
        <w:rPr>
          <w:w w:val="105"/>
          <w:sz w:val="17"/>
        </w:rPr>
        <w:t>vecinas,</w:t>
      </w:r>
      <w:r>
        <w:rPr>
          <w:spacing w:val="-11"/>
          <w:w w:val="105"/>
          <w:sz w:val="17"/>
        </w:rPr>
        <w:t> </w:t>
      </w:r>
      <w:r>
        <w:rPr>
          <w:w w:val="105"/>
          <w:sz w:val="17"/>
        </w:rPr>
        <w:t>y</w:t>
      </w:r>
      <w:r>
        <w:rPr>
          <w:spacing w:val="-11"/>
          <w:w w:val="105"/>
          <w:sz w:val="17"/>
        </w:rPr>
        <w:t> </w:t>
      </w:r>
      <w:r>
        <w:rPr>
          <w:w w:val="105"/>
          <w:sz w:val="17"/>
        </w:rPr>
        <w:t>así</w:t>
      </w:r>
      <w:r>
        <w:rPr>
          <w:spacing w:val="-11"/>
          <w:w w:val="105"/>
          <w:sz w:val="17"/>
        </w:rPr>
        <w:t> </w:t>
      </w:r>
      <w:r>
        <w:rPr>
          <w:w w:val="105"/>
          <w:sz w:val="17"/>
        </w:rPr>
        <w:t>aumentar</w:t>
      </w:r>
      <w:r>
        <w:rPr>
          <w:spacing w:val="-11"/>
          <w:w w:val="105"/>
          <w:sz w:val="17"/>
        </w:rPr>
        <w:t> </w:t>
      </w:r>
      <w:r>
        <w:rPr>
          <w:w w:val="105"/>
          <w:sz w:val="17"/>
        </w:rPr>
        <w:t>la</w:t>
      </w:r>
      <w:r>
        <w:rPr>
          <w:spacing w:val="-11"/>
          <w:w w:val="105"/>
          <w:sz w:val="17"/>
        </w:rPr>
        <w:t> </w:t>
      </w:r>
      <w:r>
        <w:rPr>
          <w:w w:val="105"/>
          <w:sz w:val="17"/>
        </w:rPr>
        <w:t>fuente</w:t>
      </w:r>
      <w:r>
        <w:rPr>
          <w:spacing w:val="-11"/>
          <w:w w:val="105"/>
          <w:sz w:val="17"/>
        </w:rPr>
        <w:t> </w:t>
      </w:r>
      <w:r>
        <w:rPr>
          <w:w w:val="105"/>
          <w:sz w:val="17"/>
        </w:rPr>
        <w:t>de</w:t>
      </w:r>
      <w:r>
        <w:rPr>
          <w:spacing w:val="-11"/>
          <w:w w:val="105"/>
          <w:sz w:val="17"/>
        </w:rPr>
        <w:t> </w:t>
      </w:r>
      <w:r>
        <w:rPr>
          <w:w w:val="105"/>
          <w:sz w:val="17"/>
        </w:rPr>
        <w:t>inóculo</w:t>
      </w:r>
      <w:r>
        <w:rPr>
          <w:spacing w:val="-11"/>
          <w:w w:val="105"/>
          <w:sz w:val="17"/>
        </w:rPr>
        <w:t> </w:t>
      </w:r>
      <w:r>
        <w:rPr>
          <w:w w:val="105"/>
          <w:sz w:val="17"/>
        </w:rPr>
        <w:t>de</w:t>
      </w:r>
      <w:r>
        <w:rPr>
          <w:spacing w:val="-11"/>
          <w:w w:val="105"/>
          <w:sz w:val="17"/>
        </w:rPr>
        <w:t> </w:t>
      </w:r>
      <w:r>
        <w:rPr>
          <w:w w:val="105"/>
          <w:sz w:val="17"/>
        </w:rPr>
        <w:t>la</w:t>
      </w:r>
      <w:r>
        <w:rPr>
          <w:spacing w:val="-11"/>
          <w:w w:val="105"/>
          <w:sz w:val="17"/>
        </w:rPr>
        <w:t> </w:t>
      </w:r>
      <w:r>
        <w:rPr>
          <w:w w:val="105"/>
          <w:sz w:val="17"/>
        </w:rPr>
        <w:t>enfermedad</w:t>
      </w:r>
      <w:r>
        <w:rPr>
          <w:spacing w:val="-11"/>
          <w:w w:val="105"/>
          <w:sz w:val="17"/>
        </w:rPr>
        <w:t> </w:t>
      </w:r>
      <w:r>
        <w:rPr>
          <w:w w:val="105"/>
          <w:sz w:val="17"/>
        </w:rPr>
        <w:t>del</w:t>
      </w:r>
      <w:r>
        <w:rPr>
          <w:spacing w:val="-11"/>
          <w:w w:val="105"/>
          <w:sz w:val="17"/>
        </w:rPr>
        <w:t> </w:t>
      </w:r>
      <w:r>
        <w:rPr>
          <w:w w:val="105"/>
          <w:sz w:val="17"/>
        </w:rPr>
        <w:t>Tizón</w:t>
      </w:r>
      <w:r>
        <w:rPr>
          <w:spacing w:val="-11"/>
          <w:w w:val="105"/>
          <w:sz w:val="17"/>
        </w:rPr>
        <w:t> </w:t>
      </w:r>
      <w:r>
        <w:rPr>
          <w:w w:val="105"/>
          <w:sz w:val="17"/>
        </w:rPr>
        <w:t>Tardío.</w:t>
      </w:r>
    </w:p>
    <w:p>
      <w:pPr>
        <w:pStyle w:val="BodyText"/>
        <w:spacing w:before="6"/>
        <w:rPr>
          <w:rFonts w:ascii="Times New Roman"/>
          <w:sz w:val="17"/>
        </w:rPr>
      </w:pPr>
    </w:p>
    <w:p>
      <w:pPr>
        <w:pStyle w:val="ListParagraph"/>
        <w:numPr>
          <w:ilvl w:val="0"/>
          <w:numId w:val="23"/>
        </w:numPr>
        <w:tabs>
          <w:tab w:pos="1200" w:val="left" w:leader="none"/>
        </w:tabs>
        <w:spacing w:line="240" w:lineRule="auto" w:before="0" w:after="0"/>
        <w:ind w:left="1199" w:right="0" w:hanging="293"/>
        <w:jc w:val="left"/>
        <w:rPr>
          <w:rFonts w:ascii="Cambria"/>
          <w:sz w:val="17"/>
        </w:rPr>
      </w:pPr>
    </w:p>
    <w:p>
      <w:pPr>
        <w:pStyle w:val="BodyText"/>
        <w:spacing w:before="4"/>
        <w:rPr>
          <w:rFonts w:ascii="Cambria"/>
          <w:sz w:val="10"/>
        </w:rPr>
      </w:pPr>
    </w:p>
    <w:p>
      <w:pPr>
        <w:pStyle w:val="ListParagraph"/>
        <w:numPr>
          <w:ilvl w:val="0"/>
          <w:numId w:val="23"/>
        </w:numPr>
        <w:tabs>
          <w:tab w:pos="1457" w:val="left" w:leader="none"/>
          <w:tab w:pos="1458" w:val="left" w:leader="none"/>
        </w:tabs>
        <w:spacing w:line="240" w:lineRule="auto" w:before="80" w:after="0"/>
        <w:ind w:left="1457" w:right="0" w:hanging="551"/>
        <w:jc w:val="left"/>
        <w:rPr>
          <w:sz w:val="17"/>
        </w:rPr>
      </w:pPr>
      <w:r>
        <w:rPr>
          <w:w w:val="105"/>
          <w:sz w:val="17"/>
        </w:rPr>
        <w:t>En  el  presente  estudio  se  encontró  que  el  número  de  oosporas  producidas  en    </w:t>
      </w:r>
      <w:r>
        <w:rPr>
          <w:spacing w:val="10"/>
          <w:w w:val="105"/>
          <w:sz w:val="17"/>
        </w:rPr>
        <w:t> </w:t>
      </w:r>
      <w:r>
        <w:rPr>
          <w:w w:val="105"/>
          <w:sz w:val="17"/>
        </w:rPr>
        <w:t>los</w:t>
      </w:r>
    </w:p>
    <w:p>
      <w:pPr>
        <w:pStyle w:val="BodyText"/>
        <w:spacing w:before="7"/>
        <w:rPr>
          <w:rFonts w:ascii="Times New Roman"/>
          <w:sz w:val="10"/>
        </w:rPr>
      </w:pPr>
    </w:p>
    <w:p>
      <w:pPr>
        <w:pStyle w:val="ListParagraph"/>
        <w:numPr>
          <w:ilvl w:val="0"/>
          <w:numId w:val="23"/>
        </w:numPr>
        <w:tabs>
          <w:tab w:pos="1457" w:val="left" w:leader="none"/>
          <w:tab w:pos="1458" w:val="left" w:leader="none"/>
        </w:tabs>
        <w:spacing w:line="240" w:lineRule="auto" w:before="80" w:after="0"/>
        <w:ind w:left="1457" w:right="0" w:hanging="551"/>
        <w:jc w:val="left"/>
        <w:rPr>
          <w:sz w:val="17"/>
        </w:rPr>
      </w:pPr>
      <w:r>
        <w:rPr>
          <w:w w:val="105"/>
          <w:sz w:val="17"/>
        </w:rPr>
        <w:t>cruzamientos entre los aislamientos homotálicos y los heterotálicos del tipo A1 fue</w:t>
      </w:r>
      <w:r>
        <w:rPr>
          <w:spacing w:val="-7"/>
          <w:w w:val="105"/>
          <w:sz w:val="17"/>
        </w:rPr>
        <w:t> </w:t>
      </w:r>
      <w:r>
        <w:rPr>
          <w:w w:val="105"/>
          <w:sz w:val="17"/>
        </w:rPr>
        <w:t>mayor</w:t>
      </w:r>
    </w:p>
    <w:p>
      <w:pPr>
        <w:pStyle w:val="BodyText"/>
        <w:spacing w:before="7"/>
        <w:rPr>
          <w:rFonts w:ascii="Times New Roman"/>
          <w:sz w:val="10"/>
        </w:rPr>
      </w:pPr>
    </w:p>
    <w:p>
      <w:pPr>
        <w:pStyle w:val="ListParagraph"/>
        <w:numPr>
          <w:ilvl w:val="0"/>
          <w:numId w:val="23"/>
        </w:numPr>
        <w:tabs>
          <w:tab w:pos="1457" w:val="left" w:leader="none"/>
          <w:tab w:pos="1458" w:val="left" w:leader="none"/>
        </w:tabs>
        <w:spacing w:line="240" w:lineRule="auto" w:before="80" w:after="0"/>
        <w:ind w:left="1457" w:right="0" w:hanging="551"/>
        <w:jc w:val="left"/>
        <w:rPr>
          <w:sz w:val="17"/>
        </w:rPr>
      </w:pPr>
      <w:r>
        <w:rPr>
          <w:w w:val="105"/>
          <w:sz w:val="17"/>
        </w:rPr>
        <w:t>que  las  producidas  en  los  cruzamientos  entre  los  aislamientos  homotálicos  y      </w:t>
      </w:r>
      <w:r>
        <w:rPr>
          <w:spacing w:val="10"/>
          <w:w w:val="105"/>
          <w:sz w:val="17"/>
        </w:rPr>
        <w:t> </w:t>
      </w:r>
      <w:r>
        <w:rPr>
          <w:w w:val="105"/>
          <w:sz w:val="17"/>
        </w:rPr>
        <w:t>los</w:t>
      </w:r>
    </w:p>
    <w:p>
      <w:pPr>
        <w:pStyle w:val="BodyText"/>
        <w:spacing w:before="7"/>
        <w:rPr>
          <w:rFonts w:ascii="Times New Roman"/>
          <w:sz w:val="10"/>
        </w:rPr>
      </w:pPr>
    </w:p>
    <w:p>
      <w:pPr>
        <w:pStyle w:val="ListParagraph"/>
        <w:numPr>
          <w:ilvl w:val="0"/>
          <w:numId w:val="23"/>
        </w:numPr>
        <w:tabs>
          <w:tab w:pos="1457" w:val="left" w:leader="none"/>
          <w:tab w:pos="1458" w:val="left" w:leader="none"/>
        </w:tabs>
        <w:spacing w:line="240" w:lineRule="auto" w:before="80" w:after="0"/>
        <w:ind w:left="1457" w:right="0" w:hanging="551"/>
        <w:jc w:val="left"/>
        <w:rPr>
          <w:sz w:val="17"/>
        </w:rPr>
      </w:pPr>
      <w:r>
        <w:rPr>
          <w:w w:val="105"/>
          <w:sz w:val="17"/>
        </w:rPr>
        <w:t>heterotálicos</w:t>
      </w:r>
      <w:r>
        <w:rPr>
          <w:spacing w:val="19"/>
          <w:w w:val="105"/>
          <w:sz w:val="17"/>
        </w:rPr>
        <w:t> </w:t>
      </w:r>
      <w:r>
        <w:rPr>
          <w:w w:val="105"/>
          <w:sz w:val="17"/>
        </w:rPr>
        <w:t>del</w:t>
      </w:r>
      <w:r>
        <w:rPr>
          <w:spacing w:val="19"/>
          <w:w w:val="105"/>
          <w:sz w:val="17"/>
        </w:rPr>
        <w:t> </w:t>
      </w:r>
      <w:r>
        <w:rPr>
          <w:w w:val="105"/>
          <w:sz w:val="17"/>
        </w:rPr>
        <w:t>tipo</w:t>
      </w:r>
      <w:r>
        <w:rPr>
          <w:spacing w:val="19"/>
          <w:w w:val="105"/>
          <w:sz w:val="17"/>
        </w:rPr>
        <w:t> </w:t>
      </w:r>
      <w:r>
        <w:rPr>
          <w:w w:val="105"/>
          <w:sz w:val="17"/>
        </w:rPr>
        <w:t>A2,</w:t>
      </w:r>
      <w:r>
        <w:rPr>
          <w:spacing w:val="19"/>
          <w:w w:val="105"/>
          <w:sz w:val="17"/>
        </w:rPr>
        <w:t> </w:t>
      </w:r>
      <w:r>
        <w:rPr>
          <w:w w:val="105"/>
          <w:sz w:val="17"/>
        </w:rPr>
        <w:t>así</w:t>
      </w:r>
      <w:r>
        <w:rPr>
          <w:spacing w:val="19"/>
          <w:w w:val="105"/>
          <w:sz w:val="17"/>
        </w:rPr>
        <w:t> </w:t>
      </w:r>
      <w:r>
        <w:rPr>
          <w:w w:val="105"/>
          <w:sz w:val="17"/>
        </w:rPr>
        <w:t>como</w:t>
      </w:r>
      <w:r>
        <w:rPr>
          <w:spacing w:val="19"/>
          <w:w w:val="105"/>
          <w:sz w:val="17"/>
        </w:rPr>
        <w:t> </w:t>
      </w:r>
      <w:r>
        <w:rPr>
          <w:w w:val="105"/>
          <w:sz w:val="17"/>
        </w:rPr>
        <w:t>también</w:t>
      </w:r>
      <w:r>
        <w:rPr>
          <w:spacing w:val="19"/>
          <w:w w:val="105"/>
          <w:sz w:val="17"/>
        </w:rPr>
        <w:t> </w:t>
      </w:r>
      <w:r>
        <w:rPr>
          <w:w w:val="105"/>
          <w:sz w:val="17"/>
        </w:rPr>
        <w:t>por</w:t>
      </w:r>
      <w:r>
        <w:rPr>
          <w:spacing w:val="19"/>
          <w:w w:val="105"/>
          <w:sz w:val="17"/>
        </w:rPr>
        <w:t> </w:t>
      </w:r>
      <w:r>
        <w:rPr>
          <w:w w:val="105"/>
          <w:sz w:val="17"/>
        </w:rPr>
        <w:t>el</w:t>
      </w:r>
      <w:r>
        <w:rPr>
          <w:spacing w:val="19"/>
          <w:w w:val="105"/>
          <w:sz w:val="17"/>
        </w:rPr>
        <w:t> </w:t>
      </w:r>
      <w:r>
        <w:rPr>
          <w:w w:val="105"/>
          <w:sz w:val="17"/>
        </w:rPr>
        <w:t>número</w:t>
      </w:r>
      <w:r>
        <w:rPr>
          <w:spacing w:val="19"/>
          <w:w w:val="105"/>
          <w:sz w:val="17"/>
        </w:rPr>
        <w:t> </w:t>
      </w:r>
      <w:r>
        <w:rPr>
          <w:w w:val="105"/>
          <w:sz w:val="17"/>
        </w:rPr>
        <w:t>de</w:t>
      </w:r>
      <w:r>
        <w:rPr>
          <w:spacing w:val="19"/>
          <w:w w:val="105"/>
          <w:sz w:val="17"/>
        </w:rPr>
        <w:t> </w:t>
      </w:r>
      <w:r>
        <w:rPr>
          <w:w w:val="105"/>
          <w:sz w:val="17"/>
        </w:rPr>
        <w:t>oosporas</w:t>
      </w:r>
      <w:r>
        <w:rPr>
          <w:spacing w:val="19"/>
          <w:w w:val="105"/>
          <w:sz w:val="17"/>
        </w:rPr>
        <w:t> </w:t>
      </w:r>
      <w:r>
        <w:rPr>
          <w:w w:val="105"/>
          <w:sz w:val="17"/>
        </w:rPr>
        <w:t>producidas</w:t>
      </w:r>
      <w:r>
        <w:rPr>
          <w:spacing w:val="19"/>
          <w:w w:val="105"/>
          <w:sz w:val="17"/>
        </w:rPr>
        <w:t> </w:t>
      </w:r>
      <w:r>
        <w:rPr>
          <w:w w:val="105"/>
          <w:sz w:val="17"/>
        </w:rPr>
        <w:t>por</w:t>
      </w:r>
    </w:p>
    <w:p>
      <w:pPr>
        <w:pStyle w:val="BodyText"/>
        <w:spacing w:before="7"/>
        <w:rPr>
          <w:rFonts w:ascii="Times New Roman"/>
          <w:sz w:val="10"/>
        </w:rPr>
      </w:pPr>
    </w:p>
    <w:p>
      <w:pPr>
        <w:pStyle w:val="ListParagraph"/>
        <w:numPr>
          <w:ilvl w:val="0"/>
          <w:numId w:val="23"/>
        </w:numPr>
        <w:tabs>
          <w:tab w:pos="1457" w:val="left" w:leader="none"/>
          <w:tab w:pos="1458" w:val="left" w:leader="none"/>
        </w:tabs>
        <w:spacing w:line="240" w:lineRule="auto" w:before="80" w:after="0"/>
        <w:ind w:left="1457" w:right="0" w:hanging="551"/>
        <w:jc w:val="left"/>
        <w:rPr>
          <w:sz w:val="17"/>
        </w:rPr>
      </w:pPr>
      <w:r>
        <w:rPr>
          <w:w w:val="105"/>
          <w:sz w:val="17"/>
        </w:rPr>
        <w:t>autofertilización</w:t>
      </w:r>
      <w:r>
        <w:rPr>
          <w:spacing w:val="-13"/>
          <w:w w:val="105"/>
          <w:sz w:val="17"/>
        </w:rPr>
        <w:t> </w:t>
      </w:r>
      <w:r>
        <w:rPr>
          <w:w w:val="105"/>
          <w:sz w:val="17"/>
        </w:rPr>
        <w:t>de</w:t>
      </w:r>
      <w:r>
        <w:rPr>
          <w:spacing w:val="-13"/>
          <w:w w:val="105"/>
          <w:sz w:val="17"/>
        </w:rPr>
        <w:t> </w:t>
      </w:r>
      <w:r>
        <w:rPr>
          <w:w w:val="105"/>
          <w:sz w:val="17"/>
        </w:rPr>
        <w:t>los</w:t>
      </w:r>
      <w:r>
        <w:rPr>
          <w:spacing w:val="-13"/>
          <w:w w:val="105"/>
          <w:sz w:val="17"/>
        </w:rPr>
        <w:t> </w:t>
      </w:r>
      <w:r>
        <w:rPr>
          <w:w w:val="105"/>
          <w:sz w:val="17"/>
        </w:rPr>
        <w:t>aislamientos</w:t>
      </w:r>
      <w:r>
        <w:rPr>
          <w:spacing w:val="-13"/>
          <w:w w:val="105"/>
          <w:sz w:val="17"/>
        </w:rPr>
        <w:t> </w:t>
      </w:r>
      <w:r>
        <w:rPr>
          <w:w w:val="105"/>
          <w:sz w:val="17"/>
        </w:rPr>
        <w:t>homotálicos</w:t>
      </w:r>
      <w:r>
        <w:rPr>
          <w:spacing w:val="-13"/>
          <w:w w:val="105"/>
          <w:sz w:val="17"/>
        </w:rPr>
        <w:t> </w:t>
      </w:r>
      <w:r>
        <w:rPr>
          <w:w w:val="105"/>
          <w:sz w:val="17"/>
        </w:rPr>
        <w:t>(</w:t>
      </w:r>
      <w:r>
        <w:rPr>
          <w:b/>
          <w:w w:val="105"/>
          <w:sz w:val="17"/>
        </w:rPr>
        <w:t>Tabla</w:t>
      </w:r>
      <w:r>
        <w:rPr>
          <w:b/>
          <w:spacing w:val="-13"/>
          <w:w w:val="105"/>
          <w:sz w:val="17"/>
        </w:rPr>
        <w:t> </w:t>
      </w:r>
      <w:r>
        <w:rPr>
          <w:b/>
          <w:w w:val="105"/>
          <w:sz w:val="17"/>
        </w:rPr>
        <w:t>III</w:t>
      </w:r>
      <w:r>
        <w:rPr>
          <w:w w:val="105"/>
          <w:sz w:val="17"/>
        </w:rPr>
        <w:t>).</w:t>
      </w:r>
      <w:r>
        <w:rPr>
          <w:spacing w:val="-13"/>
          <w:w w:val="105"/>
          <w:sz w:val="17"/>
        </w:rPr>
        <w:t> </w:t>
      </w:r>
      <w:r>
        <w:rPr>
          <w:w w:val="105"/>
          <w:sz w:val="17"/>
        </w:rPr>
        <w:t>Por</w:t>
      </w:r>
      <w:r>
        <w:rPr>
          <w:spacing w:val="-13"/>
          <w:w w:val="105"/>
          <w:sz w:val="17"/>
        </w:rPr>
        <w:t> </w:t>
      </w:r>
      <w:r>
        <w:rPr>
          <w:w w:val="105"/>
          <w:sz w:val="17"/>
        </w:rPr>
        <w:t>lo</w:t>
      </w:r>
      <w:r>
        <w:rPr>
          <w:spacing w:val="-13"/>
          <w:w w:val="105"/>
          <w:sz w:val="17"/>
        </w:rPr>
        <w:t> </w:t>
      </w:r>
      <w:r>
        <w:rPr>
          <w:w w:val="105"/>
          <w:sz w:val="17"/>
        </w:rPr>
        <w:t>anterior,</w:t>
      </w:r>
      <w:r>
        <w:rPr>
          <w:spacing w:val="-13"/>
          <w:w w:val="105"/>
          <w:sz w:val="17"/>
        </w:rPr>
        <w:t> </w:t>
      </w:r>
      <w:r>
        <w:rPr>
          <w:w w:val="105"/>
          <w:sz w:val="17"/>
        </w:rPr>
        <w:t>se</w:t>
      </w:r>
      <w:r>
        <w:rPr>
          <w:spacing w:val="-13"/>
          <w:w w:val="105"/>
          <w:sz w:val="17"/>
        </w:rPr>
        <w:t> </w:t>
      </w:r>
      <w:r>
        <w:rPr>
          <w:w w:val="105"/>
          <w:sz w:val="17"/>
        </w:rPr>
        <w:t>deduce</w:t>
      </w:r>
      <w:r>
        <w:rPr>
          <w:spacing w:val="-13"/>
          <w:w w:val="105"/>
          <w:sz w:val="17"/>
        </w:rPr>
        <w:t> </w:t>
      </w:r>
      <w:r>
        <w:rPr>
          <w:w w:val="105"/>
          <w:sz w:val="17"/>
        </w:rPr>
        <w:t>que</w:t>
      </w:r>
    </w:p>
    <w:p>
      <w:pPr>
        <w:pStyle w:val="BodyText"/>
        <w:spacing w:before="7"/>
        <w:rPr>
          <w:rFonts w:ascii="Times New Roman"/>
          <w:sz w:val="10"/>
        </w:rPr>
      </w:pPr>
    </w:p>
    <w:p>
      <w:pPr>
        <w:pStyle w:val="ListParagraph"/>
        <w:numPr>
          <w:ilvl w:val="0"/>
          <w:numId w:val="23"/>
        </w:numPr>
        <w:tabs>
          <w:tab w:pos="1457" w:val="left" w:leader="none"/>
          <w:tab w:pos="1458" w:val="left" w:leader="none"/>
        </w:tabs>
        <w:spacing w:line="240" w:lineRule="auto" w:before="80" w:after="0"/>
        <w:ind w:left="1457" w:right="0" w:hanging="551"/>
        <w:jc w:val="left"/>
        <w:rPr>
          <w:sz w:val="17"/>
        </w:rPr>
      </w:pPr>
      <w:r>
        <w:rPr>
          <w:w w:val="105"/>
          <w:sz w:val="17"/>
        </w:rPr>
        <w:t>el</w:t>
      </w:r>
      <w:r>
        <w:rPr>
          <w:spacing w:val="-4"/>
          <w:w w:val="105"/>
          <w:sz w:val="17"/>
        </w:rPr>
        <w:t> </w:t>
      </w:r>
      <w:r>
        <w:rPr>
          <w:w w:val="105"/>
          <w:sz w:val="17"/>
        </w:rPr>
        <w:t>desarrollo</w:t>
      </w:r>
      <w:r>
        <w:rPr>
          <w:spacing w:val="-4"/>
          <w:w w:val="105"/>
          <w:sz w:val="17"/>
        </w:rPr>
        <w:t> </w:t>
      </w:r>
      <w:r>
        <w:rPr>
          <w:w w:val="105"/>
          <w:sz w:val="17"/>
        </w:rPr>
        <w:t>sexual</w:t>
      </w:r>
      <w:r>
        <w:rPr>
          <w:spacing w:val="-4"/>
          <w:w w:val="105"/>
          <w:sz w:val="17"/>
        </w:rPr>
        <w:t> </w:t>
      </w:r>
      <w:r>
        <w:rPr>
          <w:w w:val="105"/>
          <w:sz w:val="17"/>
        </w:rPr>
        <w:t>de</w:t>
      </w:r>
      <w:r>
        <w:rPr>
          <w:spacing w:val="-4"/>
          <w:w w:val="105"/>
          <w:sz w:val="17"/>
        </w:rPr>
        <w:t> </w:t>
      </w:r>
      <w:r>
        <w:rPr>
          <w:w w:val="105"/>
          <w:sz w:val="17"/>
        </w:rPr>
        <w:t>los</w:t>
      </w:r>
      <w:r>
        <w:rPr>
          <w:spacing w:val="-4"/>
          <w:w w:val="105"/>
          <w:sz w:val="17"/>
        </w:rPr>
        <w:t> </w:t>
      </w:r>
      <w:r>
        <w:rPr>
          <w:w w:val="105"/>
          <w:sz w:val="17"/>
        </w:rPr>
        <w:t>aislamientos</w:t>
      </w:r>
      <w:r>
        <w:rPr>
          <w:spacing w:val="-4"/>
          <w:w w:val="105"/>
          <w:sz w:val="17"/>
        </w:rPr>
        <w:t> </w:t>
      </w:r>
      <w:r>
        <w:rPr>
          <w:w w:val="105"/>
          <w:sz w:val="17"/>
        </w:rPr>
        <w:t>homotálicos</w:t>
      </w:r>
      <w:r>
        <w:rPr>
          <w:spacing w:val="-4"/>
          <w:w w:val="105"/>
          <w:sz w:val="17"/>
        </w:rPr>
        <w:t> </w:t>
      </w:r>
      <w:r>
        <w:rPr>
          <w:w w:val="105"/>
          <w:sz w:val="17"/>
        </w:rPr>
        <w:t>estudiados</w:t>
      </w:r>
      <w:r>
        <w:rPr>
          <w:spacing w:val="-4"/>
          <w:w w:val="105"/>
          <w:sz w:val="17"/>
        </w:rPr>
        <w:t> </w:t>
      </w:r>
      <w:r>
        <w:rPr>
          <w:w w:val="105"/>
          <w:sz w:val="17"/>
        </w:rPr>
        <w:t>es</w:t>
      </w:r>
      <w:r>
        <w:rPr>
          <w:spacing w:val="-4"/>
          <w:w w:val="105"/>
          <w:sz w:val="17"/>
        </w:rPr>
        <w:t> </w:t>
      </w:r>
      <w:r>
        <w:rPr>
          <w:w w:val="105"/>
          <w:sz w:val="17"/>
        </w:rPr>
        <w:t>mayormente</w:t>
      </w:r>
      <w:r>
        <w:rPr>
          <w:spacing w:val="-4"/>
          <w:w w:val="105"/>
          <w:sz w:val="17"/>
        </w:rPr>
        <w:t> </w:t>
      </w:r>
      <w:r>
        <w:rPr>
          <w:w w:val="105"/>
          <w:sz w:val="17"/>
        </w:rPr>
        <w:t>favorecido</w:t>
      </w:r>
    </w:p>
    <w:p>
      <w:pPr>
        <w:pStyle w:val="BodyText"/>
        <w:spacing w:before="9"/>
        <w:rPr>
          <w:rFonts w:ascii="Times New Roman"/>
          <w:sz w:val="11"/>
        </w:rPr>
      </w:pPr>
    </w:p>
    <w:p>
      <w:pPr>
        <w:pStyle w:val="ListParagraph"/>
        <w:numPr>
          <w:ilvl w:val="0"/>
          <w:numId w:val="23"/>
        </w:numPr>
        <w:tabs>
          <w:tab w:pos="1457" w:val="left" w:leader="none"/>
          <w:tab w:pos="1458" w:val="left" w:leader="none"/>
        </w:tabs>
        <w:spacing w:line="240" w:lineRule="auto" w:before="71" w:after="0"/>
        <w:ind w:left="1457" w:right="0" w:hanging="551"/>
        <w:jc w:val="left"/>
        <w:rPr>
          <w:sz w:val="17"/>
        </w:rPr>
      </w:pPr>
      <w:r>
        <w:rPr>
          <w:w w:val="105"/>
          <w:sz w:val="17"/>
        </w:rPr>
        <w:t>por  la  hormona  de  apareamiento  </w:t>
      </w:r>
      <w:r>
        <w:rPr>
          <w:rFonts w:ascii="Symbol" w:hAnsi="Symbol"/>
          <w:w w:val="105"/>
          <w:sz w:val="17"/>
        </w:rPr>
        <w:t></w:t>
      </w:r>
      <w:r>
        <w:rPr>
          <w:w w:val="105"/>
          <w:sz w:val="17"/>
        </w:rPr>
        <w:t>1  producida  por  los  aislamientos  del  tipo       </w:t>
      </w:r>
      <w:r>
        <w:rPr>
          <w:spacing w:val="13"/>
          <w:w w:val="105"/>
          <w:sz w:val="17"/>
        </w:rPr>
        <w:t> </w:t>
      </w:r>
      <w:r>
        <w:rPr>
          <w:w w:val="105"/>
          <w:sz w:val="17"/>
        </w:rPr>
        <w:t>de</w:t>
      </w:r>
    </w:p>
    <w:p>
      <w:pPr>
        <w:pStyle w:val="BodyText"/>
        <w:spacing w:before="9"/>
        <w:rPr>
          <w:rFonts w:ascii="Times New Roman"/>
          <w:sz w:val="11"/>
        </w:rPr>
      </w:pPr>
    </w:p>
    <w:p>
      <w:pPr>
        <w:pStyle w:val="ListParagraph"/>
        <w:numPr>
          <w:ilvl w:val="0"/>
          <w:numId w:val="23"/>
        </w:numPr>
        <w:tabs>
          <w:tab w:pos="1457" w:val="left" w:leader="none"/>
          <w:tab w:pos="1458" w:val="left" w:leader="none"/>
        </w:tabs>
        <w:spacing w:line="240" w:lineRule="auto" w:before="80" w:after="0"/>
        <w:ind w:left="1457" w:right="0" w:hanging="551"/>
        <w:jc w:val="left"/>
        <w:rPr>
          <w:sz w:val="17"/>
        </w:rPr>
      </w:pPr>
      <w:r>
        <w:rPr>
          <w:w w:val="105"/>
          <w:sz w:val="17"/>
        </w:rPr>
        <w:t>apareamiento</w:t>
      </w:r>
      <w:r>
        <w:rPr>
          <w:spacing w:val="-30"/>
          <w:w w:val="105"/>
          <w:sz w:val="17"/>
        </w:rPr>
        <w:t> </w:t>
      </w:r>
      <w:r>
        <w:rPr>
          <w:w w:val="105"/>
          <w:sz w:val="17"/>
        </w:rPr>
        <w:t>A1.</w:t>
      </w:r>
    </w:p>
    <w:p>
      <w:pPr>
        <w:pStyle w:val="BodyText"/>
        <w:spacing w:before="6"/>
        <w:rPr>
          <w:rFonts w:ascii="Times New Roman"/>
          <w:sz w:val="17"/>
        </w:rPr>
      </w:pPr>
    </w:p>
    <w:p>
      <w:pPr>
        <w:pStyle w:val="ListParagraph"/>
        <w:numPr>
          <w:ilvl w:val="0"/>
          <w:numId w:val="23"/>
        </w:numPr>
        <w:tabs>
          <w:tab w:pos="1200" w:val="left" w:leader="none"/>
        </w:tabs>
        <w:spacing w:line="240" w:lineRule="auto" w:before="0" w:after="0"/>
        <w:ind w:left="1199" w:right="0" w:hanging="293"/>
        <w:jc w:val="left"/>
        <w:rPr>
          <w:rFonts w:ascii="Cambria"/>
          <w:sz w:val="17"/>
        </w:rPr>
      </w:pPr>
    </w:p>
    <w:p>
      <w:pPr>
        <w:pStyle w:val="BodyText"/>
        <w:spacing w:before="4"/>
        <w:rPr>
          <w:rFonts w:ascii="Cambria"/>
          <w:sz w:val="10"/>
        </w:rPr>
      </w:pPr>
    </w:p>
    <w:p>
      <w:pPr>
        <w:pStyle w:val="ListParagraph"/>
        <w:numPr>
          <w:ilvl w:val="0"/>
          <w:numId w:val="23"/>
        </w:numPr>
        <w:tabs>
          <w:tab w:pos="1457" w:val="left" w:leader="none"/>
          <w:tab w:pos="1458" w:val="left" w:leader="none"/>
        </w:tabs>
        <w:spacing w:line="240" w:lineRule="auto" w:before="80" w:after="0"/>
        <w:ind w:left="1457" w:right="0" w:hanging="551"/>
        <w:jc w:val="left"/>
        <w:rPr>
          <w:sz w:val="17"/>
        </w:rPr>
      </w:pPr>
      <w:r>
        <w:rPr>
          <w:w w:val="105"/>
          <w:sz w:val="17"/>
        </w:rPr>
        <w:t>La cantidad de oosporas producidas por los aislamientos homotálicos lo determina el</w:t>
      </w:r>
      <w:r>
        <w:rPr>
          <w:spacing w:val="30"/>
          <w:w w:val="105"/>
          <w:sz w:val="17"/>
        </w:rPr>
        <w:t> </w:t>
      </w:r>
      <w:r>
        <w:rPr>
          <w:w w:val="105"/>
          <w:sz w:val="17"/>
        </w:rPr>
        <w:t>tipo</w:t>
      </w:r>
    </w:p>
    <w:p>
      <w:pPr>
        <w:pStyle w:val="BodyText"/>
        <w:spacing w:before="7"/>
        <w:rPr>
          <w:rFonts w:ascii="Times New Roman"/>
          <w:sz w:val="10"/>
        </w:rPr>
      </w:pPr>
    </w:p>
    <w:p>
      <w:pPr>
        <w:pStyle w:val="ListParagraph"/>
        <w:numPr>
          <w:ilvl w:val="0"/>
          <w:numId w:val="23"/>
        </w:numPr>
        <w:tabs>
          <w:tab w:pos="1457" w:val="left" w:leader="none"/>
          <w:tab w:pos="1458" w:val="left" w:leader="none"/>
        </w:tabs>
        <w:spacing w:line="240" w:lineRule="auto" w:before="80" w:after="0"/>
        <w:ind w:left="1457" w:right="0" w:hanging="551"/>
        <w:jc w:val="left"/>
        <w:rPr>
          <w:sz w:val="17"/>
        </w:rPr>
      </w:pPr>
      <w:r>
        <w:rPr>
          <w:w w:val="105"/>
          <w:sz w:val="17"/>
        </w:rPr>
        <w:t>de</w:t>
      </w:r>
      <w:r>
        <w:rPr>
          <w:spacing w:val="15"/>
          <w:w w:val="105"/>
          <w:sz w:val="17"/>
        </w:rPr>
        <w:t> </w:t>
      </w:r>
      <w:r>
        <w:rPr>
          <w:w w:val="105"/>
          <w:sz w:val="17"/>
        </w:rPr>
        <w:t>apareamiento</w:t>
      </w:r>
      <w:r>
        <w:rPr>
          <w:spacing w:val="15"/>
          <w:w w:val="105"/>
          <w:sz w:val="17"/>
        </w:rPr>
        <w:t> </w:t>
      </w:r>
      <w:r>
        <w:rPr>
          <w:w w:val="105"/>
          <w:sz w:val="17"/>
        </w:rPr>
        <w:t>con</w:t>
      </w:r>
      <w:r>
        <w:rPr>
          <w:spacing w:val="15"/>
          <w:w w:val="105"/>
          <w:sz w:val="17"/>
        </w:rPr>
        <w:t> </w:t>
      </w:r>
      <w:r>
        <w:rPr>
          <w:w w:val="105"/>
          <w:sz w:val="17"/>
        </w:rPr>
        <w:t>el</w:t>
      </w:r>
      <w:r>
        <w:rPr>
          <w:spacing w:val="15"/>
          <w:w w:val="105"/>
          <w:sz w:val="17"/>
        </w:rPr>
        <w:t> </w:t>
      </w:r>
      <w:r>
        <w:rPr>
          <w:w w:val="105"/>
          <w:sz w:val="17"/>
        </w:rPr>
        <w:t>que</w:t>
      </w:r>
      <w:r>
        <w:rPr>
          <w:spacing w:val="15"/>
          <w:w w:val="105"/>
          <w:sz w:val="17"/>
        </w:rPr>
        <w:t> </w:t>
      </w:r>
      <w:r>
        <w:rPr>
          <w:w w:val="105"/>
          <w:sz w:val="17"/>
        </w:rPr>
        <w:t>se</w:t>
      </w:r>
      <w:r>
        <w:rPr>
          <w:spacing w:val="15"/>
          <w:w w:val="105"/>
          <w:sz w:val="17"/>
        </w:rPr>
        <w:t> </w:t>
      </w:r>
      <w:r>
        <w:rPr>
          <w:w w:val="105"/>
          <w:sz w:val="17"/>
        </w:rPr>
        <w:t>cruzan,</w:t>
      </w:r>
      <w:r>
        <w:rPr>
          <w:spacing w:val="15"/>
          <w:w w:val="105"/>
          <w:sz w:val="17"/>
        </w:rPr>
        <w:t> </w:t>
      </w:r>
      <w:r>
        <w:rPr>
          <w:w w:val="105"/>
          <w:sz w:val="17"/>
        </w:rPr>
        <w:t>ya</w:t>
      </w:r>
      <w:r>
        <w:rPr>
          <w:spacing w:val="15"/>
          <w:w w:val="105"/>
          <w:sz w:val="17"/>
        </w:rPr>
        <w:t> </w:t>
      </w:r>
      <w:r>
        <w:rPr>
          <w:w w:val="105"/>
          <w:sz w:val="17"/>
        </w:rPr>
        <w:t>que</w:t>
      </w:r>
      <w:r>
        <w:rPr>
          <w:spacing w:val="15"/>
          <w:w w:val="105"/>
          <w:sz w:val="17"/>
        </w:rPr>
        <w:t> </w:t>
      </w:r>
      <w:r>
        <w:rPr>
          <w:w w:val="105"/>
          <w:sz w:val="17"/>
        </w:rPr>
        <w:t>el</w:t>
      </w:r>
      <w:r>
        <w:rPr>
          <w:spacing w:val="15"/>
          <w:w w:val="105"/>
          <w:sz w:val="17"/>
        </w:rPr>
        <w:t> </w:t>
      </w:r>
      <w:r>
        <w:rPr>
          <w:w w:val="105"/>
          <w:sz w:val="17"/>
        </w:rPr>
        <w:t>análisis</w:t>
      </w:r>
      <w:r>
        <w:rPr>
          <w:spacing w:val="15"/>
          <w:w w:val="105"/>
          <w:sz w:val="17"/>
        </w:rPr>
        <w:t> </w:t>
      </w:r>
      <w:r>
        <w:rPr>
          <w:w w:val="105"/>
          <w:sz w:val="17"/>
        </w:rPr>
        <w:t>de</w:t>
      </w:r>
      <w:r>
        <w:rPr>
          <w:spacing w:val="15"/>
          <w:w w:val="105"/>
          <w:sz w:val="17"/>
        </w:rPr>
        <w:t> </w:t>
      </w:r>
      <w:r>
        <w:rPr>
          <w:w w:val="105"/>
          <w:sz w:val="17"/>
        </w:rPr>
        <w:t>varianza</w:t>
      </w:r>
      <w:r>
        <w:rPr>
          <w:spacing w:val="15"/>
          <w:w w:val="105"/>
          <w:sz w:val="17"/>
        </w:rPr>
        <w:t> </w:t>
      </w:r>
      <w:r>
        <w:rPr>
          <w:w w:val="105"/>
          <w:sz w:val="17"/>
        </w:rPr>
        <w:t>indicó</w:t>
      </w:r>
      <w:r>
        <w:rPr>
          <w:spacing w:val="15"/>
          <w:w w:val="105"/>
          <w:sz w:val="17"/>
        </w:rPr>
        <w:t> </w:t>
      </w:r>
      <w:r>
        <w:rPr>
          <w:w w:val="105"/>
          <w:sz w:val="17"/>
        </w:rPr>
        <w:t>que</w:t>
      </w:r>
      <w:r>
        <w:rPr>
          <w:spacing w:val="15"/>
          <w:w w:val="105"/>
          <w:sz w:val="17"/>
        </w:rPr>
        <w:t> </w:t>
      </w:r>
      <w:r>
        <w:rPr>
          <w:w w:val="105"/>
          <w:sz w:val="17"/>
        </w:rPr>
        <w:t>no</w:t>
      </w:r>
      <w:r>
        <w:rPr>
          <w:spacing w:val="15"/>
          <w:w w:val="105"/>
          <w:sz w:val="17"/>
        </w:rPr>
        <w:t> </w:t>
      </w:r>
      <w:r>
        <w:rPr>
          <w:w w:val="105"/>
          <w:sz w:val="17"/>
        </w:rPr>
        <w:t>hay</w:t>
      </w:r>
    </w:p>
    <w:p>
      <w:pPr>
        <w:pStyle w:val="BodyText"/>
        <w:spacing w:before="7"/>
        <w:rPr>
          <w:rFonts w:ascii="Times New Roman"/>
          <w:sz w:val="10"/>
        </w:rPr>
      </w:pPr>
    </w:p>
    <w:p>
      <w:pPr>
        <w:pStyle w:val="ListParagraph"/>
        <w:numPr>
          <w:ilvl w:val="0"/>
          <w:numId w:val="23"/>
        </w:numPr>
        <w:tabs>
          <w:tab w:pos="1457" w:val="left" w:leader="none"/>
          <w:tab w:pos="1458" w:val="left" w:leader="none"/>
        </w:tabs>
        <w:spacing w:line="240" w:lineRule="auto" w:before="80" w:after="0"/>
        <w:ind w:left="1457" w:right="0" w:hanging="551"/>
        <w:jc w:val="left"/>
        <w:rPr>
          <w:sz w:val="17"/>
        </w:rPr>
      </w:pPr>
      <w:r>
        <w:rPr>
          <w:w w:val="105"/>
          <w:sz w:val="17"/>
        </w:rPr>
        <w:t>diferencias significativas en la cantidad de oosporas producidas en los cruzamientos</w:t>
      </w:r>
      <w:r>
        <w:rPr>
          <w:spacing w:val="14"/>
          <w:w w:val="105"/>
          <w:sz w:val="17"/>
        </w:rPr>
        <w:t> </w:t>
      </w:r>
      <w:r>
        <w:rPr>
          <w:w w:val="105"/>
          <w:sz w:val="17"/>
        </w:rPr>
        <w:t>entre</w:t>
      </w:r>
    </w:p>
    <w:p>
      <w:pPr>
        <w:pStyle w:val="BodyText"/>
        <w:spacing w:before="7"/>
        <w:rPr>
          <w:rFonts w:ascii="Times New Roman"/>
          <w:sz w:val="10"/>
        </w:rPr>
      </w:pPr>
    </w:p>
    <w:p>
      <w:pPr>
        <w:pStyle w:val="ListParagraph"/>
        <w:numPr>
          <w:ilvl w:val="0"/>
          <w:numId w:val="23"/>
        </w:numPr>
        <w:tabs>
          <w:tab w:pos="1457" w:val="left" w:leader="none"/>
          <w:tab w:pos="1458" w:val="left" w:leader="none"/>
        </w:tabs>
        <w:spacing w:line="240" w:lineRule="auto" w:before="80" w:after="0"/>
        <w:ind w:left="1457" w:right="0" w:hanging="551"/>
        <w:jc w:val="left"/>
        <w:rPr>
          <w:b/>
          <w:sz w:val="17"/>
        </w:rPr>
      </w:pPr>
      <w:r>
        <w:rPr>
          <w:w w:val="105"/>
          <w:sz w:val="17"/>
        </w:rPr>
        <w:t>los aislamientos homotálicos y los heterotálicos del mismo tipo de apareamiento  </w:t>
      </w:r>
      <w:r>
        <w:rPr>
          <w:spacing w:val="32"/>
          <w:w w:val="105"/>
          <w:sz w:val="17"/>
        </w:rPr>
        <w:t> </w:t>
      </w:r>
      <w:r>
        <w:rPr>
          <w:w w:val="105"/>
          <w:sz w:val="17"/>
        </w:rPr>
        <w:t>(</w:t>
      </w:r>
      <w:r>
        <w:rPr>
          <w:b/>
          <w:w w:val="105"/>
          <w:sz w:val="17"/>
        </w:rPr>
        <w:t>Tabla</w:t>
      </w:r>
    </w:p>
    <w:p>
      <w:pPr>
        <w:pStyle w:val="BodyText"/>
        <w:spacing w:before="7"/>
        <w:rPr>
          <w:rFonts w:ascii="Times New Roman"/>
          <w:b/>
          <w:sz w:val="10"/>
        </w:rPr>
      </w:pPr>
    </w:p>
    <w:p>
      <w:pPr>
        <w:pStyle w:val="ListParagraph"/>
        <w:numPr>
          <w:ilvl w:val="0"/>
          <w:numId w:val="23"/>
        </w:numPr>
        <w:tabs>
          <w:tab w:pos="1457" w:val="left" w:leader="none"/>
          <w:tab w:pos="1458" w:val="left" w:leader="none"/>
        </w:tabs>
        <w:spacing w:line="240" w:lineRule="auto" w:before="80" w:after="0"/>
        <w:ind w:left="1457" w:right="0" w:hanging="551"/>
        <w:jc w:val="left"/>
        <w:rPr>
          <w:sz w:val="17"/>
        </w:rPr>
      </w:pPr>
      <w:r>
        <w:rPr>
          <w:b/>
          <w:w w:val="105"/>
          <w:sz w:val="17"/>
        </w:rPr>
        <w:t>III</w:t>
      </w:r>
      <w:r>
        <w:rPr>
          <w:w w:val="105"/>
          <w:sz w:val="17"/>
        </w:rPr>
        <w:t>).</w:t>
      </w:r>
    </w:p>
    <w:p>
      <w:pPr>
        <w:spacing w:after="0" w:line="240" w:lineRule="auto"/>
        <w:jc w:val="left"/>
        <w:rPr>
          <w:sz w:val="17"/>
        </w:rPr>
        <w:sectPr>
          <w:pgSz w:w="12240" w:h="15840"/>
          <w:pgMar w:header="719" w:footer="740" w:top="1260" w:bottom="920" w:left="1460" w:right="14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2"/>
        </w:rPr>
      </w:pPr>
    </w:p>
    <w:p>
      <w:pPr>
        <w:pStyle w:val="ListParagraph"/>
        <w:numPr>
          <w:ilvl w:val="0"/>
          <w:numId w:val="23"/>
        </w:numPr>
        <w:tabs>
          <w:tab w:pos="1199" w:val="left" w:leader="none"/>
        </w:tabs>
        <w:spacing w:line="240" w:lineRule="auto" w:before="79" w:after="0"/>
        <w:ind w:left="1198" w:right="0" w:hanging="293"/>
        <w:jc w:val="left"/>
        <w:rPr>
          <w:rFonts w:ascii="Cambria"/>
          <w:sz w:val="17"/>
        </w:rPr>
      </w:pPr>
    </w:p>
    <w:p>
      <w:pPr>
        <w:pStyle w:val="BodyText"/>
        <w:spacing w:before="4"/>
        <w:rPr>
          <w:rFonts w:ascii="Cambria"/>
          <w:sz w:val="10"/>
        </w:rPr>
      </w:pPr>
    </w:p>
    <w:p>
      <w:pPr>
        <w:pStyle w:val="ListParagraph"/>
        <w:numPr>
          <w:ilvl w:val="0"/>
          <w:numId w:val="23"/>
        </w:numPr>
        <w:tabs>
          <w:tab w:pos="1456" w:val="left" w:leader="none"/>
          <w:tab w:pos="1457" w:val="left" w:leader="none"/>
        </w:tabs>
        <w:spacing w:line="240" w:lineRule="auto" w:before="80" w:after="0"/>
        <w:ind w:left="1456" w:right="0" w:hanging="551"/>
        <w:jc w:val="left"/>
        <w:rPr>
          <w:sz w:val="17"/>
        </w:rPr>
      </w:pPr>
      <w:r>
        <w:rPr>
          <w:sz w:val="17"/>
        </w:rPr>
        <w:t>El  número  de  oosporas  en  los  cruzamientos  entre  los  aislamientos  homotálicos  y     </w:t>
      </w:r>
      <w:r>
        <w:rPr>
          <w:spacing w:val="18"/>
          <w:sz w:val="17"/>
        </w:rPr>
        <w:t> </w:t>
      </w:r>
      <w:r>
        <w:rPr>
          <w:sz w:val="17"/>
        </w:rPr>
        <w:t>los</w:t>
      </w:r>
    </w:p>
    <w:p>
      <w:pPr>
        <w:pStyle w:val="BodyText"/>
        <w:spacing w:before="6"/>
        <w:rPr>
          <w:rFonts w:ascii="Times New Roman"/>
          <w:sz w:val="10"/>
        </w:rPr>
      </w:pPr>
    </w:p>
    <w:p>
      <w:pPr>
        <w:pStyle w:val="ListParagraph"/>
        <w:numPr>
          <w:ilvl w:val="0"/>
          <w:numId w:val="23"/>
        </w:numPr>
        <w:tabs>
          <w:tab w:pos="1456" w:val="left" w:leader="none"/>
          <w:tab w:pos="1457" w:val="left" w:leader="none"/>
        </w:tabs>
        <w:spacing w:line="240" w:lineRule="auto" w:before="80" w:after="0"/>
        <w:ind w:left="1456" w:right="0" w:hanging="551"/>
        <w:jc w:val="left"/>
        <w:rPr>
          <w:sz w:val="17"/>
        </w:rPr>
      </w:pPr>
      <w:r>
        <w:rPr>
          <w:sz w:val="17"/>
        </w:rPr>
        <w:t>heterotálicos</w:t>
      </w:r>
      <w:r>
        <w:rPr>
          <w:spacing w:val="15"/>
          <w:sz w:val="17"/>
        </w:rPr>
        <w:t> </w:t>
      </w:r>
      <w:r>
        <w:rPr>
          <w:sz w:val="17"/>
        </w:rPr>
        <w:t>del</w:t>
      </w:r>
      <w:r>
        <w:rPr>
          <w:spacing w:val="15"/>
          <w:sz w:val="17"/>
        </w:rPr>
        <w:t> </w:t>
      </w:r>
      <w:r>
        <w:rPr>
          <w:sz w:val="17"/>
        </w:rPr>
        <w:t>tipo</w:t>
      </w:r>
      <w:r>
        <w:rPr>
          <w:spacing w:val="15"/>
          <w:sz w:val="17"/>
        </w:rPr>
        <w:t> </w:t>
      </w:r>
      <w:r>
        <w:rPr>
          <w:sz w:val="17"/>
        </w:rPr>
        <w:t>A1</w:t>
      </w:r>
      <w:r>
        <w:rPr>
          <w:spacing w:val="15"/>
          <w:sz w:val="17"/>
        </w:rPr>
        <w:t> </w:t>
      </w:r>
      <w:r>
        <w:rPr>
          <w:sz w:val="17"/>
        </w:rPr>
        <w:t>fue</w:t>
      </w:r>
      <w:r>
        <w:rPr>
          <w:spacing w:val="15"/>
          <w:sz w:val="17"/>
        </w:rPr>
        <w:t> </w:t>
      </w:r>
      <w:r>
        <w:rPr>
          <w:sz w:val="17"/>
        </w:rPr>
        <w:t>1.8</w:t>
      </w:r>
      <w:r>
        <w:rPr>
          <w:spacing w:val="15"/>
          <w:sz w:val="17"/>
        </w:rPr>
        <w:t> </w:t>
      </w:r>
      <w:r>
        <w:rPr>
          <w:sz w:val="17"/>
        </w:rPr>
        <w:t>veces</w:t>
      </w:r>
      <w:r>
        <w:rPr>
          <w:spacing w:val="15"/>
          <w:sz w:val="17"/>
        </w:rPr>
        <w:t> </w:t>
      </w:r>
      <w:r>
        <w:rPr>
          <w:sz w:val="17"/>
        </w:rPr>
        <w:t>mayor</w:t>
      </w:r>
      <w:r>
        <w:rPr>
          <w:spacing w:val="15"/>
          <w:sz w:val="17"/>
        </w:rPr>
        <w:t> </w:t>
      </w:r>
      <w:r>
        <w:rPr>
          <w:sz w:val="17"/>
        </w:rPr>
        <w:t>que</w:t>
      </w:r>
      <w:r>
        <w:rPr>
          <w:spacing w:val="15"/>
          <w:sz w:val="17"/>
        </w:rPr>
        <w:t> </w:t>
      </w:r>
      <w:r>
        <w:rPr>
          <w:sz w:val="17"/>
        </w:rPr>
        <w:t>el</w:t>
      </w:r>
      <w:r>
        <w:rPr>
          <w:spacing w:val="15"/>
          <w:sz w:val="17"/>
        </w:rPr>
        <w:t> </w:t>
      </w:r>
      <w:r>
        <w:rPr>
          <w:sz w:val="17"/>
        </w:rPr>
        <w:t>número</w:t>
      </w:r>
      <w:r>
        <w:rPr>
          <w:spacing w:val="15"/>
          <w:sz w:val="17"/>
        </w:rPr>
        <w:t> </w:t>
      </w:r>
      <w:r>
        <w:rPr>
          <w:sz w:val="17"/>
        </w:rPr>
        <w:t>de</w:t>
      </w:r>
      <w:r>
        <w:rPr>
          <w:spacing w:val="15"/>
          <w:sz w:val="17"/>
        </w:rPr>
        <w:t> </w:t>
      </w:r>
      <w:r>
        <w:rPr>
          <w:sz w:val="17"/>
        </w:rPr>
        <w:t>oosporas</w:t>
      </w:r>
      <w:r>
        <w:rPr>
          <w:spacing w:val="15"/>
          <w:sz w:val="17"/>
        </w:rPr>
        <w:t> </w:t>
      </w:r>
      <w:r>
        <w:rPr>
          <w:sz w:val="17"/>
        </w:rPr>
        <w:t>producidas</w:t>
      </w:r>
      <w:r>
        <w:rPr>
          <w:spacing w:val="15"/>
          <w:sz w:val="17"/>
        </w:rPr>
        <w:t> </w:t>
      </w:r>
      <w:r>
        <w:rPr>
          <w:sz w:val="17"/>
        </w:rPr>
        <w:t>en</w:t>
      </w:r>
      <w:r>
        <w:rPr>
          <w:spacing w:val="15"/>
          <w:sz w:val="17"/>
        </w:rPr>
        <w:t> </w:t>
      </w:r>
      <w:r>
        <w:rPr>
          <w:sz w:val="17"/>
        </w:rPr>
        <w:t>los</w:t>
      </w:r>
    </w:p>
    <w:p>
      <w:pPr>
        <w:pStyle w:val="BodyText"/>
        <w:spacing w:before="6"/>
        <w:rPr>
          <w:rFonts w:ascii="Times New Roman"/>
          <w:sz w:val="10"/>
        </w:rPr>
      </w:pPr>
    </w:p>
    <w:p>
      <w:pPr>
        <w:pStyle w:val="ListParagraph"/>
        <w:numPr>
          <w:ilvl w:val="0"/>
          <w:numId w:val="23"/>
        </w:numPr>
        <w:tabs>
          <w:tab w:pos="1456" w:val="left" w:leader="none"/>
          <w:tab w:pos="1457" w:val="left" w:leader="none"/>
        </w:tabs>
        <w:spacing w:line="240" w:lineRule="auto" w:before="80" w:after="0"/>
        <w:ind w:left="1456" w:right="0" w:hanging="551"/>
        <w:jc w:val="left"/>
        <w:rPr>
          <w:sz w:val="17"/>
        </w:rPr>
      </w:pPr>
      <w:r>
        <w:rPr>
          <w:sz w:val="17"/>
        </w:rPr>
        <w:t>cruzamientos  estrictamente  heterotálicos  (A1  x  A2)  (</w:t>
      </w:r>
      <w:r>
        <w:rPr>
          <w:b/>
          <w:sz w:val="17"/>
        </w:rPr>
        <w:t>Tabla  III</w:t>
      </w:r>
      <w:r>
        <w:rPr>
          <w:sz w:val="17"/>
        </w:rPr>
        <w:t>),  y  lo  esperado  era </w:t>
      </w:r>
      <w:r>
        <w:rPr>
          <w:spacing w:val="35"/>
          <w:sz w:val="17"/>
        </w:rPr>
        <w:t> </w:t>
      </w:r>
      <w:r>
        <w:rPr>
          <w:sz w:val="17"/>
        </w:rPr>
        <w:t>que</w:t>
      </w:r>
    </w:p>
    <w:p>
      <w:pPr>
        <w:pStyle w:val="BodyText"/>
        <w:spacing w:before="6"/>
        <w:rPr>
          <w:rFonts w:ascii="Times New Roman"/>
          <w:sz w:val="10"/>
        </w:rPr>
      </w:pPr>
    </w:p>
    <w:p>
      <w:pPr>
        <w:pStyle w:val="ListParagraph"/>
        <w:numPr>
          <w:ilvl w:val="0"/>
          <w:numId w:val="23"/>
        </w:numPr>
        <w:tabs>
          <w:tab w:pos="1456" w:val="left" w:leader="none"/>
          <w:tab w:pos="1457" w:val="left" w:leader="none"/>
        </w:tabs>
        <w:spacing w:line="240" w:lineRule="auto" w:before="80" w:after="0"/>
        <w:ind w:left="1456" w:right="0" w:hanging="551"/>
        <w:jc w:val="left"/>
        <w:rPr>
          <w:sz w:val="17"/>
        </w:rPr>
      </w:pPr>
      <w:r>
        <w:rPr>
          <w:sz w:val="17"/>
        </w:rPr>
        <w:t>produjeran</w:t>
      </w:r>
      <w:r>
        <w:rPr>
          <w:spacing w:val="13"/>
          <w:sz w:val="17"/>
        </w:rPr>
        <w:t> </w:t>
      </w:r>
      <w:r>
        <w:rPr>
          <w:sz w:val="17"/>
        </w:rPr>
        <w:t>igual</w:t>
      </w:r>
      <w:r>
        <w:rPr>
          <w:spacing w:val="13"/>
          <w:sz w:val="17"/>
        </w:rPr>
        <w:t> </w:t>
      </w:r>
      <w:r>
        <w:rPr>
          <w:sz w:val="17"/>
        </w:rPr>
        <w:t>número</w:t>
      </w:r>
      <w:r>
        <w:rPr>
          <w:spacing w:val="13"/>
          <w:sz w:val="17"/>
        </w:rPr>
        <w:t> </w:t>
      </w:r>
      <w:r>
        <w:rPr>
          <w:sz w:val="17"/>
        </w:rPr>
        <w:t>de</w:t>
      </w:r>
      <w:r>
        <w:rPr>
          <w:spacing w:val="13"/>
          <w:sz w:val="17"/>
        </w:rPr>
        <w:t> </w:t>
      </w:r>
      <w:r>
        <w:rPr>
          <w:sz w:val="17"/>
        </w:rPr>
        <w:t>oosporas,</w:t>
      </w:r>
      <w:r>
        <w:rPr>
          <w:spacing w:val="13"/>
          <w:sz w:val="17"/>
        </w:rPr>
        <w:t> </w:t>
      </w:r>
      <w:r>
        <w:rPr>
          <w:sz w:val="17"/>
        </w:rPr>
        <w:t>como</w:t>
      </w:r>
      <w:r>
        <w:rPr>
          <w:spacing w:val="13"/>
          <w:sz w:val="17"/>
        </w:rPr>
        <w:t> </w:t>
      </w:r>
      <w:r>
        <w:rPr>
          <w:sz w:val="17"/>
        </w:rPr>
        <w:t>sí</w:t>
      </w:r>
      <w:r>
        <w:rPr>
          <w:spacing w:val="13"/>
          <w:sz w:val="17"/>
        </w:rPr>
        <w:t> </w:t>
      </w:r>
      <w:r>
        <w:rPr>
          <w:sz w:val="17"/>
        </w:rPr>
        <w:t>lo</w:t>
      </w:r>
      <w:r>
        <w:rPr>
          <w:spacing w:val="13"/>
          <w:sz w:val="17"/>
        </w:rPr>
        <w:t> </w:t>
      </w:r>
      <w:r>
        <w:rPr>
          <w:sz w:val="17"/>
        </w:rPr>
        <w:t>fue</w:t>
      </w:r>
      <w:r>
        <w:rPr>
          <w:spacing w:val="13"/>
          <w:sz w:val="17"/>
        </w:rPr>
        <w:t> </w:t>
      </w:r>
      <w:r>
        <w:rPr>
          <w:sz w:val="17"/>
        </w:rPr>
        <w:t>el</w:t>
      </w:r>
      <w:r>
        <w:rPr>
          <w:spacing w:val="13"/>
          <w:sz w:val="17"/>
        </w:rPr>
        <w:t> </w:t>
      </w:r>
      <w:r>
        <w:rPr>
          <w:sz w:val="17"/>
        </w:rPr>
        <w:t>número</w:t>
      </w:r>
      <w:r>
        <w:rPr>
          <w:spacing w:val="13"/>
          <w:sz w:val="17"/>
        </w:rPr>
        <w:t> </w:t>
      </w:r>
      <w:r>
        <w:rPr>
          <w:sz w:val="17"/>
        </w:rPr>
        <w:t>de</w:t>
      </w:r>
      <w:r>
        <w:rPr>
          <w:spacing w:val="13"/>
          <w:sz w:val="17"/>
        </w:rPr>
        <w:t> </w:t>
      </w:r>
      <w:r>
        <w:rPr>
          <w:sz w:val="17"/>
        </w:rPr>
        <w:t>oosporas</w:t>
      </w:r>
      <w:r>
        <w:rPr>
          <w:spacing w:val="13"/>
          <w:sz w:val="17"/>
        </w:rPr>
        <w:t> </w:t>
      </w:r>
      <w:r>
        <w:rPr>
          <w:sz w:val="17"/>
        </w:rPr>
        <w:t>producidas</w:t>
      </w:r>
      <w:r>
        <w:rPr>
          <w:spacing w:val="13"/>
          <w:sz w:val="17"/>
        </w:rPr>
        <w:t> </w:t>
      </w:r>
      <w:r>
        <w:rPr>
          <w:sz w:val="17"/>
        </w:rPr>
        <w:t>por</w:t>
      </w:r>
    </w:p>
    <w:p>
      <w:pPr>
        <w:pStyle w:val="BodyText"/>
        <w:spacing w:before="6"/>
        <w:rPr>
          <w:rFonts w:ascii="Times New Roman"/>
          <w:sz w:val="10"/>
        </w:rPr>
      </w:pPr>
    </w:p>
    <w:p>
      <w:pPr>
        <w:pStyle w:val="ListParagraph"/>
        <w:numPr>
          <w:ilvl w:val="0"/>
          <w:numId w:val="23"/>
        </w:numPr>
        <w:tabs>
          <w:tab w:pos="1456" w:val="left" w:leader="none"/>
          <w:tab w:pos="1457" w:val="left" w:leader="none"/>
        </w:tabs>
        <w:spacing w:line="240" w:lineRule="auto" w:before="80" w:after="0"/>
        <w:ind w:left="1456" w:right="0" w:hanging="551"/>
        <w:jc w:val="left"/>
        <w:rPr>
          <w:sz w:val="17"/>
        </w:rPr>
      </w:pPr>
      <w:r>
        <w:rPr>
          <w:sz w:val="17"/>
        </w:rPr>
        <w:t>autofertilización</w:t>
      </w:r>
      <w:r>
        <w:rPr>
          <w:spacing w:val="18"/>
          <w:sz w:val="17"/>
        </w:rPr>
        <w:t> </w:t>
      </w:r>
      <w:r>
        <w:rPr>
          <w:sz w:val="17"/>
        </w:rPr>
        <w:t>de</w:t>
      </w:r>
      <w:r>
        <w:rPr>
          <w:spacing w:val="18"/>
          <w:sz w:val="17"/>
        </w:rPr>
        <w:t> </w:t>
      </w:r>
      <w:r>
        <w:rPr>
          <w:sz w:val="17"/>
        </w:rPr>
        <w:t>los</w:t>
      </w:r>
      <w:r>
        <w:rPr>
          <w:spacing w:val="18"/>
          <w:sz w:val="17"/>
        </w:rPr>
        <w:t> </w:t>
      </w:r>
      <w:r>
        <w:rPr>
          <w:sz w:val="17"/>
        </w:rPr>
        <w:t>aislamientos</w:t>
      </w:r>
      <w:r>
        <w:rPr>
          <w:spacing w:val="18"/>
          <w:sz w:val="17"/>
        </w:rPr>
        <w:t> </w:t>
      </w:r>
      <w:r>
        <w:rPr>
          <w:sz w:val="17"/>
        </w:rPr>
        <w:t>homotálicos.</w:t>
      </w:r>
      <w:r>
        <w:rPr>
          <w:spacing w:val="18"/>
          <w:sz w:val="17"/>
        </w:rPr>
        <w:t> </w:t>
      </w:r>
      <w:r>
        <w:rPr>
          <w:sz w:val="17"/>
        </w:rPr>
        <w:t>Lo</w:t>
      </w:r>
      <w:r>
        <w:rPr>
          <w:spacing w:val="18"/>
          <w:sz w:val="17"/>
        </w:rPr>
        <w:t> </w:t>
      </w:r>
      <w:r>
        <w:rPr>
          <w:sz w:val="17"/>
        </w:rPr>
        <w:t>anterior</w:t>
      </w:r>
      <w:r>
        <w:rPr>
          <w:spacing w:val="18"/>
          <w:sz w:val="17"/>
        </w:rPr>
        <w:t> </w:t>
      </w:r>
      <w:r>
        <w:rPr>
          <w:sz w:val="17"/>
        </w:rPr>
        <w:t>indica</w:t>
      </w:r>
      <w:r>
        <w:rPr>
          <w:spacing w:val="18"/>
          <w:sz w:val="17"/>
        </w:rPr>
        <w:t> </w:t>
      </w:r>
      <w:r>
        <w:rPr>
          <w:sz w:val="17"/>
        </w:rPr>
        <w:t>que</w:t>
      </w:r>
      <w:r>
        <w:rPr>
          <w:spacing w:val="18"/>
          <w:sz w:val="17"/>
        </w:rPr>
        <w:t> </w:t>
      </w:r>
      <w:r>
        <w:rPr>
          <w:sz w:val="17"/>
        </w:rPr>
        <w:t>las</w:t>
      </w:r>
      <w:r>
        <w:rPr>
          <w:spacing w:val="18"/>
          <w:sz w:val="17"/>
        </w:rPr>
        <w:t> </w:t>
      </w:r>
      <w:r>
        <w:rPr>
          <w:sz w:val="17"/>
        </w:rPr>
        <w:t>poblaciones</w:t>
      </w:r>
      <w:r>
        <w:rPr>
          <w:spacing w:val="18"/>
          <w:sz w:val="17"/>
        </w:rPr>
        <w:t> </w:t>
      </w:r>
      <w:r>
        <w:rPr>
          <w:sz w:val="17"/>
        </w:rPr>
        <w:t>de</w:t>
      </w:r>
    </w:p>
    <w:p>
      <w:pPr>
        <w:pStyle w:val="BodyText"/>
        <w:spacing w:before="6"/>
        <w:rPr>
          <w:rFonts w:ascii="Times New Roman"/>
          <w:sz w:val="10"/>
        </w:rPr>
      </w:pPr>
    </w:p>
    <w:p>
      <w:pPr>
        <w:pStyle w:val="ListParagraph"/>
        <w:numPr>
          <w:ilvl w:val="0"/>
          <w:numId w:val="23"/>
        </w:numPr>
        <w:tabs>
          <w:tab w:pos="1456" w:val="left" w:leader="none"/>
          <w:tab w:pos="1457" w:val="left" w:leader="none"/>
        </w:tabs>
        <w:spacing w:line="240" w:lineRule="auto" w:before="80" w:after="0"/>
        <w:ind w:left="1456" w:right="0" w:hanging="551"/>
        <w:jc w:val="left"/>
        <w:rPr>
          <w:sz w:val="17"/>
        </w:rPr>
      </w:pPr>
      <w:r>
        <w:rPr>
          <w:i/>
          <w:sz w:val="17"/>
        </w:rPr>
        <w:t>P. infestans </w:t>
      </w:r>
      <w:r>
        <w:rPr>
          <w:sz w:val="17"/>
        </w:rPr>
        <w:t>con homotálicos probablemente producen mayor cantidad de oosporas que   </w:t>
      </w:r>
      <w:r>
        <w:rPr>
          <w:spacing w:val="18"/>
          <w:sz w:val="17"/>
        </w:rPr>
        <w:t> </w:t>
      </w:r>
      <w:r>
        <w:rPr>
          <w:sz w:val="17"/>
        </w:rPr>
        <w:t>una</w:t>
      </w:r>
    </w:p>
    <w:p>
      <w:pPr>
        <w:pStyle w:val="BodyText"/>
        <w:spacing w:before="6"/>
        <w:rPr>
          <w:rFonts w:ascii="Times New Roman"/>
          <w:sz w:val="10"/>
        </w:rPr>
      </w:pPr>
    </w:p>
    <w:p>
      <w:pPr>
        <w:pStyle w:val="ListParagraph"/>
        <w:numPr>
          <w:ilvl w:val="0"/>
          <w:numId w:val="23"/>
        </w:numPr>
        <w:tabs>
          <w:tab w:pos="1456" w:val="left" w:leader="none"/>
          <w:tab w:pos="1457" w:val="left" w:leader="none"/>
        </w:tabs>
        <w:spacing w:line="240" w:lineRule="auto" w:before="80" w:after="0"/>
        <w:ind w:left="1456" w:right="0" w:hanging="551"/>
        <w:jc w:val="left"/>
        <w:rPr>
          <w:sz w:val="17"/>
        </w:rPr>
      </w:pPr>
      <w:r>
        <w:rPr>
          <w:sz w:val="17"/>
        </w:rPr>
        <w:t>población donde sólo se encuentran cepas  </w:t>
      </w:r>
      <w:r>
        <w:rPr>
          <w:spacing w:val="8"/>
          <w:sz w:val="17"/>
        </w:rPr>
        <w:t> </w:t>
      </w:r>
      <w:r>
        <w:rPr>
          <w:sz w:val="17"/>
        </w:rPr>
        <w:t>heterotálicas.</w:t>
      </w:r>
    </w:p>
    <w:p>
      <w:pPr>
        <w:pStyle w:val="BodyText"/>
        <w:spacing w:before="5"/>
        <w:rPr>
          <w:rFonts w:ascii="Times New Roman"/>
          <w:sz w:val="17"/>
        </w:rPr>
      </w:pPr>
    </w:p>
    <w:p>
      <w:pPr>
        <w:pStyle w:val="ListParagraph"/>
        <w:numPr>
          <w:ilvl w:val="0"/>
          <w:numId w:val="23"/>
        </w:numPr>
        <w:tabs>
          <w:tab w:pos="1199" w:val="left" w:leader="none"/>
        </w:tabs>
        <w:spacing w:line="240" w:lineRule="auto" w:before="1" w:after="0"/>
        <w:ind w:left="1198" w:right="0" w:hanging="293"/>
        <w:jc w:val="left"/>
        <w:rPr>
          <w:rFonts w:ascii="Cambria"/>
          <w:sz w:val="17"/>
        </w:rPr>
      </w:pPr>
    </w:p>
    <w:p>
      <w:pPr>
        <w:pStyle w:val="BodyText"/>
        <w:spacing w:before="4"/>
        <w:rPr>
          <w:rFonts w:ascii="Cambria"/>
          <w:sz w:val="10"/>
        </w:rPr>
      </w:pPr>
    </w:p>
    <w:p>
      <w:pPr>
        <w:pStyle w:val="ListParagraph"/>
        <w:numPr>
          <w:ilvl w:val="0"/>
          <w:numId w:val="23"/>
        </w:numPr>
        <w:tabs>
          <w:tab w:pos="1456" w:val="left" w:leader="none"/>
          <w:tab w:pos="1457" w:val="left" w:leader="none"/>
        </w:tabs>
        <w:spacing w:line="240" w:lineRule="auto" w:before="80" w:after="0"/>
        <w:ind w:left="1456" w:right="0" w:hanging="551"/>
        <w:jc w:val="left"/>
        <w:rPr>
          <w:sz w:val="17"/>
        </w:rPr>
      </w:pPr>
      <w:r>
        <w:rPr>
          <w:sz w:val="17"/>
        </w:rPr>
        <w:t>La  presencia  de  cepas  homotálicas  de  </w:t>
      </w:r>
      <w:r>
        <w:rPr>
          <w:i/>
          <w:sz w:val="17"/>
        </w:rPr>
        <w:t>P.  infestans  </w:t>
      </w:r>
      <w:r>
        <w:rPr>
          <w:sz w:val="17"/>
        </w:rPr>
        <w:t>no  se  limita  al  Valle  de      </w:t>
      </w:r>
      <w:r>
        <w:rPr>
          <w:spacing w:val="39"/>
          <w:sz w:val="17"/>
        </w:rPr>
        <w:t> </w:t>
      </w:r>
      <w:r>
        <w:rPr>
          <w:sz w:val="17"/>
        </w:rPr>
        <w:t>Toluca,</w:t>
      </w:r>
    </w:p>
    <w:p>
      <w:pPr>
        <w:pStyle w:val="BodyText"/>
        <w:spacing w:before="6"/>
        <w:rPr>
          <w:rFonts w:ascii="Times New Roman"/>
          <w:sz w:val="10"/>
        </w:rPr>
      </w:pPr>
    </w:p>
    <w:p>
      <w:pPr>
        <w:pStyle w:val="ListParagraph"/>
        <w:numPr>
          <w:ilvl w:val="0"/>
          <w:numId w:val="23"/>
        </w:numPr>
        <w:tabs>
          <w:tab w:pos="1456" w:val="left" w:leader="none"/>
          <w:tab w:pos="1457" w:val="left" w:leader="none"/>
        </w:tabs>
        <w:spacing w:line="240" w:lineRule="auto" w:before="80" w:after="0"/>
        <w:ind w:left="1456" w:right="0" w:hanging="551"/>
        <w:jc w:val="left"/>
        <w:rPr>
          <w:sz w:val="17"/>
        </w:rPr>
      </w:pPr>
      <w:r>
        <w:rPr>
          <w:sz w:val="17"/>
        </w:rPr>
        <w:t>recientemente,   Alarcón   </w:t>
      </w:r>
      <w:r>
        <w:rPr>
          <w:i/>
          <w:sz w:val="17"/>
        </w:rPr>
        <w:t>et  al.,   </w:t>
      </w:r>
      <w:r>
        <w:rPr>
          <w:sz w:val="17"/>
        </w:rPr>
        <w:t>(2013)   determinaron   el   tipo   de   apareamiento   de</w:t>
      </w:r>
      <w:r>
        <w:rPr>
          <w:spacing w:val="23"/>
          <w:sz w:val="17"/>
        </w:rPr>
        <w:t> </w:t>
      </w:r>
      <w:r>
        <w:rPr>
          <w:sz w:val="17"/>
        </w:rPr>
        <w:t>una</w:t>
      </w:r>
    </w:p>
    <w:p>
      <w:pPr>
        <w:pStyle w:val="BodyText"/>
        <w:spacing w:before="6"/>
        <w:rPr>
          <w:rFonts w:ascii="Times New Roman"/>
          <w:sz w:val="10"/>
        </w:rPr>
      </w:pPr>
    </w:p>
    <w:p>
      <w:pPr>
        <w:pStyle w:val="ListParagraph"/>
        <w:numPr>
          <w:ilvl w:val="0"/>
          <w:numId w:val="23"/>
        </w:numPr>
        <w:tabs>
          <w:tab w:pos="1456" w:val="left" w:leader="none"/>
          <w:tab w:pos="1457" w:val="left" w:leader="none"/>
        </w:tabs>
        <w:spacing w:line="240" w:lineRule="auto" w:before="80" w:after="0"/>
        <w:ind w:left="1456" w:right="0" w:hanging="551"/>
        <w:jc w:val="left"/>
        <w:rPr>
          <w:sz w:val="17"/>
        </w:rPr>
      </w:pPr>
      <w:r>
        <w:rPr>
          <w:sz w:val="17"/>
        </w:rPr>
        <w:t>población  de  88  aislamientos  de  </w:t>
      </w:r>
      <w:r>
        <w:rPr>
          <w:i/>
          <w:sz w:val="17"/>
        </w:rPr>
        <w:t>P. infestans  </w:t>
      </w:r>
      <w:r>
        <w:rPr>
          <w:sz w:val="17"/>
        </w:rPr>
        <w:t>obtenidos  de  cultivo  de  papa  en</w:t>
      </w:r>
      <w:r>
        <w:rPr>
          <w:spacing w:val="-13"/>
          <w:sz w:val="17"/>
        </w:rPr>
        <w:t> </w:t>
      </w:r>
      <w:r>
        <w:rPr>
          <w:sz w:val="17"/>
        </w:rPr>
        <w:t>Chapingo,</w:t>
      </w:r>
    </w:p>
    <w:p>
      <w:pPr>
        <w:pStyle w:val="BodyText"/>
        <w:spacing w:before="6"/>
        <w:rPr>
          <w:rFonts w:ascii="Times New Roman"/>
          <w:sz w:val="10"/>
        </w:rPr>
      </w:pPr>
    </w:p>
    <w:p>
      <w:pPr>
        <w:pStyle w:val="ListParagraph"/>
        <w:numPr>
          <w:ilvl w:val="0"/>
          <w:numId w:val="23"/>
        </w:numPr>
        <w:tabs>
          <w:tab w:pos="1456" w:val="left" w:leader="none"/>
          <w:tab w:pos="1457" w:val="left" w:leader="none"/>
        </w:tabs>
        <w:spacing w:line="240" w:lineRule="auto" w:before="80" w:after="0"/>
        <w:ind w:left="1456" w:right="0" w:hanging="551"/>
        <w:jc w:val="left"/>
        <w:rPr>
          <w:sz w:val="17"/>
        </w:rPr>
      </w:pPr>
      <w:r>
        <w:rPr>
          <w:sz w:val="17"/>
        </w:rPr>
        <w:t>Estado</w:t>
      </w:r>
      <w:r>
        <w:rPr>
          <w:spacing w:val="25"/>
          <w:sz w:val="17"/>
        </w:rPr>
        <w:t> </w:t>
      </w:r>
      <w:r>
        <w:rPr>
          <w:sz w:val="17"/>
        </w:rPr>
        <w:t>de</w:t>
      </w:r>
      <w:r>
        <w:rPr>
          <w:spacing w:val="25"/>
          <w:sz w:val="17"/>
        </w:rPr>
        <w:t> </w:t>
      </w:r>
      <w:r>
        <w:rPr>
          <w:sz w:val="17"/>
        </w:rPr>
        <w:t>México</w:t>
      </w:r>
      <w:r>
        <w:rPr>
          <w:spacing w:val="25"/>
          <w:sz w:val="17"/>
        </w:rPr>
        <w:t> </w:t>
      </w:r>
      <w:r>
        <w:rPr>
          <w:sz w:val="17"/>
        </w:rPr>
        <w:t>(Mx),</w:t>
      </w:r>
      <w:r>
        <w:rPr>
          <w:spacing w:val="25"/>
          <w:sz w:val="17"/>
        </w:rPr>
        <w:t> </w:t>
      </w:r>
      <w:r>
        <w:rPr>
          <w:sz w:val="17"/>
        </w:rPr>
        <w:t>donde</w:t>
      </w:r>
      <w:r>
        <w:rPr>
          <w:spacing w:val="25"/>
          <w:sz w:val="17"/>
        </w:rPr>
        <w:t> </w:t>
      </w:r>
      <w:r>
        <w:rPr>
          <w:sz w:val="17"/>
        </w:rPr>
        <w:t>predominó</w:t>
      </w:r>
      <w:r>
        <w:rPr>
          <w:spacing w:val="25"/>
          <w:sz w:val="17"/>
        </w:rPr>
        <w:t> </w:t>
      </w:r>
      <w:r>
        <w:rPr>
          <w:sz w:val="17"/>
        </w:rPr>
        <w:t>la</w:t>
      </w:r>
      <w:r>
        <w:rPr>
          <w:spacing w:val="25"/>
          <w:sz w:val="17"/>
        </w:rPr>
        <w:t> </w:t>
      </w:r>
      <w:r>
        <w:rPr>
          <w:sz w:val="17"/>
        </w:rPr>
        <w:t>población</w:t>
      </w:r>
      <w:r>
        <w:rPr>
          <w:spacing w:val="25"/>
          <w:sz w:val="17"/>
        </w:rPr>
        <w:t> </w:t>
      </w:r>
      <w:r>
        <w:rPr>
          <w:sz w:val="17"/>
        </w:rPr>
        <w:t>homotálica</w:t>
      </w:r>
      <w:r>
        <w:rPr>
          <w:spacing w:val="25"/>
          <w:sz w:val="17"/>
        </w:rPr>
        <w:t> </w:t>
      </w:r>
      <w:r>
        <w:rPr>
          <w:sz w:val="17"/>
        </w:rPr>
        <w:t>con</w:t>
      </w:r>
      <w:r>
        <w:rPr>
          <w:spacing w:val="25"/>
          <w:sz w:val="17"/>
        </w:rPr>
        <w:t> </w:t>
      </w:r>
      <w:r>
        <w:rPr>
          <w:sz w:val="17"/>
        </w:rPr>
        <w:t>una</w:t>
      </w:r>
      <w:r>
        <w:rPr>
          <w:spacing w:val="25"/>
          <w:sz w:val="17"/>
        </w:rPr>
        <w:t> </w:t>
      </w:r>
      <w:r>
        <w:rPr>
          <w:sz w:val="17"/>
        </w:rPr>
        <w:t>frecuencia</w:t>
      </w:r>
      <w:r>
        <w:rPr>
          <w:spacing w:val="25"/>
          <w:sz w:val="17"/>
        </w:rPr>
        <w:t> </w:t>
      </w:r>
      <w:r>
        <w:rPr>
          <w:sz w:val="17"/>
        </w:rPr>
        <w:t>de</w:t>
      </w:r>
    </w:p>
    <w:p>
      <w:pPr>
        <w:pStyle w:val="BodyText"/>
        <w:spacing w:before="6"/>
        <w:rPr>
          <w:rFonts w:ascii="Times New Roman"/>
          <w:sz w:val="10"/>
        </w:rPr>
      </w:pPr>
    </w:p>
    <w:p>
      <w:pPr>
        <w:pStyle w:val="ListParagraph"/>
        <w:numPr>
          <w:ilvl w:val="0"/>
          <w:numId w:val="23"/>
        </w:numPr>
        <w:tabs>
          <w:tab w:pos="1456" w:val="left" w:leader="none"/>
          <w:tab w:pos="1457" w:val="left" w:leader="none"/>
        </w:tabs>
        <w:spacing w:line="240" w:lineRule="auto" w:before="80" w:after="0"/>
        <w:ind w:left="1456" w:right="0" w:hanging="551"/>
        <w:jc w:val="left"/>
        <w:rPr>
          <w:i/>
          <w:sz w:val="17"/>
        </w:rPr>
      </w:pPr>
      <w:r>
        <w:rPr>
          <w:sz w:val="17"/>
        </w:rPr>
        <w:t>0.761,</w:t>
      </w:r>
      <w:r>
        <w:rPr>
          <w:spacing w:val="10"/>
          <w:sz w:val="17"/>
        </w:rPr>
        <w:t> </w:t>
      </w:r>
      <w:r>
        <w:rPr>
          <w:sz w:val="17"/>
        </w:rPr>
        <w:t>y</w:t>
      </w:r>
      <w:r>
        <w:rPr>
          <w:spacing w:val="10"/>
          <w:sz w:val="17"/>
        </w:rPr>
        <w:t> </w:t>
      </w:r>
      <w:r>
        <w:rPr>
          <w:sz w:val="17"/>
        </w:rPr>
        <w:t>las</w:t>
      </w:r>
      <w:r>
        <w:rPr>
          <w:spacing w:val="10"/>
          <w:sz w:val="17"/>
        </w:rPr>
        <w:t> </w:t>
      </w:r>
      <w:r>
        <w:rPr>
          <w:sz w:val="17"/>
        </w:rPr>
        <w:t>frecuencias</w:t>
      </w:r>
      <w:r>
        <w:rPr>
          <w:spacing w:val="10"/>
          <w:sz w:val="17"/>
        </w:rPr>
        <w:t> </w:t>
      </w:r>
      <w:r>
        <w:rPr>
          <w:sz w:val="17"/>
        </w:rPr>
        <w:t>de</w:t>
      </w:r>
      <w:r>
        <w:rPr>
          <w:spacing w:val="10"/>
          <w:sz w:val="17"/>
        </w:rPr>
        <w:t> </w:t>
      </w:r>
      <w:r>
        <w:rPr>
          <w:sz w:val="17"/>
        </w:rPr>
        <w:t>los</w:t>
      </w:r>
      <w:r>
        <w:rPr>
          <w:spacing w:val="10"/>
          <w:sz w:val="17"/>
        </w:rPr>
        <w:t> </w:t>
      </w:r>
      <w:r>
        <w:rPr>
          <w:sz w:val="17"/>
        </w:rPr>
        <w:t>tipos</w:t>
      </w:r>
      <w:r>
        <w:rPr>
          <w:spacing w:val="10"/>
          <w:sz w:val="17"/>
        </w:rPr>
        <w:t> </w:t>
      </w:r>
      <w:r>
        <w:rPr>
          <w:sz w:val="17"/>
        </w:rPr>
        <w:t>A1</w:t>
      </w:r>
      <w:r>
        <w:rPr>
          <w:spacing w:val="10"/>
          <w:sz w:val="17"/>
        </w:rPr>
        <w:t> </w:t>
      </w:r>
      <w:r>
        <w:rPr>
          <w:sz w:val="17"/>
        </w:rPr>
        <w:t>y</w:t>
      </w:r>
      <w:r>
        <w:rPr>
          <w:spacing w:val="10"/>
          <w:sz w:val="17"/>
        </w:rPr>
        <w:t> </w:t>
      </w:r>
      <w:r>
        <w:rPr>
          <w:sz w:val="17"/>
        </w:rPr>
        <w:t>A2</w:t>
      </w:r>
      <w:r>
        <w:rPr>
          <w:spacing w:val="10"/>
          <w:sz w:val="17"/>
        </w:rPr>
        <w:t> </w:t>
      </w:r>
      <w:r>
        <w:rPr>
          <w:sz w:val="17"/>
        </w:rPr>
        <w:t>fueron</w:t>
      </w:r>
      <w:r>
        <w:rPr>
          <w:spacing w:val="10"/>
          <w:sz w:val="17"/>
        </w:rPr>
        <w:t> </w:t>
      </w:r>
      <w:r>
        <w:rPr>
          <w:sz w:val="17"/>
        </w:rPr>
        <w:t>0.125</w:t>
      </w:r>
      <w:r>
        <w:rPr>
          <w:spacing w:val="10"/>
          <w:sz w:val="17"/>
        </w:rPr>
        <w:t> </w:t>
      </w:r>
      <w:r>
        <w:rPr>
          <w:sz w:val="17"/>
        </w:rPr>
        <w:t>y</w:t>
      </w:r>
      <w:r>
        <w:rPr>
          <w:spacing w:val="10"/>
          <w:sz w:val="17"/>
        </w:rPr>
        <w:t> </w:t>
      </w:r>
      <w:r>
        <w:rPr>
          <w:sz w:val="17"/>
        </w:rPr>
        <w:t>0.114,</w:t>
      </w:r>
      <w:r>
        <w:rPr>
          <w:spacing w:val="10"/>
          <w:sz w:val="17"/>
        </w:rPr>
        <w:t> </w:t>
      </w:r>
      <w:r>
        <w:rPr>
          <w:sz w:val="17"/>
        </w:rPr>
        <w:t>respectivamente.</w:t>
      </w:r>
      <w:r>
        <w:rPr>
          <w:spacing w:val="10"/>
          <w:sz w:val="17"/>
        </w:rPr>
        <w:t> </w:t>
      </w:r>
      <w:r>
        <w:rPr>
          <w:sz w:val="17"/>
        </w:rPr>
        <w:t>Han</w:t>
      </w:r>
      <w:r>
        <w:rPr>
          <w:spacing w:val="10"/>
          <w:sz w:val="17"/>
        </w:rPr>
        <w:t> </w:t>
      </w:r>
      <w:r>
        <w:rPr>
          <w:i/>
          <w:sz w:val="17"/>
        </w:rPr>
        <w:t>et</w:t>
      </w:r>
    </w:p>
    <w:p>
      <w:pPr>
        <w:pStyle w:val="BodyText"/>
        <w:spacing w:before="6"/>
        <w:rPr>
          <w:rFonts w:ascii="Times New Roman"/>
          <w:i/>
          <w:sz w:val="10"/>
        </w:rPr>
      </w:pPr>
    </w:p>
    <w:p>
      <w:pPr>
        <w:pStyle w:val="ListParagraph"/>
        <w:numPr>
          <w:ilvl w:val="0"/>
          <w:numId w:val="23"/>
        </w:numPr>
        <w:tabs>
          <w:tab w:pos="1456" w:val="left" w:leader="none"/>
          <w:tab w:pos="1457" w:val="left" w:leader="none"/>
        </w:tabs>
        <w:spacing w:line="240" w:lineRule="auto" w:before="80" w:after="0"/>
        <w:ind w:left="1456" w:right="0" w:hanging="551"/>
        <w:jc w:val="left"/>
        <w:rPr>
          <w:sz w:val="17"/>
        </w:rPr>
      </w:pPr>
      <w:r>
        <w:rPr>
          <w:i/>
          <w:sz w:val="17"/>
        </w:rPr>
        <w:t>al.,</w:t>
      </w:r>
      <w:r>
        <w:rPr>
          <w:i/>
          <w:spacing w:val="10"/>
          <w:sz w:val="17"/>
        </w:rPr>
        <w:t> </w:t>
      </w:r>
      <w:r>
        <w:rPr>
          <w:sz w:val="17"/>
        </w:rPr>
        <w:t>(2013)</w:t>
      </w:r>
      <w:r>
        <w:rPr>
          <w:spacing w:val="10"/>
          <w:sz w:val="17"/>
        </w:rPr>
        <w:t> </w:t>
      </w:r>
      <w:r>
        <w:rPr>
          <w:sz w:val="17"/>
        </w:rPr>
        <w:t>estudiaron</w:t>
      </w:r>
      <w:r>
        <w:rPr>
          <w:spacing w:val="10"/>
          <w:sz w:val="17"/>
        </w:rPr>
        <w:t> </w:t>
      </w:r>
      <w:r>
        <w:rPr>
          <w:sz w:val="17"/>
        </w:rPr>
        <w:t>una</w:t>
      </w:r>
      <w:r>
        <w:rPr>
          <w:spacing w:val="10"/>
          <w:sz w:val="17"/>
        </w:rPr>
        <w:t> </w:t>
      </w:r>
      <w:r>
        <w:rPr>
          <w:sz w:val="17"/>
        </w:rPr>
        <w:t>población</w:t>
      </w:r>
      <w:r>
        <w:rPr>
          <w:spacing w:val="10"/>
          <w:sz w:val="17"/>
        </w:rPr>
        <w:t> </w:t>
      </w:r>
      <w:r>
        <w:rPr>
          <w:sz w:val="17"/>
        </w:rPr>
        <w:t>de</w:t>
      </w:r>
      <w:r>
        <w:rPr>
          <w:spacing w:val="10"/>
          <w:sz w:val="17"/>
        </w:rPr>
        <w:t> </w:t>
      </w:r>
      <w:r>
        <w:rPr>
          <w:sz w:val="17"/>
        </w:rPr>
        <w:t>85</w:t>
      </w:r>
      <w:r>
        <w:rPr>
          <w:spacing w:val="10"/>
          <w:sz w:val="17"/>
        </w:rPr>
        <w:t> </w:t>
      </w:r>
      <w:r>
        <w:rPr>
          <w:sz w:val="17"/>
        </w:rPr>
        <w:t>aislamientos</w:t>
      </w:r>
      <w:r>
        <w:rPr>
          <w:spacing w:val="10"/>
          <w:sz w:val="17"/>
        </w:rPr>
        <w:t> </w:t>
      </w:r>
      <w:r>
        <w:rPr>
          <w:sz w:val="17"/>
        </w:rPr>
        <w:t>de</w:t>
      </w:r>
      <w:r>
        <w:rPr>
          <w:spacing w:val="10"/>
          <w:sz w:val="17"/>
        </w:rPr>
        <w:t> </w:t>
      </w:r>
      <w:r>
        <w:rPr>
          <w:i/>
          <w:sz w:val="17"/>
        </w:rPr>
        <w:t>P.</w:t>
      </w:r>
      <w:r>
        <w:rPr>
          <w:i/>
          <w:spacing w:val="7"/>
          <w:sz w:val="17"/>
        </w:rPr>
        <w:t> </w:t>
      </w:r>
      <w:r>
        <w:rPr>
          <w:i/>
          <w:sz w:val="17"/>
        </w:rPr>
        <w:t>infestans</w:t>
      </w:r>
      <w:r>
        <w:rPr>
          <w:i/>
          <w:spacing w:val="10"/>
          <w:sz w:val="17"/>
        </w:rPr>
        <w:t> </w:t>
      </w:r>
      <w:r>
        <w:rPr>
          <w:sz w:val="17"/>
        </w:rPr>
        <w:t>obtenidos</w:t>
      </w:r>
      <w:r>
        <w:rPr>
          <w:spacing w:val="10"/>
          <w:sz w:val="17"/>
        </w:rPr>
        <w:t> </w:t>
      </w:r>
      <w:r>
        <w:rPr>
          <w:sz w:val="17"/>
        </w:rPr>
        <w:t>de</w:t>
      </w:r>
      <w:r>
        <w:rPr>
          <w:spacing w:val="10"/>
          <w:sz w:val="17"/>
        </w:rPr>
        <w:t> </w:t>
      </w:r>
      <w:r>
        <w:rPr>
          <w:sz w:val="17"/>
        </w:rPr>
        <w:t>cultivo</w:t>
      </w:r>
    </w:p>
    <w:p>
      <w:pPr>
        <w:pStyle w:val="BodyText"/>
        <w:spacing w:before="6"/>
        <w:rPr>
          <w:rFonts w:ascii="Times New Roman"/>
          <w:sz w:val="10"/>
        </w:rPr>
      </w:pPr>
    </w:p>
    <w:p>
      <w:pPr>
        <w:pStyle w:val="ListParagraph"/>
        <w:numPr>
          <w:ilvl w:val="0"/>
          <w:numId w:val="23"/>
        </w:numPr>
        <w:tabs>
          <w:tab w:pos="1456" w:val="left" w:leader="none"/>
          <w:tab w:pos="1457" w:val="left" w:leader="none"/>
        </w:tabs>
        <w:spacing w:line="240" w:lineRule="auto" w:before="80" w:after="0"/>
        <w:ind w:left="1456" w:right="0" w:hanging="551"/>
        <w:jc w:val="left"/>
        <w:rPr>
          <w:sz w:val="17"/>
        </w:rPr>
      </w:pPr>
      <w:r>
        <w:rPr>
          <w:sz w:val="17"/>
        </w:rPr>
        <w:t>de</w:t>
      </w:r>
      <w:r>
        <w:rPr>
          <w:spacing w:val="20"/>
          <w:sz w:val="17"/>
        </w:rPr>
        <w:t> </w:t>
      </w:r>
      <w:r>
        <w:rPr>
          <w:sz w:val="17"/>
        </w:rPr>
        <w:t>papa</w:t>
      </w:r>
      <w:r>
        <w:rPr>
          <w:spacing w:val="20"/>
          <w:sz w:val="17"/>
        </w:rPr>
        <w:t> </w:t>
      </w:r>
      <w:r>
        <w:rPr>
          <w:sz w:val="17"/>
        </w:rPr>
        <w:t>en</w:t>
      </w:r>
      <w:r>
        <w:rPr>
          <w:spacing w:val="20"/>
          <w:sz w:val="17"/>
        </w:rPr>
        <w:t> </w:t>
      </w:r>
      <w:r>
        <w:rPr>
          <w:sz w:val="17"/>
        </w:rPr>
        <w:t>la</w:t>
      </w:r>
      <w:r>
        <w:rPr>
          <w:spacing w:val="20"/>
          <w:sz w:val="17"/>
        </w:rPr>
        <w:t> </w:t>
      </w:r>
      <w:r>
        <w:rPr>
          <w:sz w:val="17"/>
        </w:rPr>
        <w:t>Provincia</w:t>
      </w:r>
      <w:r>
        <w:rPr>
          <w:spacing w:val="20"/>
          <w:sz w:val="17"/>
        </w:rPr>
        <w:t> </w:t>
      </w:r>
      <w:r>
        <w:rPr>
          <w:sz w:val="17"/>
        </w:rPr>
        <w:t>de</w:t>
      </w:r>
      <w:r>
        <w:rPr>
          <w:spacing w:val="20"/>
          <w:sz w:val="17"/>
        </w:rPr>
        <w:t> </w:t>
      </w:r>
      <w:r>
        <w:rPr>
          <w:sz w:val="17"/>
        </w:rPr>
        <w:t>Gansu</w:t>
      </w:r>
      <w:r>
        <w:rPr>
          <w:spacing w:val="20"/>
          <w:sz w:val="17"/>
        </w:rPr>
        <w:t> </w:t>
      </w:r>
      <w:r>
        <w:rPr>
          <w:sz w:val="17"/>
        </w:rPr>
        <w:t>(China),</w:t>
      </w:r>
      <w:r>
        <w:rPr>
          <w:spacing w:val="20"/>
          <w:sz w:val="17"/>
        </w:rPr>
        <w:t> </w:t>
      </w:r>
      <w:r>
        <w:rPr>
          <w:sz w:val="17"/>
        </w:rPr>
        <w:t>donde</w:t>
      </w:r>
      <w:r>
        <w:rPr>
          <w:spacing w:val="20"/>
          <w:sz w:val="17"/>
        </w:rPr>
        <w:t> </w:t>
      </w:r>
      <w:r>
        <w:rPr>
          <w:sz w:val="17"/>
        </w:rPr>
        <w:t>encontraron</w:t>
      </w:r>
      <w:r>
        <w:rPr>
          <w:spacing w:val="20"/>
          <w:sz w:val="17"/>
        </w:rPr>
        <w:t> </w:t>
      </w:r>
      <w:r>
        <w:rPr>
          <w:sz w:val="17"/>
        </w:rPr>
        <w:t>15</w:t>
      </w:r>
      <w:r>
        <w:rPr>
          <w:spacing w:val="20"/>
          <w:sz w:val="17"/>
        </w:rPr>
        <w:t> </w:t>
      </w:r>
      <w:r>
        <w:rPr>
          <w:sz w:val="17"/>
        </w:rPr>
        <w:t>aislamientos</w:t>
      </w:r>
      <w:r>
        <w:rPr>
          <w:spacing w:val="20"/>
          <w:sz w:val="17"/>
        </w:rPr>
        <w:t> </w:t>
      </w:r>
      <w:r>
        <w:rPr>
          <w:sz w:val="17"/>
        </w:rPr>
        <w:t>homotálicos</w:t>
      </w:r>
    </w:p>
    <w:p>
      <w:pPr>
        <w:pStyle w:val="BodyText"/>
        <w:spacing w:before="6"/>
        <w:rPr>
          <w:rFonts w:ascii="Times New Roman"/>
          <w:sz w:val="10"/>
        </w:rPr>
      </w:pPr>
    </w:p>
    <w:p>
      <w:pPr>
        <w:pStyle w:val="ListParagraph"/>
        <w:numPr>
          <w:ilvl w:val="0"/>
          <w:numId w:val="23"/>
        </w:numPr>
        <w:tabs>
          <w:tab w:pos="1456" w:val="left" w:leader="none"/>
          <w:tab w:pos="1457" w:val="left" w:leader="none"/>
        </w:tabs>
        <w:spacing w:line="240" w:lineRule="auto" w:before="80" w:after="0"/>
        <w:ind w:left="1456" w:right="0" w:hanging="551"/>
        <w:jc w:val="left"/>
        <w:rPr>
          <w:sz w:val="17"/>
        </w:rPr>
      </w:pPr>
      <w:r>
        <w:rPr>
          <w:sz w:val="17"/>
        </w:rPr>
        <w:t>y  70  del  tipo  A1.  Fernández  </w:t>
      </w:r>
      <w:r>
        <w:rPr>
          <w:i/>
          <w:sz w:val="17"/>
        </w:rPr>
        <w:t>et al</w:t>
      </w:r>
      <w:r>
        <w:rPr>
          <w:sz w:val="17"/>
        </w:rPr>
        <w:t>.,  (2005)  estudiaron  una  población  de  27</w:t>
      </w:r>
      <w:r>
        <w:rPr>
          <w:spacing w:val="22"/>
          <w:sz w:val="17"/>
        </w:rPr>
        <w:t> </w:t>
      </w:r>
      <w:r>
        <w:rPr>
          <w:sz w:val="17"/>
        </w:rPr>
        <w:t>aislamientos</w:t>
      </w:r>
    </w:p>
    <w:p>
      <w:pPr>
        <w:pStyle w:val="BodyText"/>
        <w:spacing w:before="6"/>
        <w:rPr>
          <w:rFonts w:ascii="Times New Roman"/>
          <w:sz w:val="10"/>
        </w:rPr>
      </w:pPr>
    </w:p>
    <w:p>
      <w:pPr>
        <w:pStyle w:val="ListParagraph"/>
        <w:numPr>
          <w:ilvl w:val="0"/>
          <w:numId w:val="23"/>
        </w:numPr>
        <w:tabs>
          <w:tab w:pos="1456" w:val="left" w:leader="none"/>
          <w:tab w:pos="1457" w:val="left" w:leader="none"/>
        </w:tabs>
        <w:spacing w:line="240" w:lineRule="auto" w:before="80" w:after="0"/>
        <w:ind w:left="1456" w:right="0" w:hanging="551"/>
        <w:jc w:val="left"/>
        <w:rPr>
          <w:sz w:val="17"/>
        </w:rPr>
      </w:pPr>
      <w:r>
        <w:rPr>
          <w:sz w:val="17"/>
        </w:rPr>
        <w:t>obtenidos</w:t>
      </w:r>
      <w:r>
        <w:rPr>
          <w:spacing w:val="32"/>
          <w:sz w:val="17"/>
        </w:rPr>
        <w:t> </w:t>
      </w:r>
      <w:r>
        <w:rPr>
          <w:sz w:val="17"/>
        </w:rPr>
        <w:t>de</w:t>
      </w:r>
      <w:r>
        <w:rPr>
          <w:spacing w:val="32"/>
          <w:sz w:val="17"/>
        </w:rPr>
        <w:t> </w:t>
      </w:r>
      <w:r>
        <w:rPr>
          <w:sz w:val="17"/>
        </w:rPr>
        <w:t>cultivo</w:t>
      </w:r>
      <w:r>
        <w:rPr>
          <w:spacing w:val="32"/>
          <w:sz w:val="17"/>
        </w:rPr>
        <w:t> </w:t>
      </w:r>
      <w:r>
        <w:rPr>
          <w:sz w:val="17"/>
        </w:rPr>
        <w:t>de</w:t>
      </w:r>
      <w:r>
        <w:rPr>
          <w:spacing w:val="32"/>
          <w:sz w:val="17"/>
        </w:rPr>
        <w:t> </w:t>
      </w:r>
      <w:r>
        <w:rPr>
          <w:sz w:val="17"/>
        </w:rPr>
        <w:t>papa</w:t>
      </w:r>
      <w:r>
        <w:rPr>
          <w:spacing w:val="32"/>
          <w:sz w:val="17"/>
        </w:rPr>
        <w:t> </w:t>
      </w:r>
      <w:r>
        <w:rPr>
          <w:sz w:val="17"/>
        </w:rPr>
        <w:t>en</w:t>
      </w:r>
      <w:r>
        <w:rPr>
          <w:spacing w:val="32"/>
          <w:sz w:val="17"/>
        </w:rPr>
        <w:t> </w:t>
      </w:r>
      <w:r>
        <w:rPr>
          <w:sz w:val="17"/>
        </w:rPr>
        <w:t>el</w:t>
      </w:r>
      <w:r>
        <w:rPr>
          <w:spacing w:val="32"/>
          <w:sz w:val="17"/>
        </w:rPr>
        <w:t> </w:t>
      </w:r>
      <w:r>
        <w:rPr>
          <w:sz w:val="17"/>
        </w:rPr>
        <w:t>Estado</w:t>
      </w:r>
      <w:r>
        <w:rPr>
          <w:spacing w:val="32"/>
          <w:sz w:val="17"/>
        </w:rPr>
        <w:t> </w:t>
      </w:r>
      <w:r>
        <w:rPr>
          <w:sz w:val="17"/>
        </w:rPr>
        <w:t>de</w:t>
      </w:r>
      <w:r>
        <w:rPr>
          <w:spacing w:val="32"/>
          <w:sz w:val="17"/>
        </w:rPr>
        <w:t> </w:t>
      </w:r>
      <w:r>
        <w:rPr>
          <w:sz w:val="17"/>
        </w:rPr>
        <w:t>Michoacán</w:t>
      </w:r>
      <w:r>
        <w:rPr>
          <w:spacing w:val="32"/>
          <w:sz w:val="17"/>
        </w:rPr>
        <w:t> </w:t>
      </w:r>
      <w:r>
        <w:rPr>
          <w:sz w:val="17"/>
        </w:rPr>
        <w:t>(México),</w:t>
      </w:r>
      <w:r>
        <w:rPr>
          <w:spacing w:val="32"/>
          <w:sz w:val="17"/>
        </w:rPr>
        <w:t> </w:t>
      </w:r>
      <w:r>
        <w:rPr>
          <w:sz w:val="17"/>
        </w:rPr>
        <w:t>donde</w:t>
      </w:r>
      <w:r>
        <w:rPr>
          <w:spacing w:val="32"/>
          <w:sz w:val="17"/>
        </w:rPr>
        <w:t> </w:t>
      </w:r>
      <w:r>
        <w:rPr>
          <w:sz w:val="17"/>
        </w:rPr>
        <w:t>encontraron</w:t>
      </w:r>
      <w:r>
        <w:rPr>
          <w:spacing w:val="32"/>
          <w:sz w:val="17"/>
        </w:rPr>
        <w:t> </w:t>
      </w:r>
      <w:r>
        <w:rPr>
          <w:sz w:val="17"/>
        </w:rPr>
        <w:t>2</w:t>
      </w:r>
    </w:p>
    <w:p>
      <w:pPr>
        <w:pStyle w:val="BodyText"/>
        <w:spacing w:before="6"/>
        <w:rPr>
          <w:rFonts w:ascii="Times New Roman"/>
          <w:sz w:val="10"/>
        </w:rPr>
      </w:pPr>
    </w:p>
    <w:p>
      <w:pPr>
        <w:pStyle w:val="ListParagraph"/>
        <w:numPr>
          <w:ilvl w:val="0"/>
          <w:numId w:val="23"/>
        </w:numPr>
        <w:tabs>
          <w:tab w:pos="1456" w:val="left" w:leader="none"/>
          <w:tab w:pos="1457" w:val="left" w:leader="none"/>
        </w:tabs>
        <w:spacing w:line="240" w:lineRule="auto" w:before="80" w:after="0"/>
        <w:ind w:left="1456" w:right="0" w:hanging="551"/>
        <w:jc w:val="left"/>
        <w:rPr>
          <w:sz w:val="17"/>
        </w:rPr>
      </w:pPr>
      <w:r>
        <w:rPr>
          <w:sz w:val="17"/>
        </w:rPr>
        <w:t>aislamientos</w:t>
      </w:r>
      <w:r>
        <w:rPr>
          <w:spacing w:val="16"/>
          <w:sz w:val="17"/>
        </w:rPr>
        <w:t> </w:t>
      </w:r>
      <w:r>
        <w:rPr>
          <w:sz w:val="17"/>
        </w:rPr>
        <w:t>homotálicos,</w:t>
      </w:r>
      <w:r>
        <w:rPr>
          <w:spacing w:val="16"/>
          <w:sz w:val="17"/>
        </w:rPr>
        <w:t> </w:t>
      </w:r>
      <w:r>
        <w:rPr>
          <w:sz w:val="17"/>
        </w:rPr>
        <w:t>y</w:t>
      </w:r>
      <w:r>
        <w:rPr>
          <w:spacing w:val="16"/>
          <w:sz w:val="17"/>
        </w:rPr>
        <w:t> </w:t>
      </w:r>
      <w:r>
        <w:rPr>
          <w:sz w:val="17"/>
        </w:rPr>
        <w:t>una</w:t>
      </w:r>
      <w:r>
        <w:rPr>
          <w:spacing w:val="16"/>
          <w:sz w:val="17"/>
        </w:rPr>
        <w:t> </w:t>
      </w:r>
      <w:r>
        <w:rPr>
          <w:sz w:val="17"/>
        </w:rPr>
        <w:t>proporción</w:t>
      </w:r>
      <w:r>
        <w:rPr>
          <w:spacing w:val="16"/>
          <w:sz w:val="17"/>
        </w:rPr>
        <w:t> </w:t>
      </w:r>
      <w:r>
        <w:rPr>
          <w:sz w:val="17"/>
        </w:rPr>
        <w:t>1:1</w:t>
      </w:r>
      <w:r>
        <w:rPr>
          <w:spacing w:val="16"/>
          <w:sz w:val="17"/>
        </w:rPr>
        <w:t> </w:t>
      </w:r>
      <w:r>
        <w:rPr>
          <w:sz w:val="17"/>
        </w:rPr>
        <w:t>en</w:t>
      </w:r>
      <w:r>
        <w:rPr>
          <w:spacing w:val="16"/>
          <w:sz w:val="17"/>
        </w:rPr>
        <w:t> </w:t>
      </w:r>
      <w:r>
        <w:rPr>
          <w:sz w:val="17"/>
        </w:rPr>
        <w:t>los</w:t>
      </w:r>
      <w:r>
        <w:rPr>
          <w:spacing w:val="16"/>
          <w:sz w:val="17"/>
        </w:rPr>
        <w:t> </w:t>
      </w:r>
      <w:r>
        <w:rPr>
          <w:sz w:val="17"/>
        </w:rPr>
        <w:t>tipos</w:t>
      </w:r>
      <w:r>
        <w:rPr>
          <w:spacing w:val="16"/>
          <w:sz w:val="17"/>
        </w:rPr>
        <w:t> </w:t>
      </w:r>
      <w:r>
        <w:rPr>
          <w:sz w:val="17"/>
        </w:rPr>
        <w:t>A1</w:t>
      </w:r>
      <w:r>
        <w:rPr>
          <w:spacing w:val="16"/>
          <w:sz w:val="17"/>
        </w:rPr>
        <w:t> </w:t>
      </w:r>
      <w:r>
        <w:rPr>
          <w:sz w:val="17"/>
        </w:rPr>
        <w:t>y</w:t>
      </w:r>
      <w:r>
        <w:rPr>
          <w:spacing w:val="16"/>
          <w:sz w:val="17"/>
        </w:rPr>
        <w:t> </w:t>
      </w:r>
      <w:r>
        <w:rPr>
          <w:sz w:val="17"/>
        </w:rPr>
        <w:t>A2.</w:t>
      </w:r>
      <w:r>
        <w:rPr>
          <w:spacing w:val="16"/>
          <w:sz w:val="17"/>
        </w:rPr>
        <w:t> </w:t>
      </w:r>
      <w:r>
        <w:rPr>
          <w:sz w:val="17"/>
        </w:rPr>
        <w:t>Segura</w:t>
      </w:r>
      <w:r>
        <w:rPr>
          <w:spacing w:val="16"/>
          <w:sz w:val="17"/>
        </w:rPr>
        <w:t> </w:t>
      </w:r>
      <w:r>
        <w:rPr>
          <w:i/>
          <w:sz w:val="17"/>
        </w:rPr>
        <w:t>et</w:t>
      </w:r>
      <w:r>
        <w:rPr>
          <w:i/>
          <w:spacing w:val="5"/>
          <w:sz w:val="17"/>
        </w:rPr>
        <w:t> </w:t>
      </w:r>
      <w:r>
        <w:rPr>
          <w:i/>
          <w:sz w:val="17"/>
        </w:rPr>
        <w:t>al</w:t>
      </w:r>
      <w:r>
        <w:rPr>
          <w:sz w:val="17"/>
        </w:rPr>
        <w:t>.,</w:t>
      </w:r>
      <w:r>
        <w:rPr>
          <w:spacing w:val="16"/>
          <w:sz w:val="17"/>
        </w:rPr>
        <w:t> </w:t>
      </w:r>
      <w:r>
        <w:rPr>
          <w:sz w:val="17"/>
        </w:rPr>
        <w:t>(2007)</w:t>
      </w:r>
    </w:p>
    <w:p>
      <w:pPr>
        <w:pStyle w:val="BodyText"/>
        <w:spacing w:before="6"/>
        <w:rPr>
          <w:rFonts w:ascii="Times New Roman"/>
          <w:sz w:val="10"/>
        </w:rPr>
      </w:pPr>
    </w:p>
    <w:p>
      <w:pPr>
        <w:pStyle w:val="ListParagraph"/>
        <w:numPr>
          <w:ilvl w:val="0"/>
          <w:numId w:val="23"/>
        </w:numPr>
        <w:tabs>
          <w:tab w:pos="1456" w:val="left" w:leader="none"/>
          <w:tab w:pos="1457" w:val="left" w:leader="none"/>
        </w:tabs>
        <w:spacing w:line="240" w:lineRule="auto" w:before="80" w:after="0"/>
        <w:ind w:left="1456" w:right="0" w:hanging="551"/>
        <w:jc w:val="left"/>
        <w:rPr>
          <w:sz w:val="17"/>
        </w:rPr>
      </w:pPr>
      <w:r>
        <w:rPr>
          <w:sz w:val="17"/>
        </w:rPr>
        <w:t>estudiaron</w:t>
      </w:r>
      <w:r>
        <w:rPr>
          <w:spacing w:val="32"/>
          <w:sz w:val="17"/>
        </w:rPr>
        <w:t> </w:t>
      </w:r>
      <w:r>
        <w:rPr>
          <w:sz w:val="17"/>
        </w:rPr>
        <w:t>tres</w:t>
      </w:r>
      <w:r>
        <w:rPr>
          <w:spacing w:val="32"/>
          <w:sz w:val="17"/>
        </w:rPr>
        <w:t> </w:t>
      </w:r>
      <w:r>
        <w:rPr>
          <w:sz w:val="17"/>
        </w:rPr>
        <w:t>aislamientos</w:t>
      </w:r>
      <w:r>
        <w:rPr>
          <w:spacing w:val="32"/>
          <w:sz w:val="17"/>
        </w:rPr>
        <w:t> </w:t>
      </w:r>
      <w:r>
        <w:rPr>
          <w:sz w:val="17"/>
        </w:rPr>
        <w:t>de</w:t>
      </w:r>
      <w:r>
        <w:rPr>
          <w:spacing w:val="32"/>
          <w:sz w:val="17"/>
        </w:rPr>
        <w:t> </w:t>
      </w:r>
      <w:r>
        <w:rPr>
          <w:i/>
          <w:sz w:val="17"/>
        </w:rPr>
        <w:t>P.</w:t>
      </w:r>
      <w:r>
        <w:rPr>
          <w:i/>
          <w:spacing w:val="21"/>
          <w:sz w:val="17"/>
        </w:rPr>
        <w:t> </w:t>
      </w:r>
      <w:r>
        <w:rPr>
          <w:i/>
          <w:sz w:val="17"/>
        </w:rPr>
        <w:t>infestans</w:t>
      </w:r>
      <w:r>
        <w:rPr>
          <w:i/>
          <w:spacing w:val="32"/>
          <w:sz w:val="17"/>
        </w:rPr>
        <w:t> </w:t>
      </w:r>
      <w:r>
        <w:rPr>
          <w:sz w:val="17"/>
        </w:rPr>
        <w:t>obtenidos</w:t>
      </w:r>
      <w:r>
        <w:rPr>
          <w:spacing w:val="32"/>
          <w:sz w:val="17"/>
        </w:rPr>
        <w:t> </w:t>
      </w:r>
      <w:r>
        <w:rPr>
          <w:sz w:val="17"/>
        </w:rPr>
        <w:t>de</w:t>
      </w:r>
      <w:r>
        <w:rPr>
          <w:spacing w:val="32"/>
          <w:sz w:val="17"/>
        </w:rPr>
        <w:t> </w:t>
      </w:r>
      <w:r>
        <w:rPr>
          <w:sz w:val="17"/>
        </w:rPr>
        <w:t>cultivo</w:t>
      </w:r>
      <w:r>
        <w:rPr>
          <w:spacing w:val="32"/>
          <w:sz w:val="17"/>
        </w:rPr>
        <w:t> </w:t>
      </w:r>
      <w:r>
        <w:rPr>
          <w:sz w:val="17"/>
        </w:rPr>
        <w:t>de</w:t>
      </w:r>
      <w:r>
        <w:rPr>
          <w:spacing w:val="32"/>
          <w:sz w:val="17"/>
        </w:rPr>
        <w:t> </w:t>
      </w:r>
      <w:r>
        <w:rPr>
          <w:sz w:val="17"/>
        </w:rPr>
        <w:t>tomate</w:t>
      </w:r>
      <w:r>
        <w:rPr>
          <w:spacing w:val="32"/>
          <w:sz w:val="17"/>
        </w:rPr>
        <w:t> </w:t>
      </w:r>
      <w:r>
        <w:rPr>
          <w:sz w:val="17"/>
        </w:rPr>
        <w:t>en</w:t>
      </w:r>
      <w:r>
        <w:rPr>
          <w:spacing w:val="32"/>
          <w:sz w:val="17"/>
        </w:rPr>
        <w:t> </w:t>
      </w:r>
      <w:r>
        <w:rPr>
          <w:sz w:val="17"/>
        </w:rPr>
        <w:t>Almería</w:t>
      </w:r>
      <w:r>
        <w:rPr>
          <w:spacing w:val="32"/>
          <w:sz w:val="17"/>
        </w:rPr>
        <w:t> </w:t>
      </w:r>
      <w:r>
        <w:rPr>
          <w:sz w:val="17"/>
        </w:rPr>
        <w:t>y</w:t>
      </w:r>
    </w:p>
    <w:p>
      <w:pPr>
        <w:pStyle w:val="BodyText"/>
        <w:spacing w:before="6"/>
        <w:rPr>
          <w:rFonts w:ascii="Times New Roman"/>
          <w:sz w:val="10"/>
        </w:rPr>
      </w:pPr>
    </w:p>
    <w:p>
      <w:pPr>
        <w:pStyle w:val="ListParagraph"/>
        <w:numPr>
          <w:ilvl w:val="0"/>
          <w:numId w:val="23"/>
        </w:numPr>
        <w:tabs>
          <w:tab w:pos="1456" w:val="left" w:leader="none"/>
          <w:tab w:pos="1457" w:val="left" w:leader="none"/>
        </w:tabs>
        <w:spacing w:line="240" w:lineRule="auto" w:before="80" w:after="0"/>
        <w:ind w:left="1456" w:right="0" w:hanging="551"/>
        <w:jc w:val="left"/>
        <w:rPr>
          <w:sz w:val="17"/>
        </w:rPr>
      </w:pPr>
      <w:r>
        <w:rPr>
          <w:sz w:val="17"/>
        </w:rPr>
        <w:t>Granada</w:t>
      </w:r>
      <w:r>
        <w:rPr>
          <w:spacing w:val="13"/>
          <w:sz w:val="17"/>
        </w:rPr>
        <w:t> </w:t>
      </w:r>
      <w:r>
        <w:rPr>
          <w:sz w:val="17"/>
        </w:rPr>
        <w:t>(España),</w:t>
      </w:r>
      <w:r>
        <w:rPr>
          <w:spacing w:val="13"/>
          <w:sz w:val="17"/>
        </w:rPr>
        <w:t> </w:t>
      </w:r>
      <w:r>
        <w:rPr>
          <w:sz w:val="17"/>
        </w:rPr>
        <w:t>donde</w:t>
      </w:r>
      <w:r>
        <w:rPr>
          <w:spacing w:val="13"/>
          <w:sz w:val="17"/>
        </w:rPr>
        <w:t> </w:t>
      </w:r>
      <w:r>
        <w:rPr>
          <w:sz w:val="17"/>
        </w:rPr>
        <w:t>encontraron</w:t>
      </w:r>
      <w:r>
        <w:rPr>
          <w:spacing w:val="13"/>
          <w:sz w:val="17"/>
        </w:rPr>
        <w:t> </w:t>
      </w:r>
      <w:r>
        <w:rPr>
          <w:sz w:val="17"/>
        </w:rPr>
        <w:t>2</w:t>
      </w:r>
      <w:r>
        <w:rPr>
          <w:spacing w:val="13"/>
          <w:sz w:val="17"/>
        </w:rPr>
        <w:t> </w:t>
      </w:r>
      <w:r>
        <w:rPr>
          <w:sz w:val="17"/>
        </w:rPr>
        <w:t>aislamientos</w:t>
      </w:r>
      <w:r>
        <w:rPr>
          <w:spacing w:val="13"/>
          <w:sz w:val="17"/>
        </w:rPr>
        <w:t> </w:t>
      </w:r>
      <w:r>
        <w:rPr>
          <w:sz w:val="17"/>
        </w:rPr>
        <w:t>homotálicos</w:t>
      </w:r>
      <w:r>
        <w:rPr>
          <w:spacing w:val="13"/>
          <w:sz w:val="17"/>
        </w:rPr>
        <w:t> </w:t>
      </w:r>
      <w:r>
        <w:rPr>
          <w:sz w:val="17"/>
        </w:rPr>
        <w:t>y</w:t>
      </w:r>
      <w:r>
        <w:rPr>
          <w:spacing w:val="13"/>
          <w:sz w:val="17"/>
        </w:rPr>
        <w:t> </w:t>
      </w:r>
      <w:r>
        <w:rPr>
          <w:sz w:val="17"/>
        </w:rPr>
        <w:t>uno</w:t>
      </w:r>
      <w:r>
        <w:rPr>
          <w:spacing w:val="13"/>
          <w:sz w:val="17"/>
        </w:rPr>
        <w:t> </w:t>
      </w:r>
      <w:r>
        <w:rPr>
          <w:sz w:val="17"/>
        </w:rPr>
        <w:t>del</w:t>
      </w:r>
      <w:r>
        <w:rPr>
          <w:spacing w:val="13"/>
          <w:sz w:val="17"/>
        </w:rPr>
        <w:t> </w:t>
      </w:r>
      <w:r>
        <w:rPr>
          <w:sz w:val="17"/>
        </w:rPr>
        <w:t>tipo</w:t>
      </w:r>
      <w:r>
        <w:rPr>
          <w:spacing w:val="13"/>
          <w:sz w:val="17"/>
        </w:rPr>
        <w:t> </w:t>
      </w:r>
      <w:r>
        <w:rPr>
          <w:sz w:val="17"/>
        </w:rPr>
        <w:t>A1A2.</w:t>
      </w:r>
    </w:p>
    <w:p>
      <w:pPr>
        <w:pStyle w:val="BodyText"/>
        <w:spacing w:before="5"/>
        <w:rPr>
          <w:rFonts w:ascii="Times New Roman"/>
          <w:sz w:val="17"/>
        </w:rPr>
      </w:pPr>
    </w:p>
    <w:p>
      <w:pPr>
        <w:pStyle w:val="ListParagraph"/>
        <w:numPr>
          <w:ilvl w:val="0"/>
          <w:numId w:val="23"/>
        </w:numPr>
        <w:tabs>
          <w:tab w:pos="1199" w:val="left" w:leader="none"/>
        </w:tabs>
        <w:spacing w:line="240" w:lineRule="auto" w:before="1" w:after="0"/>
        <w:ind w:left="1198" w:right="0" w:hanging="293"/>
        <w:jc w:val="left"/>
        <w:rPr>
          <w:rFonts w:ascii="Cambria"/>
          <w:sz w:val="17"/>
        </w:rPr>
      </w:pPr>
    </w:p>
    <w:p>
      <w:pPr>
        <w:pStyle w:val="BodyText"/>
        <w:spacing w:before="4"/>
        <w:rPr>
          <w:rFonts w:ascii="Cambria"/>
          <w:sz w:val="10"/>
        </w:rPr>
      </w:pPr>
    </w:p>
    <w:p>
      <w:pPr>
        <w:pStyle w:val="ListParagraph"/>
        <w:numPr>
          <w:ilvl w:val="0"/>
          <w:numId w:val="23"/>
        </w:numPr>
        <w:tabs>
          <w:tab w:pos="1456" w:val="left" w:leader="none"/>
          <w:tab w:pos="1457" w:val="left" w:leader="none"/>
        </w:tabs>
        <w:spacing w:line="240" w:lineRule="auto" w:before="80" w:after="0"/>
        <w:ind w:left="1456" w:right="0" w:hanging="551"/>
        <w:jc w:val="left"/>
        <w:rPr>
          <w:sz w:val="17"/>
        </w:rPr>
      </w:pPr>
      <w:r>
        <w:rPr>
          <w:sz w:val="17"/>
        </w:rPr>
        <w:t>La</w:t>
      </w:r>
      <w:r>
        <w:rPr>
          <w:spacing w:val="25"/>
          <w:sz w:val="17"/>
        </w:rPr>
        <w:t> </w:t>
      </w:r>
      <w:r>
        <w:rPr>
          <w:sz w:val="17"/>
        </w:rPr>
        <w:t>capacidad</w:t>
      </w:r>
      <w:r>
        <w:rPr>
          <w:spacing w:val="26"/>
          <w:sz w:val="17"/>
        </w:rPr>
        <w:t> </w:t>
      </w:r>
      <w:r>
        <w:rPr>
          <w:sz w:val="17"/>
        </w:rPr>
        <w:t>que</w:t>
      </w:r>
      <w:r>
        <w:rPr>
          <w:spacing w:val="25"/>
          <w:sz w:val="17"/>
        </w:rPr>
        <w:t> </w:t>
      </w:r>
      <w:r>
        <w:rPr>
          <w:sz w:val="17"/>
        </w:rPr>
        <w:t>presentan</w:t>
      </w:r>
      <w:r>
        <w:rPr>
          <w:spacing w:val="26"/>
          <w:sz w:val="17"/>
        </w:rPr>
        <w:t> </w:t>
      </w:r>
      <w:r>
        <w:rPr>
          <w:sz w:val="17"/>
        </w:rPr>
        <w:t>los</w:t>
      </w:r>
      <w:r>
        <w:rPr>
          <w:spacing w:val="26"/>
          <w:sz w:val="17"/>
        </w:rPr>
        <w:t> </w:t>
      </w:r>
      <w:r>
        <w:rPr>
          <w:sz w:val="17"/>
        </w:rPr>
        <w:t>aislamientos</w:t>
      </w:r>
      <w:r>
        <w:rPr>
          <w:spacing w:val="26"/>
          <w:sz w:val="17"/>
        </w:rPr>
        <w:t> </w:t>
      </w:r>
      <w:r>
        <w:rPr>
          <w:sz w:val="17"/>
        </w:rPr>
        <w:t>homotálicos</w:t>
      </w:r>
      <w:r>
        <w:rPr>
          <w:spacing w:val="26"/>
          <w:sz w:val="17"/>
        </w:rPr>
        <w:t> </w:t>
      </w:r>
      <w:r>
        <w:rPr>
          <w:sz w:val="17"/>
        </w:rPr>
        <w:t>de</w:t>
      </w:r>
      <w:r>
        <w:rPr>
          <w:spacing w:val="25"/>
          <w:sz w:val="17"/>
        </w:rPr>
        <w:t> </w:t>
      </w:r>
      <w:r>
        <w:rPr>
          <w:sz w:val="17"/>
        </w:rPr>
        <w:t>actuar</w:t>
      </w:r>
      <w:r>
        <w:rPr>
          <w:spacing w:val="26"/>
          <w:sz w:val="17"/>
        </w:rPr>
        <w:t> </w:t>
      </w:r>
      <w:r>
        <w:rPr>
          <w:sz w:val="17"/>
        </w:rPr>
        <w:t>como</w:t>
      </w:r>
      <w:r>
        <w:rPr>
          <w:spacing w:val="26"/>
          <w:sz w:val="17"/>
        </w:rPr>
        <w:t> </w:t>
      </w:r>
      <w:r>
        <w:rPr>
          <w:sz w:val="17"/>
        </w:rPr>
        <w:t>A1</w:t>
      </w:r>
      <w:r>
        <w:rPr>
          <w:spacing w:val="26"/>
          <w:sz w:val="17"/>
        </w:rPr>
        <w:t> </w:t>
      </w:r>
      <w:r>
        <w:rPr>
          <w:sz w:val="17"/>
        </w:rPr>
        <w:t>y</w:t>
      </w:r>
      <w:r>
        <w:rPr>
          <w:spacing w:val="26"/>
          <w:sz w:val="17"/>
        </w:rPr>
        <w:t> </w:t>
      </w:r>
      <w:r>
        <w:rPr>
          <w:sz w:val="17"/>
        </w:rPr>
        <w:t>A2</w:t>
      </w:r>
      <w:r>
        <w:rPr>
          <w:spacing w:val="26"/>
          <w:sz w:val="17"/>
        </w:rPr>
        <w:t> </w:t>
      </w:r>
      <w:r>
        <w:rPr>
          <w:sz w:val="17"/>
        </w:rPr>
        <w:t>en</w:t>
      </w:r>
      <w:r>
        <w:rPr>
          <w:spacing w:val="26"/>
          <w:sz w:val="17"/>
        </w:rPr>
        <w:t> </w:t>
      </w:r>
      <w:r>
        <w:rPr>
          <w:sz w:val="17"/>
        </w:rPr>
        <w:t>los</w:t>
      </w:r>
    </w:p>
    <w:p>
      <w:pPr>
        <w:pStyle w:val="BodyText"/>
        <w:spacing w:before="6"/>
        <w:rPr>
          <w:rFonts w:ascii="Times New Roman"/>
          <w:sz w:val="10"/>
        </w:rPr>
      </w:pPr>
    </w:p>
    <w:p>
      <w:pPr>
        <w:pStyle w:val="ListParagraph"/>
        <w:numPr>
          <w:ilvl w:val="0"/>
          <w:numId w:val="23"/>
        </w:numPr>
        <w:tabs>
          <w:tab w:pos="1456" w:val="left" w:leader="none"/>
          <w:tab w:pos="1457" w:val="left" w:leader="none"/>
        </w:tabs>
        <w:spacing w:line="240" w:lineRule="auto" w:before="80" w:after="0"/>
        <w:ind w:left="1456" w:right="0" w:hanging="551"/>
        <w:jc w:val="left"/>
        <w:rPr>
          <w:sz w:val="17"/>
        </w:rPr>
      </w:pPr>
      <w:r>
        <w:rPr>
          <w:sz w:val="17"/>
        </w:rPr>
        <w:t>apareamientos</w:t>
      </w:r>
      <w:r>
        <w:rPr>
          <w:spacing w:val="28"/>
          <w:sz w:val="17"/>
        </w:rPr>
        <w:t> </w:t>
      </w:r>
      <w:r>
        <w:rPr>
          <w:sz w:val="17"/>
        </w:rPr>
        <w:t>heterotálicos</w:t>
      </w:r>
      <w:r>
        <w:rPr>
          <w:spacing w:val="28"/>
          <w:sz w:val="17"/>
        </w:rPr>
        <w:t> </w:t>
      </w:r>
      <w:r>
        <w:rPr>
          <w:sz w:val="17"/>
        </w:rPr>
        <w:t>aumenta</w:t>
      </w:r>
      <w:r>
        <w:rPr>
          <w:spacing w:val="28"/>
          <w:sz w:val="17"/>
        </w:rPr>
        <w:t> </w:t>
      </w:r>
      <w:r>
        <w:rPr>
          <w:sz w:val="17"/>
        </w:rPr>
        <w:t>la</w:t>
      </w:r>
      <w:r>
        <w:rPr>
          <w:spacing w:val="28"/>
          <w:sz w:val="17"/>
        </w:rPr>
        <w:t> </w:t>
      </w:r>
      <w:r>
        <w:rPr>
          <w:sz w:val="17"/>
        </w:rPr>
        <w:t>probabilidad</w:t>
      </w:r>
      <w:r>
        <w:rPr>
          <w:spacing w:val="28"/>
          <w:sz w:val="17"/>
        </w:rPr>
        <w:t> </w:t>
      </w:r>
      <w:r>
        <w:rPr>
          <w:sz w:val="17"/>
        </w:rPr>
        <w:t>de</w:t>
      </w:r>
      <w:r>
        <w:rPr>
          <w:spacing w:val="28"/>
          <w:sz w:val="17"/>
        </w:rPr>
        <w:t> </w:t>
      </w:r>
      <w:r>
        <w:rPr>
          <w:sz w:val="17"/>
        </w:rPr>
        <w:t>que</w:t>
      </w:r>
      <w:r>
        <w:rPr>
          <w:spacing w:val="28"/>
          <w:sz w:val="17"/>
        </w:rPr>
        <w:t> </w:t>
      </w:r>
      <w:r>
        <w:rPr>
          <w:sz w:val="17"/>
        </w:rPr>
        <w:t>ocurra</w:t>
      </w:r>
      <w:r>
        <w:rPr>
          <w:spacing w:val="28"/>
          <w:sz w:val="17"/>
        </w:rPr>
        <w:t> </w:t>
      </w:r>
      <w:r>
        <w:rPr>
          <w:sz w:val="17"/>
        </w:rPr>
        <w:t>la</w:t>
      </w:r>
      <w:r>
        <w:rPr>
          <w:spacing w:val="28"/>
          <w:sz w:val="17"/>
        </w:rPr>
        <w:t> </w:t>
      </w:r>
      <w:r>
        <w:rPr>
          <w:sz w:val="17"/>
        </w:rPr>
        <w:t>reproducción</w:t>
      </w:r>
      <w:r>
        <w:rPr>
          <w:spacing w:val="28"/>
          <w:sz w:val="17"/>
        </w:rPr>
        <w:t> </w:t>
      </w:r>
      <w:r>
        <w:rPr>
          <w:sz w:val="17"/>
        </w:rPr>
        <w:t>sexual</w:t>
      </w:r>
    </w:p>
    <w:p>
      <w:pPr>
        <w:spacing w:after="0" w:line="240" w:lineRule="auto"/>
        <w:jc w:val="left"/>
        <w:rPr>
          <w:sz w:val="17"/>
        </w:rPr>
        <w:sectPr>
          <w:pgSz w:w="12240" w:h="15840"/>
          <w:pgMar w:header="719" w:footer="740" w:top="1260" w:bottom="920" w:left="1460" w:right="14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27"/>
        </w:rPr>
      </w:pPr>
    </w:p>
    <w:p>
      <w:pPr>
        <w:pStyle w:val="ListParagraph"/>
        <w:numPr>
          <w:ilvl w:val="0"/>
          <w:numId w:val="23"/>
        </w:numPr>
        <w:tabs>
          <w:tab w:pos="1458" w:val="left" w:leader="none"/>
          <w:tab w:pos="1459" w:val="left" w:leader="none"/>
        </w:tabs>
        <w:spacing w:line="240" w:lineRule="auto" w:before="80" w:after="0"/>
        <w:ind w:left="1458" w:right="0" w:hanging="549"/>
        <w:jc w:val="left"/>
        <w:rPr>
          <w:sz w:val="17"/>
        </w:rPr>
      </w:pPr>
      <w:r>
        <w:rPr>
          <w:sz w:val="17"/>
        </w:rPr>
        <w:t>en  campo.  El  ciclo  sexual  mejora  la  aptitud  del  patógeno  mediante  la  generación     </w:t>
      </w:r>
      <w:r>
        <w:rPr>
          <w:spacing w:val="2"/>
          <w:sz w:val="17"/>
        </w:rPr>
        <w:t> </w:t>
      </w:r>
      <w:r>
        <w:rPr>
          <w:sz w:val="17"/>
        </w:rPr>
        <w:t>de</w:t>
      </w:r>
    </w:p>
    <w:p>
      <w:pPr>
        <w:pStyle w:val="BodyText"/>
        <w:spacing w:before="6"/>
        <w:rPr>
          <w:rFonts w:ascii="Times New Roman"/>
          <w:sz w:val="10"/>
        </w:rPr>
      </w:pPr>
    </w:p>
    <w:p>
      <w:pPr>
        <w:pStyle w:val="ListParagraph"/>
        <w:numPr>
          <w:ilvl w:val="0"/>
          <w:numId w:val="23"/>
        </w:numPr>
        <w:tabs>
          <w:tab w:pos="1458" w:val="left" w:leader="none"/>
          <w:tab w:pos="1459" w:val="left" w:leader="none"/>
        </w:tabs>
        <w:spacing w:line="240" w:lineRule="auto" w:before="80" w:after="0"/>
        <w:ind w:left="1458" w:right="0" w:hanging="549"/>
        <w:jc w:val="left"/>
        <w:rPr>
          <w:sz w:val="17"/>
        </w:rPr>
      </w:pPr>
      <w:r>
        <w:rPr>
          <w:sz w:val="17"/>
        </w:rPr>
        <w:t>genotipos  recombinantes  que  pueden  ser  más  patogénicos,  virulentos  y  resistentes  a </w:t>
      </w:r>
      <w:r>
        <w:rPr>
          <w:spacing w:val="7"/>
          <w:sz w:val="17"/>
        </w:rPr>
        <w:t> </w:t>
      </w:r>
      <w:r>
        <w:rPr>
          <w:sz w:val="17"/>
        </w:rPr>
        <w:t>los</w:t>
      </w:r>
    </w:p>
    <w:p>
      <w:pPr>
        <w:pStyle w:val="BodyText"/>
        <w:spacing w:before="6"/>
        <w:rPr>
          <w:rFonts w:ascii="Times New Roman"/>
          <w:sz w:val="10"/>
        </w:rPr>
      </w:pPr>
    </w:p>
    <w:p>
      <w:pPr>
        <w:pStyle w:val="ListParagraph"/>
        <w:numPr>
          <w:ilvl w:val="0"/>
          <w:numId w:val="23"/>
        </w:numPr>
        <w:tabs>
          <w:tab w:pos="1458" w:val="left" w:leader="none"/>
          <w:tab w:pos="1459" w:val="left" w:leader="none"/>
        </w:tabs>
        <w:spacing w:line="240" w:lineRule="auto" w:before="80" w:after="0"/>
        <w:ind w:left="1458" w:right="0" w:hanging="549"/>
        <w:jc w:val="left"/>
        <w:rPr>
          <w:sz w:val="17"/>
        </w:rPr>
      </w:pPr>
      <w:r>
        <w:rPr>
          <w:sz w:val="17"/>
        </w:rPr>
        <w:t>productos químicos (Gavino </w:t>
      </w:r>
      <w:r>
        <w:rPr>
          <w:i/>
          <w:sz w:val="17"/>
        </w:rPr>
        <w:t>et al</w:t>
      </w:r>
      <w:r>
        <w:rPr>
          <w:sz w:val="17"/>
        </w:rPr>
        <w:t>., </w:t>
      </w:r>
      <w:r>
        <w:rPr>
          <w:spacing w:val="24"/>
          <w:sz w:val="17"/>
        </w:rPr>
        <w:t> </w:t>
      </w:r>
      <w:r>
        <w:rPr>
          <w:sz w:val="17"/>
        </w:rPr>
        <w:t>2000).</w:t>
      </w:r>
    </w:p>
    <w:p>
      <w:pPr>
        <w:pStyle w:val="BodyText"/>
        <w:spacing w:before="5"/>
        <w:rPr>
          <w:rFonts w:ascii="Times New Roman"/>
          <w:sz w:val="17"/>
        </w:rPr>
      </w:pPr>
    </w:p>
    <w:p>
      <w:pPr>
        <w:pStyle w:val="ListParagraph"/>
        <w:numPr>
          <w:ilvl w:val="0"/>
          <w:numId w:val="23"/>
        </w:numPr>
        <w:tabs>
          <w:tab w:pos="1202" w:val="left" w:leader="none"/>
        </w:tabs>
        <w:spacing w:line="240" w:lineRule="auto" w:before="0" w:after="0"/>
        <w:ind w:left="1201" w:right="0" w:hanging="292"/>
        <w:jc w:val="left"/>
        <w:rPr>
          <w:rFonts w:ascii="Cambria"/>
          <w:sz w:val="17"/>
        </w:rPr>
      </w:pPr>
    </w:p>
    <w:p>
      <w:pPr>
        <w:pStyle w:val="BodyText"/>
        <w:spacing w:before="4"/>
        <w:rPr>
          <w:rFonts w:ascii="Cambria"/>
          <w:sz w:val="10"/>
        </w:rPr>
      </w:pPr>
    </w:p>
    <w:p>
      <w:pPr>
        <w:pStyle w:val="ListParagraph"/>
        <w:numPr>
          <w:ilvl w:val="0"/>
          <w:numId w:val="23"/>
        </w:numPr>
        <w:tabs>
          <w:tab w:pos="1458" w:val="left" w:leader="none"/>
          <w:tab w:pos="1459" w:val="left" w:leader="none"/>
        </w:tabs>
        <w:spacing w:line="240" w:lineRule="auto" w:before="79" w:after="0"/>
        <w:ind w:left="1458" w:right="0" w:hanging="549"/>
        <w:jc w:val="left"/>
        <w:rPr>
          <w:sz w:val="17"/>
        </w:rPr>
      </w:pPr>
      <w:r>
        <w:rPr>
          <w:sz w:val="17"/>
        </w:rPr>
        <w:t>Las</w:t>
      </w:r>
      <w:r>
        <w:rPr>
          <w:spacing w:val="14"/>
          <w:sz w:val="17"/>
        </w:rPr>
        <w:t> </w:t>
      </w:r>
      <w:r>
        <w:rPr>
          <w:sz w:val="17"/>
        </w:rPr>
        <w:t>poblaciones</w:t>
      </w:r>
      <w:r>
        <w:rPr>
          <w:spacing w:val="14"/>
          <w:sz w:val="17"/>
        </w:rPr>
        <w:t> </w:t>
      </w:r>
      <w:r>
        <w:rPr>
          <w:sz w:val="17"/>
        </w:rPr>
        <w:t>homotálicas</w:t>
      </w:r>
      <w:r>
        <w:rPr>
          <w:spacing w:val="14"/>
          <w:sz w:val="17"/>
        </w:rPr>
        <w:t> </w:t>
      </w:r>
      <w:r>
        <w:rPr>
          <w:sz w:val="17"/>
        </w:rPr>
        <w:t>son</w:t>
      </w:r>
      <w:r>
        <w:rPr>
          <w:spacing w:val="14"/>
          <w:sz w:val="17"/>
        </w:rPr>
        <w:t> </w:t>
      </w:r>
      <w:r>
        <w:rPr>
          <w:sz w:val="17"/>
        </w:rPr>
        <w:t>altamente</w:t>
      </w:r>
      <w:r>
        <w:rPr>
          <w:spacing w:val="14"/>
          <w:sz w:val="17"/>
        </w:rPr>
        <w:t> </w:t>
      </w:r>
      <w:r>
        <w:rPr>
          <w:sz w:val="17"/>
        </w:rPr>
        <w:t>virulentas</w:t>
      </w:r>
      <w:r>
        <w:rPr>
          <w:spacing w:val="14"/>
          <w:sz w:val="17"/>
        </w:rPr>
        <w:t> </w:t>
      </w:r>
      <w:r>
        <w:rPr>
          <w:sz w:val="17"/>
        </w:rPr>
        <w:t>y</w:t>
      </w:r>
      <w:r>
        <w:rPr>
          <w:spacing w:val="14"/>
          <w:sz w:val="17"/>
        </w:rPr>
        <w:t> </w:t>
      </w:r>
      <w:r>
        <w:rPr>
          <w:sz w:val="17"/>
        </w:rPr>
        <w:t>genéticamente</w:t>
      </w:r>
      <w:r>
        <w:rPr>
          <w:spacing w:val="14"/>
          <w:sz w:val="17"/>
        </w:rPr>
        <w:t> </w:t>
      </w:r>
      <w:r>
        <w:rPr>
          <w:sz w:val="17"/>
        </w:rPr>
        <w:t>variables,</w:t>
      </w:r>
      <w:r>
        <w:rPr>
          <w:spacing w:val="14"/>
          <w:sz w:val="17"/>
        </w:rPr>
        <w:t> </w:t>
      </w:r>
      <w:r>
        <w:rPr>
          <w:sz w:val="17"/>
        </w:rPr>
        <w:t>lo</w:t>
      </w:r>
      <w:r>
        <w:rPr>
          <w:spacing w:val="14"/>
          <w:sz w:val="17"/>
        </w:rPr>
        <w:t> </w:t>
      </w:r>
      <w:r>
        <w:rPr>
          <w:sz w:val="17"/>
        </w:rPr>
        <w:t>cual</w:t>
      </w:r>
      <w:r>
        <w:rPr>
          <w:spacing w:val="14"/>
          <w:sz w:val="17"/>
        </w:rPr>
        <w:t> </w:t>
      </w:r>
      <w:r>
        <w:rPr>
          <w:sz w:val="17"/>
        </w:rPr>
        <w:t>les</w:t>
      </w:r>
    </w:p>
    <w:p>
      <w:pPr>
        <w:pStyle w:val="BodyText"/>
        <w:spacing w:before="6"/>
        <w:rPr>
          <w:rFonts w:ascii="Times New Roman"/>
          <w:sz w:val="10"/>
        </w:rPr>
      </w:pPr>
    </w:p>
    <w:p>
      <w:pPr>
        <w:pStyle w:val="ListParagraph"/>
        <w:numPr>
          <w:ilvl w:val="0"/>
          <w:numId w:val="23"/>
        </w:numPr>
        <w:tabs>
          <w:tab w:pos="1458" w:val="left" w:leader="none"/>
          <w:tab w:pos="1459" w:val="left" w:leader="none"/>
        </w:tabs>
        <w:spacing w:line="240" w:lineRule="auto" w:before="80" w:after="0"/>
        <w:ind w:left="1458" w:right="0" w:hanging="549"/>
        <w:jc w:val="left"/>
        <w:rPr>
          <w:sz w:val="17"/>
        </w:rPr>
      </w:pPr>
      <w:r>
        <w:rPr>
          <w:sz w:val="17"/>
        </w:rPr>
        <w:t>permite</w:t>
      </w:r>
      <w:r>
        <w:rPr>
          <w:spacing w:val="23"/>
          <w:sz w:val="17"/>
        </w:rPr>
        <w:t> </w:t>
      </w:r>
      <w:r>
        <w:rPr>
          <w:sz w:val="17"/>
        </w:rPr>
        <w:t>adaptarse</w:t>
      </w:r>
      <w:r>
        <w:rPr>
          <w:spacing w:val="23"/>
          <w:sz w:val="17"/>
        </w:rPr>
        <w:t> </w:t>
      </w:r>
      <w:r>
        <w:rPr>
          <w:sz w:val="17"/>
        </w:rPr>
        <w:t>a</w:t>
      </w:r>
      <w:r>
        <w:rPr>
          <w:spacing w:val="23"/>
          <w:sz w:val="17"/>
        </w:rPr>
        <w:t> </w:t>
      </w:r>
      <w:r>
        <w:rPr>
          <w:sz w:val="17"/>
        </w:rPr>
        <w:t>diferentes</w:t>
      </w:r>
      <w:r>
        <w:rPr>
          <w:spacing w:val="23"/>
          <w:sz w:val="17"/>
        </w:rPr>
        <w:t> </w:t>
      </w:r>
      <w:r>
        <w:rPr>
          <w:sz w:val="17"/>
        </w:rPr>
        <w:t>condiciones</w:t>
      </w:r>
      <w:r>
        <w:rPr>
          <w:spacing w:val="23"/>
          <w:sz w:val="17"/>
        </w:rPr>
        <w:t> </w:t>
      </w:r>
      <w:r>
        <w:rPr>
          <w:sz w:val="17"/>
        </w:rPr>
        <w:t>ambientales</w:t>
      </w:r>
      <w:r>
        <w:rPr>
          <w:spacing w:val="23"/>
          <w:sz w:val="17"/>
        </w:rPr>
        <w:t> </w:t>
      </w:r>
      <w:r>
        <w:rPr>
          <w:sz w:val="17"/>
        </w:rPr>
        <w:t>(Alarcón</w:t>
      </w:r>
      <w:r>
        <w:rPr>
          <w:spacing w:val="23"/>
          <w:sz w:val="17"/>
        </w:rPr>
        <w:t> </w:t>
      </w:r>
      <w:r>
        <w:rPr>
          <w:i/>
          <w:sz w:val="17"/>
        </w:rPr>
        <w:t>et.</w:t>
      </w:r>
      <w:r>
        <w:rPr>
          <w:i/>
          <w:spacing w:val="11"/>
          <w:sz w:val="17"/>
        </w:rPr>
        <w:t> </w:t>
      </w:r>
      <w:r>
        <w:rPr>
          <w:i/>
          <w:sz w:val="17"/>
        </w:rPr>
        <w:t>al</w:t>
      </w:r>
      <w:r>
        <w:rPr>
          <w:sz w:val="17"/>
        </w:rPr>
        <w:t>.,</w:t>
      </w:r>
      <w:r>
        <w:rPr>
          <w:spacing w:val="23"/>
          <w:sz w:val="17"/>
        </w:rPr>
        <w:t> </w:t>
      </w:r>
      <w:r>
        <w:rPr>
          <w:sz w:val="17"/>
        </w:rPr>
        <w:t>2013).</w:t>
      </w:r>
      <w:r>
        <w:rPr>
          <w:spacing w:val="23"/>
          <w:sz w:val="17"/>
        </w:rPr>
        <w:t> </w:t>
      </w:r>
      <w:r>
        <w:rPr>
          <w:sz w:val="17"/>
        </w:rPr>
        <w:t>Por</w:t>
      </w:r>
      <w:r>
        <w:rPr>
          <w:spacing w:val="23"/>
          <w:sz w:val="17"/>
        </w:rPr>
        <w:t> </w:t>
      </w:r>
      <w:r>
        <w:rPr>
          <w:sz w:val="17"/>
        </w:rPr>
        <w:t>todo</w:t>
      </w:r>
      <w:r>
        <w:rPr>
          <w:spacing w:val="23"/>
          <w:sz w:val="17"/>
        </w:rPr>
        <w:t> </w:t>
      </w:r>
      <w:r>
        <w:rPr>
          <w:sz w:val="17"/>
        </w:rPr>
        <w:t>lo</w:t>
      </w:r>
    </w:p>
    <w:p>
      <w:pPr>
        <w:pStyle w:val="BodyText"/>
        <w:spacing w:before="6"/>
        <w:rPr>
          <w:rFonts w:ascii="Times New Roman"/>
          <w:sz w:val="10"/>
        </w:rPr>
      </w:pPr>
    </w:p>
    <w:p>
      <w:pPr>
        <w:pStyle w:val="ListParagraph"/>
        <w:numPr>
          <w:ilvl w:val="0"/>
          <w:numId w:val="23"/>
        </w:numPr>
        <w:tabs>
          <w:tab w:pos="1458" w:val="left" w:leader="none"/>
          <w:tab w:pos="1459" w:val="left" w:leader="none"/>
        </w:tabs>
        <w:spacing w:line="240" w:lineRule="auto" w:before="80" w:after="0"/>
        <w:ind w:left="1458" w:right="0" w:hanging="549"/>
        <w:jc w:val="left"/>
        <w:rPr>
          <w:sz w:val="17"/>
        </w:rPr>
      </w:pPr>
      <w:r>
        <w:rPr>
          <w:sz w:val="17"/>
        </w:rPr>
        <w:t>anterior,  es  probable  que  el  tizón  tardío  de  la  papa  continuará  siendo  un     </w:t>
      </w:r>
      <w:r>
        <w:rPr>
          <w:spacing w:val="40"/>
          <w:sz w:val="17"/>
        </w:rPr>
        <w:t> </w:t>
      </w:r>
      <w:r>
        <w:rPr>
          <w:sz w:val="17"/>
        </w:rPr>
        <w:t>importante</w:t>
      </w:r>
    </w:p>
    <w:p>
      <w:pPr>
        <w:pStyle w:val="BodyText"/>
        <w:spacing w:before="6"/>
        <w:rPr>
          <w:rFonts w:ascii="Times New Roman"/>
          <w:sz w:val="10"/>
        </w:rPr>
      </w:pPr>
    </w:p>
    <w:p>
      <w:pPr>
        <w:pStyle w:val="ListParagraph"/>
        <w:numPr>
          <w:ilvl w:val="0"/>
          <w:numId w:val="23"/>
        </w:numPr>
        <w:tabs>
          <w:tab w:pos="1458" w:val="left" w:leader="none"/>
          <w:tab w:pos="1459" w:val="left" w:leader="none"/>
        </w:tabs>
        <w:spacing w:line="240" w:lineRule="auto" w:before="80" w:after="0"/>
        <w:ind w:left="1458" w:right="0" w:hanging="549"/>
        <w:jc w:val="left"/>
        <w:rPr>
          <w:sz w:val="17"/>
        </w:rPr>
      </w:pPr>
      <w:r>
        <w:rPr>
          <w:sz w:val="17"/>
        </w:rPr>
        <w:t>problema para la producción de esta </w:t>
      </w:r>
      <w:r>
        <w:rPr>
          <w:spacing w:val="31"/>
          <w:sz w:val="17"/>
        </w:rPr>
        <w:t> </w:t>
      </w:r>
      <w:r>
        <w:rPr>
          <w:sz w:val="17"/>
        </w:rPr>
        <w:t>hortaliza.</w:t>
      </w:r>
    </w:p>
    <w:p>
      <w:pPr>
        <w:pStyle w:val="BodyText"/>
        <w:spacing w:before="5"/>
        <w:rPr>
          <w:rFonts w:ascii="Times New Roman"/>
          <w:sz w:val="17"/>
        </w:rPr>
      </w:pPr>
    </w:p>
    <w:p>
      <w:pPr>
        <w:pStyle w:val="ListParagraph"/>
        <w:numPr>
          <w:ilvl w:val="0"/>
          <w:numId w:val="23"/>
        </w:numPr>
        <w:tabs>
          <w:tab w:pos="1202" w:val="left" w:leader="none"/>
        </w:tabs>
        <w:spacing w:line="240" w:lineRule="auto" w:before="0" w:after="0"/>
        <w:ind w:left="1201" w:right="0" w:hanging="292"/>
        <w:jc w:val="left"/>
        <w:rPr>
          <w:rFonts w:ascii="Cambria"/>
          <w:sz w:val="17"/>
        </w:rPr>
      </w:pPr>
    </w:p>
    <w:p>
      <w:pPr>
        <w:pStyle w:val="BodyText"/>
        <w:spacing w:before="4"/>
        <w:rPr>
          <w:rFonts w:ascii="Cambria"/>
          <w:sz w:val="10"/>
        </w:rPr>
      </w:pPr>
    </w:p>
    <w:p>
      <w:pPr>
        <w:pStyle w:val="ListParagraph"/>
        <w:numPr>
          <w:ilvl w:val="0"/>
          <w:numId w:val="23"/>
        </w:numPr>
        <w:tabs>
          <w:tab w:pos="3777" w:val="left" w:leader="none"/>
          <w:tab w:pos="3778" w:val="left" w:leader="none"/>
        </w:tabs>
        <w:spacing w:line="240" w:lineRule="auto" w:before="79" w:after="0"/>
        <w:ind w:left="3778" w:right="0" w:hanging="2869"/>
        <w:jc w:val="left"/>
        <w:rPr>
          <w:b/>
          <w:sz w:val="17"/>
        </w:rPr>
      </w:pPr>
      <w:r>
        <w:rPr>
          <w:b/>
          <w:sz w:val="17"/>
        </w:rPr>
        <w:t>AGRADECIMIENTOS</w:t>
      </w:r>
    </w:p>
    <w:p>
      <w:pPr>
        <w:pStyle w:val="BodyText"/>
        <w:spacing w:before="6"/>
        <w:rPr>
          <w:rFonts w:ascii="Times New Roman"/>
          <w:b/>
          <w:sz w:val="10"/>
        </w:rPr>
      </w:pPr>
    </w:p>
    <w:p>
      <w:pPr>
        <w:pStyle w:val="ListParagraph"/>
        <w:numPr>
          <w:ilvl w:val="0"/>
          <w:numId w:val="23"/>
        </w:numPr>
        <w:tabs>
          <w:tab w:pos="1458" w:val="left" w:leader="none"/>
          <w:tab w:pos="1459" w:val="left" w:leader="none"/>
        </w:tabs>
        <w:spacing w:line="240" w:lineRule="auto" w:before="80" w:after="0"/>
        <w:ind w:left="1458" w:right="0" w:hanging="549"/>
        <w:jc w:val="left"/>
        <w:rPr>
          <w:sz w:val="17"/>
        </w:rPr>
      </w:pPr>
      <w:r>
        <w:rPr>
          <w:sz w:val="17"/>
        </w:rPr>
        <w:t>Los</w:t>
      </w:r>
      <w:r>
        <w:rPr>
          <w:spacing w:val="16"/>
          <w:sz w:val="17"/>
        </w:rPr>
        <w:t> </w:t>
      </w:r>
      <w:r>
        <w:rPr>
          <w:sz w:val="17"/>
        </w:rPr>
        <w:t>autores</w:t>
      </w:r>
      <w:r>
        <w:rPr>
          <w:spacing w:val="16"/>
          <w:sz w:val="17"/>
        </w:rPr>
        <w:t> </w:t>
      </w:r>
      <w:r>
        <w:rPr>
          <w:sz w:val="17"/>
        </w:rPr>
        <w:t>agradecemos</w:t>
      </w:r>
      <w:r>
        <w:rPr>
          <w:spacing w:val="16"/>
          <w:sz w:val="17"/>
        </w:rPr>
        <w:t> </w:t>
      </w:r>
      <w:r>
        <w:rPr>
          <w:sz w:val="17"/>
        </w:rPr>
        <w:t>al</w:t>
      </w:r>
      <w:r>
        <w:rPr>
          <w:spacing w:val="16"/>
          <w:sz w:val="17"/>
        </w:rPr>
        <w:t> </w:t>
      </w:r>
      <w:r>
        <w:rPr>
          <w:sz w:val="17"/>
        </w:rPr>
        <w:t>Consejo</w:t>
      </w:r>
      <w:r>
        <w:rPr>
          <w:spacing w:val="16"/>
          <w:sz w:val="17"/>
        </w:rPr>
        <w:t> </w:t>
      </w:r>
      <w:r>
        <w:rPr>
          <w:sz w:val="17"/>
        </w:rPr>
        <w:t>Nacional</w:t>
      </w:r>
      <w:r>
        <w:rPr>
          <w:spacing w:val="16"/>
          <w:sz w:val="17"/>
        </w:rPr>
        <w:t> </w:t>
      </w:r>
      <w:r>
        <w:rPr>
          <w:sz w:val="17"/>
        </w:rPr>
        <w:t>de</w:t>
      </w:r>
      <w:r>
        <w:rPr>
          <w:spacing w:val="16"/>
          <w:sz w:val="17"/>
        </w:rPr>
        <w:t> </w:t>
      </w:r>
      <w:r>
        <w:rPr>
          <w:sz w:val="17"/>
        </w:rPr>
        <w:t>Ciencia</w:t>
      </w:r>
      <w:r>
        <w:rPr>
          <w:spacing w:val="16"/>
          <w:sz w:val="17"/>
        </w:rPr>
        <w:t> </w:t>
      </w:r>
      <w:r>
        <w:rPr>
          <w:sz w:val="17"/>
        </w:rPr>
        <w:t>y</w:t>
      </w:r>
      <w:r>
        <w:rPr>
          <w:spacing w:val="16"/>
          <w:sz w:val="17"/>
        </w:rPr>
        <w:t> </w:t>
      </w:r>
      <w:r>
        <w:rPr>
          <w:sz w:val="17"/>
        </w:rPr>
        <w:t>Tecnología</w:t>
      </w:r>
      <w:r>
        <w:rPr>
          <w:spacing w:val="16"/>
          <w:sz w:val="17"/>
        </w:rPr>
        <w:t> </w:t>
      </w:r>
      <w:r>
        <w:rPr>
          <w:sz w:val="17"/>
        </w:rPr>
        <w:t>(CONACyT)</w:t>
      </w:r>
      <w:r>
        <w:rPr>
          <w:spacing w:val="16"/>
          <w:sz w:val="17"/>
        </w:rPr>
        <w:t> </w:t>
      </w:r>
      <w:r>
        <w:rPr>
          <w:sz w:val="17"/>
        </w:rPr>
        <w:t>por</w:t>
      </w:r>
      <w:r>
        <w:rPr>
          <w:spacing w:val="16"/>
          <w:sz w:val="17"/>
        </w:rPr>
        <w:t> </w:t>
      </w:r>
      <w:r>
        <w:rPr>
          <w:sz w:val="17"/>
        </w:rPr>
        <w:t>la</w:t>
      </w:r>
    </w:p>
    <w:p>
      <w:pPr>
        <w:pStyle w:val="ListParagraph"/>
        <w:numPr>
          <w:ilvl w:val="0"/>
          <w:numId w:val="23"/>
        </w:numPr>
        <w:tabs>
          <w:tab w:pos="1458" w:val="left" w:leader="none"/>
          <w:tab w:pos="1459" w:val="left" w:leader="none"/>
        </w:tabs>
        <w:spacing w:line="240" w:lineRule="auto" w:before="100" w:after="0"/>
        <w:ind w:left="1458" w:right="0" w:hanging="549"/>
        <w:jc w:val="left"/>
        <w:rPr>
          <w:sz w:val="17"/>
        </w:rPr>
      </w:pPr>
      <w:r>
        <w:rPr>
          <w:sz w:val="17"/>
        </w:rPr>
        <w:t>beca  otorgada  a  López  Orona  para  la  realización  de  sus  estudios  de  Doctorado,  a    </w:t>
      </w:r>
      <w:r>
        <w:rPr>
          <w:spacing w:val="33"/>
          <w:sz w:val="17"/>
        </w:rPr>
        <w:t> </w:t>
      </w:r>
      <w:r>
        <w:rPr>
          <w:sz w:val="17"/>
        </w:rPr>
        <w:t>la</w:t>
      </w:r>
    </w:p>
    <w:p>
      <w:pPr>
        <w:pStyle w:val="ListParagraph"/>
        <w:numPr>
          <w:ilvl w:val="0"/>
          <w:numId w:val="23"/>
        </w:numPr>
        <w:tabs>
          <w:tab w:pos="1458" w:val="left" w:leader="none"/>
          <w:tab w:pos="1459" w:val="left" w:leader="none"/>
        </w:tabs>
        <w:spacing w:line="240" w:lineRule="auto" w:before="103" w:after="0"/>
        <w:ind w:left="1458" w:right="0" w:hanging="549"/>
        <w:jc w:val="left"/>
        <w:rPr>
          <w:sz w:val="17"/>
        </w:rPr>
      </w:pPr>
      <w:r>
        <w:rPr>
          <w:sz w:val="17"/>
        </w:rPr>
        <w:t>Universidad </w:t>
      </w:r>
      <w:r>
        <w:rPr>
          <w:spacing w:val="29"/>
          <w:sz w:val="17"/>
        </w:rPr>
        <w:t> </w:t>
      </w:r>
      <w:r>
        <w:rPr>
          <w:sz w:val="17"/>
        </w:rPr>
        <w:t>Autónoma </w:t>
      </w:r>
      <w:r>
        <w:rPr>
          <w:spacing w:val="29"/>
          <w:sz w:val="17"/>
        </w:rPr>
        <w:t> </w:t>
      </w:r>
      <w:r>
        <w:rPr>
          <w:sz w:val="17"/>
        </w:rPr>
        <w:t>del </w:t>
      </w:r>
      <w:r>
        <w:rPr>
          <w:spacing w:val="29"/>
          <w:sz w:val="17"/>
        </w:rPr>
        <w:t> </w:t>
      </w:r>
      <w:r>
        <w:rPr>
          <w:sz w:val="17"/>
        </w:rPr>
        <w:t>Estado </w:t>
      </w:r>
      <w:r>
        <w:rPr>
          <w:spacing w:val="29"/>
          <w:sz w:val="17"/>
        </w:rPr>
        <w:t> </w:t>
      </w:r>
      <w:r>
        <w:rPr>
          <w:sz w:val="17"/>
        </w:rPr>
        <w:t>de </w:t>
      </w:r>
      <w:r>
        <w:rPr>
          <w:spacing w:val="29"/>
          <w:sz w:val="17"/>
        </w:rPr>
        <w:t> </w:t>
      </w:r>
      <w:r>
        <w:rPr>
          <w:sz w:val="17"/>
        </w:rPr>
        <w:t>México </w:t>
      </w:r>
      <w:r>
        <w:rPr>
          <w:spacing w:val="29"/>
          <w:sz w:val="17"/>
        </w:rPr>
        <w:t> </w:t>
      </w:r>
      <w:r>
        <w:rPr>
          <w:sz w:val="17"/>
        </w:rPr>
        <w:t>por </w:t>
      </w:r>
      <w:r>
        <w:rPr>
          <w:spacing w:val="29"/>
          <w:sz w:val="17"/>
        </w:rPr>
        <w:t> </w:t>
      </w:r>
      <w:r>
        <w:rPr>
          <w:sz w:val="17"/>
        </w:rPr>
        <w:t>el </w:t>
      </w:r>
      <w:r>
        <w:rPr>
          <w:spacing w:val="29"/>
          <w:sz w:val="17"/>
        </w:rPr>
        <w:t> </w:t>
      </w:r>
      <w:r>
        <w:rPr>
          <w:sz w:val="17"/>
        </w:rPr>
        <w:t>financiamiento </w:t>
      </w:r>
      <w:r>
        <w:rPr>
          <w:spacing w:val="29"/>
          <w:sz w:val="17"/>
        </w:rPr>
        <w:t> </w:t>
      </w:r>
      <w:r>
        <w:rPr>
          <w:sz w:val="17"/>
        </w:rPr>
        <w:t>al </w:t>
      </w:r>
      <w:r>
        <w:rPr>
          <w:spacing w:val="29"/>
          <w:sz w:val="17"/>
        </w:rPr>
        <w:t> </w:t>
      </w:r>
      <w:r>
        <w:rPr>
          <w:sz w:val="17"/>
        </w:rPr>
        <w:t>proyecto </w:t>
      </w:r>
      <w:r>
        <w:rPr>
          <w:spacing w:val="29"/>
          <w:sz w:val="17"/>
        </w:rPr>
        <w:t> </w:t>
      </w:r>
      <w:r>
        <w:rPr>
          <w:sz w:val="17"/>
        </w:rPr>
        <w:t>de</w:t>
      </w:r>
    </w:p>
    <w:p>
      <w:pPr>
        <w:pStyle w:val="ListParagraph"/>
        <w:numPr>
          <w:ilvl w:val="0"/>
          <w:numId w:val="23"/>
        </w:numPr>
        <w:tabs>
          <w:tab w:pos="1458" w:val="left" w:leader="none"/>
          <w:tab w:pos="1459" w:val="left" w:leader="none"/>
        </w:tabs>
        <w:spacing w:line="240" w:lineRule="auto" w:before="100" w:after="0"/>
        <w:ind w:left="1458" w:right="0" w:hanging="549"/>
        <w:jc w:val="left"/>
        <w:rPr>
          <w:sz w:val="17"/>
        </w:rPr>
      </w:pPr>
      <w:r>
        <w:rPr>
          <w:sz w:val="17"/>
        </w:rPr>
        <w:t>investigación, a la Universidad Autónoma de Sinaloa    </w:t>
      </w:r>
      <w:r>
        <w:rPr>
          <w:spacing w:val="19"/>
          <w:sz w:val="17"/>
        </w:rPr>
        <w:t> </w:t>
      </w:r>
      <w:r>
        <w:rPr>
          <w:sz w:val="17"/>
        </w:rPr>
        <w:t>por el apoyo otorgado a López Orona</w:t>
      </w:r>
    </w:p>
    <w:p>
      <w:pPr>
        <w:pStyle w:val="ListParagraph"/>
        <w:numPr>
          <w:ilvl w:val="0"/>
          <w:numId w:val="23"/>
        </w:numPr>
        <w:tabs>
          <w:tab w:pos="1458" w:val="left" w:leader="none"/>
          <w:tab w:pos="1459" w:val="left" w:leader="none"/>
        </w:tabs>
        <w:spacing w:line="240" w:lineRule="auto" w:before="100" w:after="0"/>
        <w:ind w:left="1458" w:right="0" w:hanging="549"/>
        <w:jc w:val="left"/>
        <w:rPr>
          <w:sz w:val="17"/>
        </w:rPr>
      </w:pPr>
      <w:r>
        <w:rPr>
          <w:sz w:val="17"/>
        </w:rPr>
        <w:t>a través del Programa de Doctores </w:t>
      </w:r>
      <w:r>
        <w:rPr>
          <w:spacing w:val="27"/>
          <w:sz w:val="17"/>
        </w:rPr>
        <w:t> </w:t>
      </w:r>
      <w:r>
        <w:rPr>
          <w:sz w:val="17"/>
        </w:rPr>
        <w:t>Jóvenes.</w:t>
      </w:r>
    </w:p>
    <w:p>
      <w:pPr>
        <w:pStyle w:val="ListParagraph"/>
        <w:numPr>
          <w:ilvl w:val="0"/>
          <w:numId w:val="23"/>
        </w:numPr>
        <w:tabs>
          <w:tab w:pos="1202" w:val="left" w:leader="none"/>
        </w:tabs>
        <w:spacing w:line="240" w:lineRule="auto" w:before="100" w:after="0"/>
        <w:ind w:left="1201" w:right="0" w:hanging="292"/>
        <w:jc w:val="left"/>
        <w:rPr>
          <w:rFonts w:ascii="Cambria"/>
          <w:sz w:val="17"/>
        </w:rPr>
      </w:pPr>
    </w:p>
    <w:p>
      <w:pPr>
        <w:pStyle w:val="BodyText"/>
        <w:spacing w:before="1"/>
        <w:rPr>
          <w:rFonts w:ascii="Cambria"/>
          <w:sz w:val="17"/>
        </w:rPr>
      </w:pPr>
    </w:p>
    <w:p>
      <w:pPr>
        <w:pStyle w:val="ListParagraph"/>
        <w:numPr>
          <w:ilvl w:val="0"/>
          <w:numId w:val="23"/>
        </w:numPr>
        <w:tabs>
          <w:tab w:pos="1202" w:val="left" w:leader="none"/>
        </w:tabs>
        <w:spacing w:line="240" w:lineRule="auto" w:before="0" w:after="0"/>
        <w:ind w:left="1201" w:right="0" w:hanging="292"/>
        <w:jc w:val="left"/>
        <w:rPr>
          <w:rFonts w:ascii="Cambria"/>
          <w:sz w:val="17"/>
        </w:rPr>
      </w:pPr>
    </w:p>
    <w:p>
      <w:pPr>
        <w:pStyle w:val="BodyText"/>
        <w:spacing w:before="1"/>
        <w:rPr>
          <w:rFonts w:ascii="Cambria"/>
          <w:sz w:val="17"/>
        </w:rPr>
      </w:pPr>
    </w:p>
    <w:p>
      <w:pPr>
        <w:pStyle w:val="ListParagraph"/>
        <w:numPr>
          <w:ilvl w:val="0"/>
          <w:numId w:val="23"/>
        </w:numPr>
        <w:tabs>
          <w:tab w:pos="1202" w:val="left" w:leader="none"/>
        </w:tabs>
        <w:spacing w:line="240" w:lineRule="auto" w:before="0" w:after="0"/>
        <w:ind w:left="1201" w:right="0" w:hanging="292"/>
        <w:jc w:val="left"/>
        <w:rPr>
          <w:rFonts w:ascii="Cambria"/>
          <w:sz w:val="17"/>
        </w:rPr>
      </w:pPr>
    </w:p>
    <w:p>
      <w:pPr>
        <w:pStyle w:val="BodyText"/>
        <w:spacing w:before="1"/>
        <w:rPr>
          <w:rFonts w:ascii="Cambria"/>
          <w:sz w:val="17"/>
        </w:rPr>
      </w:pPr>
    </w:p>
    <w:p>
      <w:pPr>
        <w:pStyle w:val="ListParagraph"/>
        <w:numPr>
          <w:ilvl w:val="0"/>
          <w:numId w:val="23"/>
        </w:numPr>
        <w:tabs>
          <w:tab w:pos="1202" w:val="left" w:leader="none"/>
        </w:tabs>
        <w:spacing w:line="240" w:lineRule="auto" w:before="0" w:after="0"/>
        <w:ind w:left="1201" w:right="0" w:hanging="292"/>
        <w:jc w:val="left"/>
        <w:rPr>
          <w:rFonts w:ascii="Cambria"/>
          <w:sz w:val="17"/>
        </w:rPr>
      </w:pPr>
    </w:p>
    <w:p>
      <w:pPr>
        <w:pStyle w:val="BodyText"/>
        <w:spacing w:before="1"/>
        <w:rPr>
          <w:rFonts w:ascii="Cambria"/>
          <w:sz w:val="17"/>
        </w:rPr>
      </w:pPr>
    </w:p>
    <w:p>
      <w:pPr>
        <w:pStyle w:val="ListParagraph"/>
        <w:numPr>
          <w:ilvl w:val="0"/>
          <w:numId w:val="23"/>
        </w:numPr>
        <w:tabs>
          <w:tab w:pos="1202" w:val="left" w:leader="none"/>
        </w:tabs>
        <w:spacing w:line="240" w:lineRule="auto" w:before="0" w:after="0"/>
        <w:ind w:left="1201" w:right="0" w:hanging="292"/>
        <w:jc w:val="left"/>
        <w:rPr>
          <w:rFonts w:ascii="Cambria"/>
          <w:sz w:val="17"/>
        </w:rPr>
      </w:pPr>
    </w:p>
    <w:p>
      <w:pPr>
        <w:pStyle w:val="BodyText"/>
        <w:spacing w:before="1"/>
        <w:rPr>
          <w:rFonts w:ascii="Cambria"/>
          <w:sz w:val="17"/>
        </w:rPr>
      </w:pPr>
    </w:p>
    <w:p>
      <w:pPr>
        <w:pStyle w:val="ListParagraph"/>
        <w:numPr>
          <w:ilvl w:val="0"/>
          <w:numId w:val="23"/>
        </w:numPr>
        <w:tabs>
          <w:tab w:pos="1202" w:val="left" w:leader="none"/>
        </w:tabs>
        <w:spacing w:line="240" w:lineRule="auto" w:before="0" w:after="0"/>
        <w:ind w:left="1201" w:right="0" w:hanging="292"/>
        <w:jc w:val="left"/>
        <w:rPr>
          <w:rFonts w:ascii="Cambria"/>
          <w:sz w:val="17"/>
        </w:rPr>
      </w:pPr>
    </w:p>
    <w:p>
      <w:pPr>
        <w:pStyle w:val="BodyText"/>
        <w:spacing w:before="1"/>
        <w:rPr>
          <w:rFonts w:ascii="Cambria"/>
          <w:sz w:val="17"/>
        </w:rPr>
      </w:pPr>
    </w:p>
    <w:p>
      <w:pPr>
        <w:pStyle w:val="ListParagraph"/>
        <w:numPr>
          <w:ilvl w:val="0"/>
          <w:numId w:val="23"/>
        </w:numPr>
        <w:tabs>
          <w:tab w:pos="1202" w:val="left" w:leader="none"/>
        </w:tabs>
        <w:spacing w:line="240" w:lineRule="auto" w:before="0" w:after="0"/>
        <w:ind w:left="1201" w:right="0" w:hanging="292"/>
        <w:jc w:val="left"/>
        <w:rPr>
          <w:rFonts w:ascii="Cambria"/>
          <w:sz w:val="17"/>
        </w:rPr>
      </w:pPr>
    </w:p>
    <w:p>
      <w:pPr>
        <w:pStyle w:val="BodyText"/>
        <w:spacing w:before="1"/>
        <w:rPr>
          <w:rFonts w:ascii="Cambria"/>
          <w:sz w:val="17"/>
        </w:rPr>
      </w:pPr>
    </w:p>
    <w:p>
      <w:pPr>
        <w:pStyle w:val="ListParagraph"/>
        <w:numPr>
          <w:ilvl w:val="0"/>
          <w:numId w:val="23"/>
        </w:numPr>
        <w:tabs>
          <w:tab w:pos="1202" w:val="left" w:leader="none"/>
        </w:tabs>
        <w:spacing w:line="240" w:lineRule="auto" w:before="0" w:after="0"/>
        <w:ind w:left="1201" w:right="0" w:hanging="292"/>
        <w:jc w:val="left"/>
        <w:rPr>
          <w:rFonts w:ascii="Cambria"/>
          <w:sz w:val="17"/>
        </w:rPr>
      </w:pPr>
    </w:p>
    <w:p>
      <w:pPr>
        <w:pStyle w:val="BodyText"/>
        <w:spacing w:before="1"/>
        <w:rPr>
          <w:rFonts w:ascii="Cambria"/>
          <w:sz w:val="17"/>
        </w:rPr>
      </w:pPr>
    </w:p>
    <w:p>
      <w:pPr>
        <w:pStyle w:val="ListParagraph"/>
        <w:numPr>
          <w:ilvl w:val="0"/>
          <w:numId w:val="23"/>
        </w:numPr>
        <w:tabs>
          <w:tab w:pos="1202" w:val="left" w:leader="none"/>
        </w:tabs>
        <w:spacing w:line="240" w:lineRule="auto" w:before="0" w:after="0"/>
        <w:ind w:left="1201" w:right="0" w:hanging="292"/>
        <w:jc w:val="left"/>
        <w:rPr>
          <w:rFonts w:ascii="Cambria"/>
          <w:sz w:val="17"/>
        </w:rPr>
      </w:pPr>
    </w:p>
    <w:p>
      <w:pPr>
        <w:pStyle w:val="BodyText"/>
        <w:spacing w:before="1"/>
        <w:rPr>
          <w:rFonts w:ascii="Cambria"/>
          <w:sz w:val="17"/>
        </w:rPr>
      </w:pPr>
    </w:p>
    <w:p>
      <w:pPr>
        <w:pStyle w:val="ListParagraph"/>
        <w:numPr>
          <w:ilvl w:val="0"/>
          <w:numId w:val="23"/>
        </w:numPr>
        <w:tabs>
          <w:tab w:pos="1202" w:val="left" w:leader="none"/>
        </w:tabs>
        <w:spacing w:line="240" w:lineRule="auto" w:before="0" w:after="0"/>
        <w:ind w:left="1201" w:right="0" w:hanging="292"/>
        <w:jc w:val="left"/>
        <w:rPr>
          <w:rFonts w:ascii="Cambria"/>
          <w:sz w:val="17"/>
        </w:rPr>
      </w:pPr>
    </w:p>
    <w:p>
      <w:pPr>
        <w:spacing w:after="0" w:line="240" w:lineRule="auto"/>
        <w:jc w:val="left"/>
        <w:rPr>
          <w:rFonts w:ascii="Cambria"/>
          <w:sz w:val="17"/>
        </w:rPr>
        <w:sectPr>
          <w:pgSz w:w="12240" w:h="15840"/>
          <w:pgMar w:header="719" w:footer="740" w:top="1260" w:bottom="920" w:left="1460" w:right="1440"/>
        </w:sect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spacing w:before="6"/>
        <w:rPr>
          <w:rFonts w:ascii="Cambria"/>
          <w:sz w:val="19"/>
        </w:rPr>
      </w:pPr>
    </w:p>
    <w:p>
      <w:pPr>
        <w:pStyle w:val="ListParagraph"/>
        <w:numPr>
          <w:ilvl w:val="0"/>
          <w:numId w:val="23"/>
        </w:numPr>
        <w:tabs>
          <w:tab w:pos="1463" w:val="left" w:leader="none"/>
          <w:tab w:pos="1464" w:val="left" w:leader="none"/>
        </w:tabs>
        <w:spacing w:line="240" w:lineRule="auto" w:before="80" w:after="0"/>
        <w:ind w:left="1463" w:right="0" w:hanging="550"/>
        <w:jc w:val="left"/>
        <w:rPr>
          <w:b/>
          <w:sz w:val="17"/>
        </w:rPr>
      </w:pPr>
      <w:r>
        <w:rPr>
          <w:b/>
          <w:sz w:val="17"/>
        </w:rPr>
        <w:t>BIBLIOGRAFÍA</w:t>
      </w:r>
    </w:p>
    <w:p>
      <w:pPr>
        <w:pStyle w:val="BodyText"/>
        <w:spacing w:before="6"/>
        <w:rPr>
          <w:rFonts w:ascii="Times New Roman"/>
          <w:b/>
          <w:sz w:val="10"/>
        </w:rPr>
      </w:pPr>
    </w:p>
    <w:p>
      <w:pPr>
        <w:pStyle w:val="ListParagraph"/>
        <w:numPr>
          <w:ilvl w:val="0"/>
          <w:numId w:val="23"/>
        </w:numPr>
        <w:tabs>
          <w:tab w:pos="1463" w:val="left" w:leader="none"/>
          <w:tab w:pos="1464" w:val="left" w:leader="none"/>
        </w:tabs>
        <w:spacing w:line="240" w:lineRule="auto" w:before="79" w:after="0"/>
        <w:ind w:left="1463" w:right="0" w:hanging="550"/>
        <w:jc w:val="left"/>
        <w:rPr>
          <w:sz w:val="17"/>
        </w:rPr>
      </w:pPr>
      <w:r>
        <w:rPr>
          <w:sz w:val="17"/>
        </w:rPr>
        <w:t>Alarcón</w:t>
      </w:r>
      <w:r>
        <w:rPr>
          <w:spacing w:val="24"/>
          <w:sz w:val="17"/>
        </w:rPr>
        <w:t> </w:t>
      </w:r>
      <w:r>
        <w:rPr>
          <w:sz w:val="17"/>
        </w:rPr>
        <w:t>Rodríguez</w:t>
      </w:r>
      <w:r>
        <w:rPr>
          <w:spacing w:val="24"/>
          <w:sz w:val="17"/>
        </w:rPr>
        <w:t> </w:t>
      </w:r>
      <w:r>
        <w:rPr>
          <w:sz w:val="17"/>
        </w:rPr>
        <w:t>N.</w:t>
      </w:r>
      <w:r>
        <w:rPr>
          <w:spacing w:val="24"/>
          <w:sz w:val="17"/>
        </w:rPr>
        <w:t> </w:t>
      </w:r>
      <w:r>
        <w:rPr>
          <w:sz w:val="17"/>
        </w:rPr>
        <w:t>M.,</w:t>
      </w:r>
      <w:r>
        <w:rPr>
          <w:spacing w:val="24"/>
          <w:sz w:val="17"/>
        </w:rPr>
        <w:t> </w:t>
      </w:r>
      <w:r>
        <w:rPr>
          <w:sz w:val="17"/>
        </w:rPr>
        <w:t>Lozoya</w:t>
      </w:r>
      <w:r>
        <w:rPr>
          <w:spacing w:val="24"/>
          <w:sz w:val="17"/>
        </w:rPr>
        <w:t> </w:t>
      </w:r>
      <w:r>
        <w:rPr>
          <w:sz w:val="17"/>
        </w:rPr>
        <w:t>Saldaña</w:t>
      </w:r>
      <w:r>
        <w:rPr>
          <w:spacing w:val="24"/>
          <w:sz w:val="17"/>
        </w:rPr>
        <w:t> </w:t>
      </w:r>
      <w:r>
        <w:rPr>
          <w:sz w:val="17"/>
        </w:rPr>
        <w:t>H.,</w:t>
      </w:r>
      <w:r>
        <w:rPr>
          <w:spacing w:val="24"/>
          <w:sz w:val="17"/>
        </w:rPr>
        <w:t> </w:t>
      </w:r>
      <w:r>
        <w:rPr>
          <w:sz w:val="17"/>
        </w:rPr>
        <w:t>Valadez</w:t>
      </w:r>
      <w:r>
        <w:rPr>
          <w:spacing w:val="24"/>
          <w:sz w:val="17"/>
        </w:rPr>
        <w:t> </w:t>
      </w:r>
      <w:r>
        <w:rPr>
          <w:sz w:val="17"/>
        </w:rPr>
        <w:t>Moctezuma</w:t>
      </w:r>
      <w:r>
        <w:rPr>
          <w:spacing w:val="25"/>
          <w:sz w:val="17"/>
        </w:rPr>
        <w:t> </w:t>
      </w:r>
      <w:r>
        <w:rPr>
          <w:sz w:val="17"/>
        </w:rPr>
        <w:t>E.,</w:t>
      </w:r>
      <w:r>
        <w:rPr>
          <w:spacing w:val="24"/>
          <w:sz w:val="17"/>
        </w:rPr>
        <w:t> </w:t>
      </w:r>
      <w:r>
        <w:rPr>
          <w:sz w:val="17"/>
        </w:rPr>
        <w:t>García-Mateos</w:t>
      </w:r>
      <w:r>
        <w:rPr>
          <w:spacing w:val="24"/>
          <w:sz w:val="17"/>
        </w:rPr>
        <w:t> </w:t>
      </w:r>
      <w:r>
        <w:rPr>
          <w:sz w:val="17"/>
        </w:rPr>
        <w:t>M.</w:t>
      </w:r>
    </w:p>
    <w:p>
      <w:pPr>
        <w:pStyle w:val="ListParagraph"/>
        <w:numPr>
          <w:ilvl w:val="0"/>
          <w:numId w:val="23"/>
        </w:numPr>
        <w:tabs>
          <w:tab w:pos="1463" w:val="left" w:leader="none"/>
          <w:tab w:pos="1464" w:val="left" w:leader="none"/>
        </w:tabs>
        <w:spacing w:line="240" w:lineRule="auto" w:before="100" w:after="0"/>
        <w:ind w:left="1463" w:right="0" w:hanging="550"/>
        <w:jc w:val="left"/>
        <w:rPr>
          <w:i/>
          <w:sz w:val="17"/>
        </w:rPr>
      </w:pPr>
      <w:r>
        <w:rPr>
          <w:sz w:val="17"/>
        </w:rPr>
        <w:t>R.  y  Colinas-León  M.  T.  Genetic  diversity  of  potato  late  blight  [</w:t>
      </w:r>
      <w:r>
        <w:rPr>
          <w:i/>
          <w:sz w:val="17"/>
        </w:rPr>
        <w:t>Phytophthora</w:t>
      </w:r>
      <w:r>
        <w:rPr>
          <w:i/>
          <w:spacing w:val="-8"/>
          <w:sz w:val="17"/>
        </w:rPr>
        <w:t> </w:t>
      </w:r>
      <w:r>
        <w:rPr>
          <w:i/>
          <w:sz w:val="17"/>
        </w:rPr>
        <w:t>infestans</w:t>
      </w:r>
    </w:p>
    <w:p>
      <w:pPr>
        <w:pStyle w:val="ListParagraph"/>
        <w:numPr>
          <w:ilvl w:val="0"/>
          <w:numId w:val="23"/>
        </w:numPr>
        <w:tabs>
          <w:tab w:pos="1463" w:val="left" w:leader="none"/>
          <w:tab w:pos="1464" w:val="left" w:leader="none"/>
        </w:tabs>
        <w:spacing w:line="240" w:lineRule="auto" w:before="103" w:after="0"/>
        <w:ind w:left="1463" w:right="0" w:hanging="550"/>
        <w:jc w:val="left"/>
        <w:rPr>
          <w:sz w:val="17"/>
        </w:rPr>
      </w:pPr>
      <w:r>
        <w:rPr>
          <w:sz w:val="17"/>
        </w:rPr>
        <w:t>(Mont) de Bary] at Chapingo, México. Agrociencia 47: 593-607.  </w:t>
      </w:r>
      <w:r>
        <w:rPr>
          <w:spacing w:val="28"/>
          <w:sz w:val="17"/>
        </w:rPr>
        <w:t> </w:t>
      </w:r>
      <w:r>
        <w:rPr>
          <w:sz w:val="17"/>
        </w:rPr>
        <w:t>2013.</w:t>
      </w:r>
    </w:p>
    <w:p>
      <w:pPr>
        <w:pStyle w:val="BodyText"/>
        <w:spacing w:before="10"/>
        <w:rPr>
          <w:rFonts w:ascii="Times New Roman"/>
          <w:sz w:val="16"/>
        </w:rPr>
      </w:pPr>
    </w:p>
    <w:p>
      <w:pPr>
        <w:pStyle w:val="ListParagraph"/>
        <w:numPr>
          <w:ilvl w:val="0"/>
          <w:numId w:val="23"/>
        </w:numPr>
        <w:tabs>
          <w:tab w:pos="1463" w:val="left" w:leader="none"/>
          <w:tab w:pos="1464" w:val="left" w:leader="none"/>
        </w:tabs>
        <w:spacing w:line="240" w:lineRule="auto" w:before="79" w:after="0"/>
        <w:ind w:left="1463" w:right="0" w:hanging="550"/>
        <w:jc w:val="left"/>
        <w:rPr>
          <w:sz w:val="17"/>
        </w:rPr>
      </w:pPr>
      <w:r>
        <w:rPr>
          <w:sz w:val="17"/>
        </w:rPr>
        <w:t>Erwin  D.  C.,  y  Ribeiro  O.  K.  1996.  </w:t>
      </w:r>
      <w:r>
        <w:rPr>
          <w:i/>
          <w:sz w:val="17"/>
        </w:rPr>
        <w:t>Phytophthora  </w:t>
      </w:r>
      <w:r>
        <w:rPr>
          <w:sz w:val="17"/>
        </w:rPr>
        <w:t>Diseases  Worldwide.  The </w:t>
      </w:r>
      <w:r>
        <w:rPr>
          <w:spacing w:val="17"/>
          <w:sz w:val="17"/>
        </w:rPr>
        <w:t> </w:t>
      </w:r>
      <w:r>
        <w:rPr>
          <w:sz w:val="17"/>
        </w:rPr>
        <w:t>American</w:t>
      </w:r>
    </w:p>
    <w:p>
      <w:pPr>
        <w:pStyle w:val="ListParagraph"/>
        <w:numPr>
          <w:ilvl w:val="0"/>
          <w:numId w:val="23"/>
        </w:numPr>
        <w:tabs>
          <w:tab w:pos="1463" w:val="left" w:leader="none"/>
          <w:tab w:pos="1464" w:val="left" w:leader="none"/>
        </w:tabs>
        <w:spacing w:line="240" w:lineRule="auto" w:before="100" w:after="0"/>
        <w:ind w:left="1463" w:right="0" w:hanging="550"/>
        <w:jc w:val="left"/>
        <w:rPr>
          <w:sz w:val="17"/>
        </w:rPr>
      </w:pPr>
      <w:r>
        <w:rPr>
          <w:sz w:val="17"/>
        </w:rPr>
        <w:t>Phytopathological Society. St. Paul, United States of America. 562  </w:t>
      </w:r>
      <w:r>
        <w:rPr>
          <w:spacing w:val="27"/>
          <w:sz w:val="17"/>
        </w:rPr>
        <w:t> </w:t>
      </w:r>
      <w:r>
        <w:rPr>
          <w:sz w:val="17"/>
        </w:rPr>
        <w:t>pp.</w:t>
      </w:r>
    </w:p>
    <w:p>
      <w:pPr>
        <w:pStyle w:val="BodyText"/>
        <w:spacing w:before="10"/>
        <w:rPr>
          <w:rFonts w:ascii="Times New Roman"/>
          <w:sz w:val="16"/>
        </w:rPr>
      </w:pPr>
    </w:p>
    <w:p>
      <w:pPr>
        <w:pStyle w:val="ListParagraph"/>
        <w:numPr>
          <w:ilvl w:val="0"/>
          <w:numId w:val="23"/>
        </w:numPr>
        <w:tabs>
          <w:tab w:pos="1463" w:val="left" w:leader="none"/>
          <w:tab w:pos="1464" w:val="left" w:leader="none"/>
        </w:tabs>
        <w:spacing w:line="240" w:lineRule="auto" w:before="79" w:after="0"/>
        <w:ind w:left="1463" w:right="0" w:hanging="550"/>
        <w:jc w:val="left"/>
        <w:rPr>
          <w:sz w:val="17"/>
        </w:rPr>
      </w:pPr>
      <w:r>
        <w:rPr>
          <w:sz w:val="17"/>
        </w:rPr>
        <w:t>Fernández  Pavia  S.P.,  Rodríguez  Alvarado  G.,  Garay  Serrano  E.,  Belmar  Díaz     </w:t>
      </w:r>
      <w:r>
        <w:rPr>
          <w:spacing w:val="41"/>
          <w:sz w:val="17"/>
        </w:rPr>
        <w:t> </w:t>
      </w:r>
      <w:r>
        <w:rPr>
          <w:sz w:val="17"/>
        </w:rPr>
        <w:t>C.R.,</w:t>
      </w:r>
    </w:p>
    <w:p>
      <w:pPr>
        <w:pStyle w:val="ListParagraph"/>
        <w:numPr>
          <w:ilvl w:val="0"/>
          <w:numId w:val="23"/>
        </w:numPr>
        <w:tabs>
          <w:tab w:pos="1463" w:val="left" w:leader="none"/>
          <w:tab w:pos="1464" w:val="left" w:leader="none"/>
        </w:tabs>
        <w:spacing w:line="240" w:lineRule="auto" w:before="103" w:after="0"/>
        <w:ind w:left="1463" w:right="0" w:hanging="550"/>
        <w:jc w:val="left"/>
        <w:rPr>
          <w:sz w:val="17"/>
        </w:rPr>
      </w:pPr>
      <w:r>
        <w:rPr>
          <w:sz w:val="17"/>
        </w:rPr>
        <w:t>Sturbaum</w:t>
      </w:r>
      <w:r>
        <w:rPr>
          <w:spacing w:val="34"/>
          <w:sz w:val="17"/>
        </w:rPr>
        <w:t> </w:t>
      </w:r>
      <w:r>
        <w:rPr>
          <w:sz w:val="17"/>
        </w:rPr>
        <w:t>A.K.,</w:t>
      </w:r>
      <w:r>
        <w:rPr>
          <w:spacing w:val="34"/>
          <w:sz w:val="17"/>
        </w:rPr>
        <w:t> </w:t>
      </w:r>
      <w:r>
        <w:rPr>
          <w:sz w:val="17"/>
        </w:rPr>
        <w:t>Flier</w:t>
      </w:r>
      <w:r>
        <w:rPr>
          <w:spacing w:val="34"/>
          <w:sz w:val="17"/>
        </w:rPr>
        <w:t> </w:t>
      </w:r>
      <w:r>
        <w:rPr>
          <w:sz w:val="17"/>
        </w:rPr>
        <w:t>W.</w:t>
      </w:r>
      <w:r>
        <w:rPr>
          <w:spacing w:val="34"/>
          <w:sz w:val="17"/>
        </w:rPr>
        <w:t> </w:t>
      </w:r>
      <w:r>
        <w:rPr>
          <w:sz w:val="17"/>
        </w:rPr>
        <w:t>y</w:t>
      </w:r>
      <w:r>
        <w:rPr>
          <w:spacing w:val="34"/>
          <w:sz w:val="17"/>
        </w:rPr>
        <w:t> </w:t>
      </w:r>
      <w:r>
        <w:rPr>
          <w:sz w:val="17"/>
        </w:rPr>
        <w:t>Lozoya</w:t>
      </w:r>
      <w:r>
        <w:rPr>
          <w:spacing w:val="34"/>
          <w:sz w:val="17"/>
        </w:rPr>
        <w:t> </w:t>
      </w:r>
      <w:r>
        <w:rPr>
          <w:sz w:val="17"/>
        </w:rPr>
        <w:t>Saldaña</w:t>
      </w:r>
      <w:r>
        <w:rPr>
          <w:spacing w:val="34"/>
          <w:sz w:val="17"/>
        </w:rPr>
        <w:t> </w:t>
      </w:r>
      <w:r>
        <w:rPr>
          <w:sz w:val="17"/>
        </w:rPr>
        <w:t>H.</w:t>
      </w:r>
      <w:r>
        <w:rPr>
          <w:spacing w:val="34"/>
          <w:sz w:val="17"/>
        </w:rPr>
        <w:t> </w:t>
      </w:r>
      <w:r>
        <w:rPr>
          <w:sz w:val="17"/>
        </w:rPr>
        <w:t>2005.</w:t>
      </w:r>
      <w:r>
        <w:rPr>
          <w:spacing w:val="34"/>
          <w:sz w:val="17"/>
        </w:rPr>
        <w:t> </w:t>
      </w:r>
      <w:r>
        <w:rPr>
          <w:sz w:val="17"/>
        </w:rPr>
        <w:t>Caracterización</w:t>
      </w:r>
      <w:r>
        <w:rPr>
          <w:spacing w:val="34"/>
          <w:sz w:val="17"/>
        </w:rPr>
        <w:t> </w:t>
      </w:r>
      <w:r>
        <w:rPr>
          <w:sz w:val="17"/>
        </w:rPr>
        <w:t>de</w:t>
      </w:r>
      <w:r>
        <w:rPr>
          <w:spacing w:val="34"/>
          <w:sz w:val="17"/>
        </w:rPr>
        <w:t> </w:t>
      </w:r>
      <w:r>
        <w:rPr>
          <w:sz w:val="17"/>
        </w:rPr>
        <w:t>aislamientos</w:t>
      </w:r>
      <w:r>
        <w:rPr>
          <w:spacing w:val="34"/>
          <w:sz w:val="17"/>
        </w:rPr>
        <w:t> </w:t>
      </w:r>
      <w:r>
        <w:rPr>
          <w:sz w:val="17"/>
        </w:rPr>
        <w:t>de</w:t>
      </w:r>
    </w:p>
    <w:p>
      <w:pPr>
        <w:pStyle w:val="ListParagraph"/>
        <w:numPr>
          <w:ilvl w:val="0"/>
          <w:numId w:val="23"/>
        </w:numPr>
        <w:tabs>
          <w:tab w:pos="1463" w:val="left" w:leader="none"/>
          <w:tab w:pos="1464" w:val="left" w:leader="none"/>
        </w:tabs>
        <w:spacing w:line="240" w:lineRule="auto" w:before="100" w:after="0"/>
        <w:ind w:left="1463" w:right="0" w:hanging="550"/>
        <w:jc w:val="left"/>
        <w:rPr>
          <w:sz w:val="17"/>
        </w:rPr>
      </w:pPr>
      <w:r>
        <w:rPr>
          <w:i/>
          <w:sz w:val="17"/>
        </w:rPr>
        <w:t>Phytophthora  infestans  </w:t>
      </w:r>
      <w:r>
        <w:rPr>
          <w:sz w:val="17"/>
        </w:rPr>
        <w:t>(Mont.)  de  Bary  provenientes  de  Michoacán,  México.     </w:t>
      </w:r>
      <w:r>
        <w:rPr>
          <w:spacing w:val="16"/>
          <w:sz w:val="17"/>
        </w:rPr>
        <w:t> </w:t>
      </w:r>
      <w:r>
        <w:rPr>
          <w:sz w:val="17"/>
        </w:rPr>
        <w:t>Revista</w:t>
      </w:r>
    </w:p>
    <w:p>
      <w:pPr>
        <w:pStyle w:val="ListParagraph"/>
        <w:numPr>
          <w:ilvl w:val="0"/>
          <w:numId w:val="23"/>
        </w:numPr>
        <w:tabs>
          <w:tab w:pos="1463" w:val="left" w:leader="none"/>
          <w:tab w:pos="1464" w:val="left" w:leader="none"/>
        </w:tabs>
        <w:spacing w:line="240" w:lineRule="auto" w:before="100" w:after="0"/>
        <w:ind w:left="1463" w:right="0" w:hanging="550"/>
        <w:jc w:val="left"/>
        <w:rPr>
          <w:sz w:val="17"/>
        </w:rPr>
      </w:pPr>
      <w:r>
        <w:rPr>
          <w:sz w:val="17"/>
        </w:rPr>
        <w:t>Mexicana de Fitopatología 23: </w:t>
      </w:r>
      <w:r>
        <w:rPr>
          <w:spacing w:val="21"/>
          <w:sz w:val="17"/>
        </w:rPr>
        <w:t> </w:t>
      </w:r>
      <w:r>
        <w:rPr>
          <w:sz w:val="17"/>
        </w:rPr>
        <w:t>191-197.</w:t>
      </w:r>
    </w:p>
    <w:p>
      <w:pPr>
        <w:pStyle w:val="BodyText"/>
        <w:spacing w:before="10"/>
        <w:rPr>
          <w:rFonts w:ascii="Times New Roman"/>
          <w:sz w:val="16"/>
        </w:rPr>
      </w:pPr>
    </w:p>
    <w:p>
      <w:pPr>
        <w:pStyle w:val="ListParagraph"/>
        <w:numPr>
          <w:ilvl w:val="0"/>
          <w:numId w:val="23"/>
        </w:numPr>
        <w:tabs>
          <w:tab w:pos="1463" w:val="left" w:leader="none"/>
          <w:tab w:pos="1464" w:val="left" w:leader="none"/>
        </w:tabs>
        <w:spacing w:line="240" w:lineRule="auto" w:before="79" w:after="0"/>
        <w:ind w:left="1463" w:right="0" w:hanging="550"/>
        <w:jc w:val="left"/>
        <w:rPr>
          <w:sz w:val="17"/>
        </w:rPr>
      </w:pPr>
      <w:r>
        <w:rPr>
          <w:sz w:val="17"/>
        </w:rPr>
        <w:t>Fry</w:t>
      </w:r>
      <w:r>
        <w:rPr>
          <w:spacing w:val="23"/>
          <w:sz w:val="17"/>
        </w:rPr>
        <w:t> </w:t>
      </w:r>
      <w:r>
        <w:rPr>
          <w:sz w:val="17"/>
        </w:rPr>
        <w:t>W.E</w:t>
      </w:r>
      <w:r>
        <w:rPr>
          <w:spacing w:val="23"/>
          <w:sz w:val="17"/>
        </w:rPr>
        <w:t> </w:t>
      </w:r>
      <w:r>
        <w:rPr>
          <w:sz w:val="17"/>
        </w:rPr>
        <w:t>y</w:t>
      </w:r>
      <w:r>
        <w:rPr>
          <w:spacing w:val="23"/>
          <w:sz w:val="17"/>
        </w:rPr>
        <w:t> </w:t>
      </w:r>
      <w:r>
        <w:rPr>
          <w:sz w:val="17"/>
        </w:rPr>
        <w:t>Goodwin</w:t>
      </w:r>
      <w:r>
        <w:rPr>
          <w:spacing w:val="23"/>
          <w:sz w:val="17"/>
        </w:rPr>
        <w:t> </w:t>
      </w:r>
      <w:r>
        <w:rPr>
          <w:sz w:val="17"/>
        </w:rPr>
        <w:t>S.B.</w:t>
      </w:r>
      <w:r>
        <w:rPr>
          <w:spacing w:val="23"/>
          <w:sz w:val="17"/>
        </w:rPr>
        <w:t> </w:t>
      </w:r>
      <w:r>
        <w:rPr>
          <w:sz w:val="17"/>
        </w:rPr>
        <w:t>1997.</w:t>
      </w:r>
      <w:r>
        <w:rPr>
          <w:spacing w:val="23"/>
          <w:sz w:val="17"/>
        </w:rPr>
        <w:t> </w:t>
      </w:r>
      <w:r>
        <w:rPr>
          <w:sz w:val="17"/>
        </w:rPr>
        <w:t>Resurgence</w:t>
      </w:r>
      <w:r>
        <w:rPr>
          <w:spacing w:val="23"/>
          <w:sz w:val="17"/>
        </w:rPr>
        <w:t> </w:t>
      </w:r>
      <w:r>
        <w:rPr>
          <w:sz w:val="17"/>
        </w:rPr>
        <w:t>of</w:t>
      </w:r>
      <w:r>
        <w:rPr>
          <w:spacing w:val="23"/>
          <w:sz w:val="17"/>
        </w:rPr>
        <w:t> </w:t>
      </w:r>
      <w:r>
        <w:rPr>
          <w:sz w:val="17"/>
        </w:rPr>
        <w:t>the</w:t>
      </w:r>
      <w:r>
        <w:rPr>
          <w:spacing w:val="23"/>
          <w:sz w:val="17"/>
        </w:rPr>
        <w:t> </w:t>
      </w:r>
      <w:r>
        <w:rPr>
          <w:sz w:val="17"/>
        </w:rPr>
        <w:t>Irish</w:t>
      </w:r>
      <w:r>
        <w:rPr>
          <w:spacing w:val="23"/>
          <w:sz w:val="17"/>
        </w:rPr>
        <w:t> </w:t>
      </w:r>
      <w:r>
        <w:rPr>
          <w:sz w:val="17"/>
        </w:rPr>
        <w:t>potato</w:t>
      </w:r>
      <w:r>
        <w:rPr>
          <w:spacing w:val="23"/>
          <w:sz w:val="17"/>
        </w:rPr>
        <w:t> </w:t>
      </w:r>
      <w:r>
        <w:rPr>
          <w:sz w:val="17"/>
        </w:rPr>
        <w:t>famine</w:t>
      </w:r>
      <w:r>
        <w:rPr>
          <w:spacing w:val="23"/>
          <w:sz w:val="17"/>
        </w:rPr>
        <w:t> </w:t>
      </w:r>
      <w:r>
        <w:rPr>
          <w:sz w:val="17"/>
        </w:rPr>
        <w:t>fungus.</w:t>
      </w:r>
      <w:r>
        <w:rPr>
          <w:spacing w:val="23"/>
          <w:sz w:val="17"/>
        </w:rPr>
        <w:t> </w:t>
      </w:r>
      <w:r>
        <w:rPr>
          <w:sz w:val="17"/>
        </w:rPr>
        <w:t>Bioscience</w:t>
      </w:r>
    </w:p>
    <w:p>
      <w:pPr>
        <w:tabs>
          <w:tab w:pos="1463" w:val="left" w:leader="none"/>
        </w:tabs>
        <w:spacing w:before="103"/>
        <w:ind w:left="913" w:right="0" w:firstLine="0"/>
        <w:jc w:val="left"/>
        <w:rPr>
          <w:rFonts w:ascii="Times New Roman"/>
          <w:sz w:val="17"/>
        </w:rPr>
      </w:pPr>
      <w:r>
        <w:rPr>
          <w:rFonts w:ascii="Cambria"/>
          <w:sz w:val="17"/>
        </w:rPr>
        <w:t>275</w:t>
        <w:tab/>
      </w:r>
      <w:r>
        <w:rPr>
          <w:rFonts w:ascii="Times New Roman"/>
          <w:sz w:val="17"/>
        </w:rPr>
        <w:t>47: 363-</w:t>
      </w:r>
      <w:r>
        <w:rPr>
          <w:rFonts w:ascii="Times New Roman"/>
          <w:spacing w:val="21"/>
          <w:sz w:val="17"/>
        </w:rPr>
        <w:t> </w:t>
      </w:r>
      <w:r>
        <w:rPr>
          <w:rFonts w:ascii="Times New Roman"/>
          <w:sz w:val="17"/>
        </w:rPr>
        <w:t>371.</w:t>
      </w:r>
    </w:p>
    <w:p>
      <w:pPr>
        <w:pStyle w:val="BodyText"/>
        <w:spacing w:before="10"/>
        <w:rPr>
          <w:rFonts w:ascii="Times New Roman"/>
          <w:sz w:val="16"/>
        </w:rPr>
      </w:pPr>
    </w:p>
    <w:p>
      <w:pPr>
        <w:pStyle w:val="ListParagraph"/>
        <w:numPr>
          <w:ilvl w:val="0"/>
          <w:numId w:val="24"/>
        </w:numPr>
        <w:tabs>
          <w:tab w:pos="1463" w:val="left" w:leader="none"/>
          <w:tab w:pos="1464" w:val="left" w:leader="none"/>
        </w:tabs>
        <w:spacing w:line="240" w:lineRule="auto" w:before="79" w:after="0"/>
        <w:ind w:left="1463" w:right="0" w:hanging="550"/>
        <w:jc w:val="left"/>
        <w:rPr>
          <w:sz w:val="17"/>
        </w:rPr>
      </w:pPr>
      <w:r>
        <w:rPr>
          <w:sz w:val="17"/>
        </w:rPr>
        <w:t>Gavino</w:t>
      </w:r>
      <w:r>
        <w:rPr>
          <w:spacing w:val="22"/>
          <w:sz w:val="17"/>
        </w:rPr>
        <w:t> </w:t>
      </w:r>
      <w:r>
        <w:rPr>
          <w:sz w:val="17"/>
        </w:rPr>
        <w:t>P.D.,</w:t>
      </w:r>
      <w:r>
        <w:rPr>
          <w:spacing w:val="22"/>
          <w:sz w:val="17"/>
        </w:rPr>
        <w:t> </w:t>
      </w:r>
      <w:r>
        <w:rPr>
          <w:sz w:val="17"/>
        </w:rPr>
        <w:t>Smart</w:t>
      </w:r>
      <w:r>
        <w:rPr>
          <w:spacing w:val="22"/>
          <w:sz w:val="17"/>
        </w:rPr>
        <w:t> </w:t>
      </w:r>
      <w:r>
        <w:rPr>
          <w:sz w:val="17"/>
        </w:rPr>
        <w:t>C.D.,</w:t>
      </w:r>
      <w:r>
        <w:rPr>
          <w:spacing w:val="22"/>
          <w:sz w:val="17"/>
        </w:rPr>
        <w:t> </w:t>
      </w:r>
      <w:r>
        <w:rPr>
          <w:sz w:val="17"/>
        </w:rPr>
        <w:t>Sandrock</w:t>
      </w:r>
      <w:r>
        <w:rPr>
          <w:spacing w:val="22"/>
          <w:sz w:val="17"/>
        </w:rPr>
        <w:t> </w:t>
      </w:r>
      <w:r>
        <w:rPr>
          <w:sz w:val="17"/>
        </w:rPr>
        <w:t>R.W.,</w:t>
      </w:r>
      <w:r>
        <w:rPr>
          <w:spacing w:val="22"/>
          <w:sz w:val="17"/>
        </w:rPr>
        <w:t> </w:t>
      </w:r>
      <w:r>
        <w:rPr>
          <w:sz w:val="17"/>
        </w:rPr>
        <w:t>Miller</w:t>
      </w:r>
      <w:r>
        <w:rPr>
          <w:spacing w:val="22"/>
          <w:sz w:val="17"/>
        </w:rPr>
        <w:t> </w:t>
      </w:r>
      <w:r>
        <w:rPr>
          <w:sz w:val="17"/>
        </w:rPr>
        <w:t>J.S.,</w:t>
      </w:r>
      <w:r>
        <w:rPr>
          <w:spacing w:val="22"/>
          <w:sz w:val="17"/>
        </w:rPr>
        <w:t> </w:t>
      </w:r>
      <w:r>
        <w:rPr>
          <w:sz w:val="17"/>
        </w:rPr>
        <w:t>Hamm</w:t>
      </w:r>
      <w:r>
        <w:rPr>
          <w:spacing w:val="22"/>
          <w:sz w:val="17"/>
        </w:rPr>
        <w:t> </w:t>
      </w:r>
      <w:r>
        <w:rPr>
          <w:sz w:val="17"/>
        </w:rPr>
        <w:t>P.B.,</w:t>
      </w:r>
      <w:r>
        <w:rPr>
          <w:spacing w:val="22"/>
          <w:sz w:val="17"/>
        </w:rPr>
        <w:t> </w:t>
      </w:r>
      <w:r>
        <w:rPr>
          <w:sz w:val="17"/>
        </w:rPr>
        <w:t>Lee</w:t>
      </w:r>
      <w:r>
        <w:rPr>
          <w:spacing w:val="22"/>
          <w:sz w:val="17"/>
        </w:rPr>
        <w:t> </w:t>
      </w:r>
      <w:r>
        <w:rPr>
          <w:sz w:val="17"/>
        </w:rPr>
        <w:t>T.Y.,</w:t>
      </w:r>
      <w:r>
        <w:rPr>
          <w:spacing w:val="22"/>
          <w:sz w:val="17"/>
        </w:rPr>
        <w:t> </w:t>
      </w:r>
      <w:r>
        <w:rPr>
          <w:sz w:val="17"/>
        </w:rPr>
        <w:t>Davis</w:t>
      </w:r>
      <w:r>
        <w:rPr>
          <w:spacing w:val="22"/>
          <w:sz w:val="17"/>
        </w:rPr>
        <w:t> </w:t>
      </w:r>
      <w:r>
        <w:rPr>
          <w:sz w:val="17"/>
        </w:rPr>
        <w:t>R.M.,</w:t>
      </w:r>
    </w:p>
    <w:p>
      <w:pPr>
        <w:pStyle w:val="ListParagraph"/>
        <w:numPr>
          <w:ilvl w:val="0"/>
          <w:numId w:val="24"/>
        </w:numPr>
        <w:tabs>
          <w:tab w:pos="1463" w:val="left" w:leader="none"/>
          <w:tab w:pos="1464" w:val="left" w:leader="none"/>
        </w:tabs>
        <w:spacing w:line="240" w:lineRule="auto" w:before="100" w:after="0"/>
        <w:ind w:left="1463" w:right="0" w:hanging="550"/>
        <w:jc w:val="left"/>
        <w:rPr>
          <w:sz w:val="17"/>
        </w:rPr>
      </w:pPr>
      <w:r>
        <w:rPr>
          <w:sz w:val="17"/>
        </w:rPr>
        <w:t>Fry  W.E.  2000.  Implications  of  sexual  reproduction  for  </w:t>
      </w:r>
      <w:r>
        <w:rPr>
          <w:i/>
          <w:sz w:val="17"/>
        </w:rPr>
        <w:t>Phytophthora  infestans  </w:t>
      </w:r>
      <w:r>
        <w:rPr>
          <w:sz w:val="17"/>
        </w:rPr>
        <w:t>in   </w:t>
      </w:r>
      <w:r>
        <w:rPr>
          <w:spacing w:val="42"/>
          <w:sz w:val="17"/>
        </w:rPr>
        <w:t> </w:t>
      </w:r>
      <w:r>
        <w:rPr>
          <w:sz w:val="17"/>
        </w:rPr>
        <w:t>the</w:t>
      </w:r>
    </w:p>
    <w:p>
      <w:pPr>
        <w:pStyle w:val="ListParagraph"/>
        <w:numPr>
          <w:ilvl w:val="0"/>
          <w:numId w:val="24"/>
        </w:numPr>
        <w:tabs>
          <w:tab w:pos="1463" w:val="left" w:leader="none"/>
          <w:tab w:pos="1464" w:val="left" w:leader="none"/>
        </w:tabs>
        <w:spacing w:line="240" w:lineRule="auto" w:before="100" w:after="0"/>
        <w:ind w:left="1463" w:right="0" w:hanging="550"/>
        <w:jc w:val="left"/>
        <w:rPr>
          <w:sz w:val="17"/>
        </w:rPr>
      </w:pPr>
      <w:r>
        <w:rPr>
          <w:sz w:val="17"/>
        </w:rPr>
        <w:t>United States: generation of an aggressive lineage. Plant Disease 84:  </w:t>
      </w:r>
      <w:r>
        <w:rPr>
          <w:spacing w:val="39"/>
          <w:sz w:val="17"/>
        </w:rPr>
        <w:t> </w:t>
      </w:r>
      <w:r>
        <w:rPr>
          <w:sz w:val="17"/>
        </w:rPr>
        <w:t>731-735.</w:t>
      </w:r>
    </w:p>
    <w:p>
      <w:pPr>
        <w:pStyle w:val="BodyText"/>
        <w:spacing w:before="2"/>
        <w:rPr>
          <w:rFonts w:ascii="Times New Roman"/>
          <w:sz w:val="17"/>
        </w:rPr>
      </w:pPr>
    </w:p>
    <w:p>
      <w:pPr>
        <w:pStyle w:val="ListParagraph"/>
        <w:numPr>
          <w:ilvl w:val="0"/>
          <w:numId w:val="24"/>
        </w:numPr>
        <w:tabs>
          <w:tab w:pos="1463" w:val="left" w:leader="none"/>
          <w:tab w:pos="1464" w:val="left" w:leader="none"/>
        </w:tabs>
        <w:spacing w:line="240" w:lineRule="auto" w:before="79" w:after="0"/>
        <w:ind w:left="1463" w:right="0" w:hanging="550"/>
        <w:jc w:val="left"/>
        <w:rPr>
          <w:sz w:val="17"/>
        </w:rPr>
      </w:pPr>
      <w:r>
        <w:rPr>
          <w:sz w:val="17"/>
        </w:rPr>
        <w:t>Groves,</w:t>
      </w:r>
      <w:r>
        <w:rPr>
          <w:spacing w:val="36"/>
          <w:sz w:val="17"/>
        </w:rPr>
        <w:t> </w:t>
      </w:r>
      <w:r>
        <w:rPr>
          <w:sz w:val="17"/>
        </w:rPr>
        <w:t>C.</w:t>
      </w:r>
      <w:r>
        <w:rPr>
          <w:spacing w:val="36"/>
          <w:sz w:val="17"/>
        </w:rPr>
        <w:t> </w:t>
      </w:r>
      <w:r>
        <w:rPr>
          <w:sz w:val="17"/>
        </w:rPr>
        <w:t>T.,</w:t>
      </w:r>
      <w:r>
        <w:rPr>
          <w:spacing w:val="36"/>
          <w:sz w:val="17"/>
        </w:rPr>
        <w:t> </w:t>
      </w:r>
      <w:r>
        <w:rPr>
          <w:sz w:val="17"/>
        </w:rPr>
        <w:t>and</w:t>
      </w:r>
      <w:r>
        <w:rPr>
          <w:spacing w:val="36"/>
          <w:sz w:val="17"/>
        </w:rPr>
        <w:t> </w:t>
      </w:r>
      <w:r>
        <w:rPr>
          <w:sz w:val="17"/>
        </w:rPr>
        <w:t>Ristaino,</w:t>
      </w:r>
      <w:r>
        <w:rPr>
          <w:spacing w:val="36"/>
          <w:sz w:val="17"/>
        </w:rPr>
        <w:t> </w:t>
      </w:r>
      <w:r>
        <w:rPr>
          <w:sz w:val="17"/>
        </w:rPr>
        <w:t>J.</w:t>
      </w:r>
      <w:r>
        <w:rPr>
          <w:spacing w:val="36"/>
          <w:sz w:val="17"/>
        </w:rPr>
        <w:t> </w:t>
      </w:r>
      <w:r>
        <w:rPr>
          <w:sz w:val="17"/>
        </w:rPr>
        <w:t>B.</w:t>
      </w:r>
      <w:r>
        <w:rPr>
          <w:spacing w:val="36"/>
          <w:sz w:val="17"/>
        </w:rPr>
        <w:t> </w:t>
      </w:r>
      <w:r>
        <w:rPr>
          <w:sz w:val="17"/>
        </w:rPr>
        <w:t>2000.</w:t>
      </w:r>
      <w:r>
        <w:rPr>
          <w:spacing w:val="36"/>
          <w:sz w:val="17"/>
        </w:rPr>
        <w:t> </w:t>
      </w:r>
      <w:r>
        <w:rPr>
          <w:sz w:val="17"/>
        </w:rPr>
        <w:t>Commercial</w:t>
      </w:r>
      <w:r>
        <w:rPr>
          <w:spacing w:val="36"/>
          <w:sz w:val="17"/>
        </w:rPr>
        <w:t> </w:t>
      </w:r>
      <w:r>
        <w:rPr>
          <w:sz w:val="17"/>
        </w:rPr>
        <w:t>fungicide</w:t>
      </w:r>
      <w:r>
        <w:rPr>
          <w:spacing w:val="36"/>
          <w:sz w:val="17"/>
        </w:rPr>
        <w:t> </w:t>
      </w:r>
      <w:r>
        <w:rPr>
          <w:sz w:val="17"/>
        </w:rPr>
        <w:t>formu-</w:t>
      </w:r>
      <w:r>
        <w:rPr>
          <w:spacing w:val="36"/>
          <w:sz w:val="17"/>
        </w:rPr>
        <w:t> </w:t>
      </w:r>
      <w:r>
        <w:rPr>
          <w:sz w:val="17"/>
        </w:rPr>
        <w:t>lations</w:t>
      </w:r>
      <w:r>
        <w:rPr>
          <w:spacing w:val="36"/>
          <w:sz w:val="17"/>
        </w:rPr>
        <w:t> </w:t>
      </w:r>
      <w:r>
        <w:rPr>
          <w:sz w:val="17"/>
        </w:rPr>
        <w:t>induce</w:t>
      </w:r>
      <w:r>
        <w:rPr>
          <w:spacing w:val="36"/>
          <w:sz w:val="17"/>
        </w:rPr>
        <w:t> </w:t>
      </w:r>
      <w:r>
        <w:rPr>
          <w:sz w:val="17"/>
        </w:rPr>
        <w:t>in</w:t>
      </w:r>
    </w:p>
    <w:p>
      <w:pPr>
        <w:pStyle w:val="ListParagraph"/>
        <w:numPr>
          <w:ilvl w:val="0"/>
          <w:numId w:val="24"/>
        </w:numPr>
        <w:tabs>
          <w:tab w:pos="1463" w:val="left" w:leader="none"/>
          <w:tab w:pos="1464" w:val="left" w:leader="none"/>
        </w:tabs>
        <w:spacing w:line="240" w:lineRule="auto" w:before="100" w:after="0"/>
        <w:ind w:left="1463" w:right="0" w:hanging="550"/>
        <w:jc w:val="left"/>
        <w:rPr>
          <w:sz w:val="17"/>
        </w:rPr>
      </w:pPr>
      <w:r>
        <w:rPr>
          <w:sz w:val="17"/>
        </w:rPr>
        <w:t>vitro</w:t>
      </w:r>
      <w:r>
        <w:rPr>
          <w:spacing w:val="29"/>
          <w:sz w:val="17"/>
        </w:rPr>
        <w:t> </w:t>
      </w:r>
      <w:r>
        <w:rPr>
          <w:sz w:val="17"/>
        </w:rPr>
        <w:t>oospore</w:t>
      </w:r>
      <w:r>
        <w:rPr>
          <w:spacing w:val="29"/>
          <w:sz w:val="17"/>
        </w:rPr>
        <w:t> </w:t>
      </w:r>
      <w:r>
        <w:rPr>
          <w:sz w:val="17"/>
        </w:rPr>
        <w:t>formation</w:t>
      </w:r>
      <w:r>
        <w:rPr>
          <w:spacing w:val="29"/>
          <w:sz w:val="17"/>
        </w:rPr>
        <w:t> </w:t>
      </w:r>
      <w:r>
        <w:rPr>
          <w:sz w:val="17"/>
        </w:rPr>
        <w:t>and</w:t>
      </w:r>
      <w:r>
        <w:rPr>
          <w:spacing w:val="29"/>
          <w:sz w:val="17"/>
        </w:rPr>
        <w:t> </w:t>
      </w:r>
      <w:r>
        <w:rPr>
          <w:sz w:val="17"/>
        </w:rPr>
        <w:t>phenotypic</w:t>
      </w:r>
      <w:r>
        <w:rPr>
          <w:spacing w:val="29"/>
          <w:sz w:val="17"/>
        </w:rPr>
        <w:t> </w:t>
      </w:r>
      <w:r>
        <w:rPr>
          <w:sz w:val="17"/>
        </w:rPr>
        <w:t>change</w:t>
      </w:r>
      <w:r>
        <w:rPr>
          <w:spacing w:val="29"/>
          <w:sz w:val="17"/>
        </w:rPr>
        <w:t> </w:t>
      </w:r>
      <w:r>
        <w:rPr>
          <w:sz w:val="17"/>
        </w:rPr>
        <w:t>in</w:t>
      </w:r>
      <w:r>
        <w:rPr>
          <w:spacing w:val="29"/>
          <w:sz w:val="17"/>
        </w:rPr>
        <w:t> </w:t>
      </w:r>
      <w:r>
        <w:rPr>
          <w:sz w:val="17"/>
        </w:rPr>
        <w:t>mating</w:t>
      </w:r>
      <w:r>
        <w:rPr>
          <w:spacing w:val="29"/>
          <w:sz w:val="17"/>
        </w:rPr>
        <w:t> </w:t>
      </w:r>
      <w:r>
        <w:rPr>
          <w:sz w:val="17"/>
        </w:rPr>
        <w:t>type</w:t>
      </w:r>
      <w:r>
        <w:rPr>
          <w:spacing w:val="29"/>
          <w:sz w:val="17"/>
        </w:rPr>
        <w:t> </w:t>
      </w:r>
      <w:r>
        <w:rPr>
          <w:sz w:val="17"/>
        </w:rPr>
        <w:t>in</w:t>
      </w:r>
      <w:r>
        <w:rPr>
          <w:spacing w:val="29"/>
          <w:sz w:val="17"/>
        </w:rPr>
        <w:t> </w:t>
      </w:r>
      <w:r>
        <w:rPr>
          <w:i/>
          <w:sz w:val="17"/>
        </w:rPr>
        <w:t>Phytophthora</w:t>
      </w:r>
      <w:r>
        <w:rPr>
          <w:i/>
          <w:spacing w:val="17"/>
          <w:sz w:val="17"/>
        </w:rPr>
        <w:t> </w:t>
      </w:r>
      <w:r>
        <w:rPr>
          <w:i/>
          <w:sz w:val="17"/>
        </w:rPr>
        <w:t>infestans</w:t>
      </w:r>
      <w:r>
        <w:rPr>
          <w:sz w:val="17"/>
        </w:rPr>
        <w:t>.</w:t>
      </w:r>
    </w:p>
    <w:p>
      <w:pPr>
        <w:pStyle w:val="ListParagraph"/>
        <w:numPr>
          <w:ilvl w:val="0"/>
          <w:numId w:val="24"/>
        </w:numPr>
        <w:tabs>
          <w:tab w:pos="1463" w:val="left" w:leader="none"/>
          <w:tab w:pos="1464" w:val="left" w:leader="none"/>
        </w:tabs>
        <w:spacing w:line="240" w:lineRule="auto" w:before="100" w:after="0"/>
        <w:ind w:left="1463" w:right="0" w:hanging="550"/>
        <w:jc w:val="left"/>
        <w:rPr>
          <w:sz w:val="17"/>
        </w:rPr>
      </w:pPr>
      <w:r>
        <w:rPr>
          <w:sz w:val="17"/>
        </w:rPr>
        <w:t>Phytopathology </w:t>
      </w:r>
      <w:r>
        <w:rPr>
          <w:spacing w:val="7"/>
          <w:sz w:val="17"/>
        </w:rPr>
        <w:t> </w:t>
      </w:r>
      <w:r>
        <w:rPr>
          <w:sz w:val="17"/>
        </w:rPr>
        <w:t>90:1201-1208.</w:t>
      </w:r>
    </w:p>
    <w:p>
      <w:pPr>
        <w:pStyle w:val="BodyText"/>
        <w:spacing w:before="10"/>
        <w:rPr>
          <w:rFonts w:ascii="Times New Roman"/>
          <w:sz w:val="16"/>
        </w:rPr>
      </w:pPr>
    </w:p>
    <w:p>
      <w:pPr>
        <w:pStyle w:val="ListParagraph"/>
        <w:numPr>
          <w:ilvl w:val="0"/>
          <w:numId w:val="24"/>
        </w:numPr>
        <w:tabs>
          <w:tab w:pos="1463" w:val="left" w:leader="none"/>
          <w:tab w:pos="1464" w:val="left" w:leader="none"/>
        </w:tabs>
        <w:spacing w:line="240" w:lineRule="auto" w:before="79" w:after="0"/>
        <w:ind w:left="1463" w:right="0" w:hanging="550"/>
        <w:jc w:val="left"/>
        <w:rPr>
          <w:sz w:val="17"/>
        </w:rPr>
      </w:pPr>
      <w:r>
        <w:rPr>
          <w:sz w:val="17"/>
        </w:rPr>
        <w:t>Grünwald  N.J.,  Flier  W.G.  2005.  The  biology  of  </w:t>
      </w:r>
      <w:r>
        <w:rPr>
          <w:i/>
          <w:sz w:val="17"/>
        </w:rPr>
        <w:t>Phytophthora infestans </w:t>
      </w:r>
      <w:r>
        <w:rPr>
          <w:sz w:val="17"/>
        </w:rPr>
        <w:t>at  its  center </w:t>
      </w:r>
      <w:r>
        <w:rPr>
          <w:spacing w:val="10"/>
          <w:sz w:val="17"/>
        </w:rPr>
        <w:t> </w:t>
      </w:r>
      <w:r>
        <w:rPr>
          <w:sz w:val="17"/>
        </w:rPr>
        <w:t>of</w:t>
      </w:r>
    </w:p>
    <w:p>
      <w:pPr>
        <w:pStyle w:val="ListParagraph"/>
        <w:numPr>
          <w:ilvl w:val="0"/>
          <w:numId w:val="24"/>
        </w:numPr>
        <w:tabs>
          <w:tab w:pos="1463" w:val="left" w:leader="none"/>
          <w:tab w:pos="1464" w:val="left" w:leader="none"/>
        </w:tabs>
        <w:spacing w:line="240" w:lineRule="auto" w:before="103" w:after="0"/>
        <w:ind w:left="1463" w:right="0" w:hanging="550"/>
        <w:jc w:val="left"/>
        <w:rPr>
          <w:sz w:val="17"/>
        </w:rPr>
      </w:pPr>
      <w:r>
        <w:rPr>
          <w:sz w:val="17"/>
        </w:rPr>
        <w:t>origin. Annual Review of Phytopathology  </w:t>
      </w:r>
      <w:r>
        <w:rPr>
          <w:spacing w:val="2"/>
          <w:sz w:val="17"/>
        </w:rPr>
        <w:t> </w:t>
      </w:r>
      <w:r>
        <w:rPr>
          <w:sz w:val="17"/>
        </w:rPr>
        <w:t>43:171-190.</w:t>
      </w:r>
    </w:p>
    <w:p>
      <w:pPr>
        <w:pStyle w:val="BodyText"/>
        <w:spacing w:before="10"/>
        <w:rPr>
          <w:rFonts w:ascii="Times New Roman"/>
          <w:sz w:val="16"/>
        </w:rPr>
      </w:pPr>
    </w:p>
    <w:p>
      <w:pPr>
        <w:pStyle w:val="ListParagraph"/>
        <w:numPr>
          <w:ilvl w:val="0"/>
          <w:numId w:val="24"/>
        </w:numPr>
        <w:tabs>
          <w:tab w:pos="1463" w:val="left" w:leader="none"/>
          <w:tab w:pos="1464" w:val="left" w:leader="none"/>
        </w:tabs>
        <w:spacing w:line="240" w:lineRule="auto" w:before="79" w:after="0"/>
        <w:ind w:left="1463" w:right="0" w:hanging="550"/>
        <w:jc w:val="left"/>
        <w:rPr>
          <w:i/>
          <w:sz w:val="17"/>
        </w:rPr>
      </w:pPr>
      <w:r>
        <w:rPr>
          <w:sz w:val="17"/>
        </w:rPr>
        <w:t>Guo,</w:t>
      </w:r>
      <w:r>
        <w:rPr>
          <w:spacing w:val="23"/>
          <w:sz w:val="17"/>
        </w:rPr>
        <w:t> </w:t>
      </w:r>
      <w:r>
        <w:rPr>
          <w:sz w:val="17"/>
        </w:rPr>
        <w:t>L.,</w:t>
      </w:r>
      <w:r>
        <w:rPr>
          <w:spacing w:val="23"/>
          <w:sz w:val="17"/>
        </w:rPr>
        <w:t> </w:t>
      </w:r>
      <w:r>
        <w:rPr>
          <w:sz w:val="17"/>
        </w:rPr>
        <w:t>Zhu,</w:t>
      </w:r>
      <w:r>
        <w:rPr>
          <w:spacing w:val="23"/>
          <w:sz w:val="17"/>
        </w:rPr>
        <w:t> </w:t>
      </w:r>
      <w:r>
        <w:rPr>
          <w:sz w:val="17"/>
        </w:rPr>
        <w:t>X.-Q.,</w:t>
      </w:r>
      <w:r>
        <w:rPr>
          <w:spacing w:val="23"/>
          <w:sz w:val="17"/>
        </w:rPr>
        <w:t> </w:t>
      </w:r>
      <w:r>
        <w:rPr>
          <w:sz w:val="17"/>
        </w:rPr>
        <w:t>Hu,</w:t>
      </w:r>
      <w:r>
        <w:rPr>
          <w:spacing w:val="23"/>
          <w:sz w:val="17"/>
        </w:rPr>
        <w:t> </w:t>
      </w:r>
      <w:r>
        <w:rPr>
          <w:sz w:val="17"/>
        </w:rPr>
        <w:t>C.-H.,</w:t>
      </w:r>
      <w:r>
        <w:rPr>
          <w:spacing w:val="23"/>
          <w:sz w:val="17"/>
        </w:rPr>
        <w:t> </w:t>
      </w:r>
      <w:r>
        <w:rPr>
          <w:sz w:val="17"/>
        </w:rPr>
        <w:t>y</w:t>
      </w:r>
      <w:r>
        <w:rPr>
          <w:spacing w:val="23"/>
          <w:sz w:val="17"/>
        </w:rPr>
        <w:t> </w:t>
      </w:r>
      <w:r>
        <w:rPr>
          <w:sz w:val="17"/>
        </w:rPr>
        <w:t>Ristaino,</w:t>
      </w:r>
      <w:r>
        <w:rPr>
          <w:spacing w:val="23"/>
          <w:sz w:val="17"/>
        </w:rPr>
        <w:t> </w:t>
      </w:r>
      <w:r>
        <w:rPr>
          <w:sz w:val="17"/>
        </w:rPr>
        <w:t>J.</w:t>
      </w:r>
      <w:r>
        <w:rPr>
          <w:spacing w:val="23"/>
          <w:sz w:val="17"/>
        </w:rPr>
        <w:t> </w:t>
      </w:r>
      <w:r>
        <w:rPr>
          <w:sz w:val="17"/>
        </w:rPr>
        <w:t>B.</w:t>
      </w:r>
      <w:r>
        <w:rPr>
          <w:spacing w:val="23"/>
          <w:sz w:val="17"/>
        </w:rPr>
        <w:t> </w:t>
      </w:r>
      <w:r>
        <w:rPr>
          <w:sz w:val="17"/>
        </w:rPr>
        <w:t>2010.</w:t>
      </w:r>
      <w:r>
        <w:rPr>
          <w:spacing w:val="23"/>
          <w:sz w:val="17"/>
        </w:rPr>
        <w:t> </w:t>
      </w:r>
      <w:r>
        <w:rPr>
          <w:sz w:val="17"/>
        </w:rPr>
        <w:t>Genetic</w:t>
      </w:r>
      <w:r>
        <w:rPr>
          <w:spacing w:val="23"/>
          <w:sz w:val="17"/>
        </w:rPr>
        <w:t> </w:t>
      </w:r>
      <w:r>
        <w:rPr>
          <w:sz w:val="17"/>
        </w:rPr>
        <w:t>structure</w:t>
      </w:r>
      <w:r>
        <w:rPr>
          <w:spacing w:val="23"/>
          <w:sz w:val="17"/>
        </w:rPr>
        <w:t> </w:t>
      </w:r>
      <w:r>
        <w:rPr>
          <w:sz w:val="17"/>
        </w:rPr>
        <w:t>of</w:t>
      </w:r>
      <w:r>
        <w:rPr>
          <w:spacing w:val="23"/>
          <w:sz w:val="17"/>
        </w:rPr>
        <w:t> </w:t>
      </w:r>
      <w:r>
        <w:rPr>
          <w:i/>
          <w:sz w:val="17"/>
        </w:rPr>
        <w:t>Phytophthora</w:t>
      </w:r>
    </w:p>
    <w:p>
      <w:pPr>
        <w:pStyle w:val="ListParagraph"/>
        <w:numPr>
          <w:ilvl w:val="0"/>
          <w:numId w:val="24"/>
        </w:numPr>
        <w:tabs>
          <w:tab w:pos="1463" w:val="left" w:leader="none"/>
          <w:tab w:pos="1464" w:val="left" w:leader="none"/>
        </w:tabs>
        <w:spacing w:line="240" w:lineRule="auto" w:before="100" w:after="0"/>
        <w:ind w:left="1463" w:right="0" w:hanging="550"/>
        <w:jc w:val="left"/>
        <w:rPr>
          <w:sz w:val="17"/>
        </w:rPr>
      </w:pPr>
      <w:r>
        <w:rPr>
          <w:i/>
          <w:sz w:val="17"/>
        </w:rPr>
        <w:t>infestans   </w:t>
      </w:r>
      <w:r>
        <w:rPr>
          <w:sz w:val="17"/>
        </w:rPr>
        <w:t>populations   in   China   indicates   multiple   migration   events.   </w:t>
      </w:r>
      <w:r>
        <w:rPr>
          <w:spacing w:val="17"/>
          <w:sz w:val="17"/>
        </w:rPr>
        <w:t> </w:t>
      </w:r>
      <w:r>
        <w:rPr>
          <w:sz w:val="17"/>
        </w:rPr>
        <w:t>Phytopathology</w:t>
      </w:r>
    </w:p>
    <w:p>
      <w:pPr>
        <w:tabs>
          <w:tab w:pos="1463" w:val="left" w:leader="none"/>
        </w:tabs>
        <w:spacing w:before="100"/>
        <w:ind w:left="913" w:right="0" w:firstLine="0"/>
        <w:jc w:val="left"/>
        <w:rPr>
          <w:rFonts w:ascii="Times New Roman"/>
          <w:sz w:val="17"/>
        </w:rPr>
      </w:pPr>
      <w:r>
        <w:rPr>
          <w:rFonts w:ascii="Cambria"/>
          <w:sz w:val="17"/>
        </w:rPr>
        <w:t>286</w:t>
        <w:tab/>
      </w:r>
      <w:r>
        <w:rPr>
          <w:rFonts w:ascii="Times New Roman"/>
          <w:sz w:val="17"/>
        </w:rPr>
        <w:t>100:997-1006.</w:t>
      </w:r>
    </w:p>
    <w:p>
      <w:pPr>
        <w:pStyle w:val="BodyText"/>
        <w:spacing w:before="2"/>
        <w:rPr>
          <w:rFonts w:ascii="Times New Roman"/>
          <w:sz w:val="17"/>
        </w:rPr>
      </w:pPr>
    </w:p>
    <w:p>
      <w:pPr>
        <w:pStyle w:val="ListParagraph"/>
        <w:numPr>
          <w:ilvl w:val="0"/>
          <w:numId w:val="25"/>
        </w:numPr>
        <w:tabs>
          <w:tab w:pos="1463" w:val="left" w:leader="none"/>
          <w:tab w:pos="1464" w:val="left" w:leader="none"/>
        </w:tabs>
        <w:spacing w:line="240" w:lineRule="auto" w:before="79" w:after="0"/>
        <w:ind w:left="1463" w:right="0" w:hanging="550"/>
        <w:jc w:val="left"/>
        <w:rPr>
          <w:sz w:val="17"/>
        </w:rPr>
      </w:pPr>
      <w:r>
        <w:rPr>
          <w:sz w:val="17"/>
        </w:rPr>
        <w:t>Han </w:t>
      </w:r>
      <w:r>
        <w:rPr>
          <w:spacing w:val="28"/>
          <w:sz w:val="17"/>
        </w:rPr>
        <w:t> </w:t>
      </w:r>
      <w:r>
        <w:rPr>
          <w:sz w:val="17"/>
        </w:rPr>
        <w:t>M., </w:t>
      </w:r>
      <w:r>
        <w:rPr>
          <w:spacing w:val="28"/>
          <w:sz w:val="17"/>
        </w:rPr>
        <w:t> </w:t>
      </w:r>
      <w:r>
        <w:rPr>
          <w:sz w:val="17"/>
        </w:rPr>
        <w:t>Liu, </w:t>
      </w:r>
      <w:r>
        <w:rPr>
          <w:spacing w:val="28"/>
          <w:sz w:val="17"/>
        </w:rPr>
        <w:t> </w:t>
      </w:r>
      <w:r>
        <w:rPr>
          <w:sz w:val="17"/>
        </w:rPr>
        <w:t>G., </w:t>
      </w:r>
      <w:r>
        <w:rPr>
          <w:spacing w:val="28"/>
          <w:sz w:val="17"/>
        </w:rPr>
        <w:t> </w:t>
      </w:r>
      <w:r>
        <w:rPr>
          <w:sz w:val="17"/>
        </w:rPr>
        <w:t>Li </w:t>
      </w:r>
      <w:r>
        <w:rPr>
          <w:spacing w:val="28"/>
          <w:sz w:val="17"/>
        </w:rPr>
        <w:t> </w:t>
      </w:r>
      <w:r>
        <w:rPr>
          <w:sz w:val="17"/>
        </w:rPr>
        <w:t>J.P., </w:t>
      </w:r>
      <w:r>
        <w:rPr>
          <w:spacing w:val="28"/>
          <w:sz w:val="17"/>
        </w:rPr>
        <w:t> </w:t>
      </w:r>
      <w:r>
        <w:rPr>
          <w:sz w:val="17"/>
        </w:rPr>
        <w:t>Govers </w:t>
      </w:r>
      <w:r>
        <w:rPr>
          <w:spacing w:val="28"/>
          <w:sz w:val="17"/>
        </w:rPr>
        <w:t> </w:t>
      </w:r>
      <w:r>
        <w:rPr>
          <w:sz w:val="17"/>
        </w:rPr>
        <w:t>F., </w:t>
      </w:r>
      <w:r>
        <w:rPr>
          <w:spacing w:val="28"/>
          <w:sz w:val="17"/>
        </w:rPr>
        <w:t> </w:t>
      </w:r>
      <w:r>
        <w:rPr>
          <w:sz w:val="17"/>
        </w:rPr>
        <w:t>Zhu, </w:t>
      </w:r>
      <w:r>
        <w:rPr>
          <w:spacing w:val="28"/>
          <w:sz w:val="17"/>
        </w:rPr>
        <w:t> </w:t>
      </w:r>
      <w:r>
        <w:rPr>
          <w:sz w:val="17"/>
        </w:rPr>
        <w:t>X.Q., </w:t>
      </w:r>
      <w:r>
        <w:rPr>
          <w:spacing w:val="28"/>
          <w:sz w:val="17"/>
        </w:rPr>
        <w:t> </w:t>
      </w:r>
      <w:r>
        <w:rPr>
          <w:sz w:val="17"/>
        </w:rPr>
        <w:t>Shen </w:t>
      </w:r>
      <w:r>
        <w:rPr>
          <w:spacing w:val="28"/>
          <w:sz w:val="17"/>
        </w:rPr>
        <w:t> </w:t>
      </w:r>
      <w:r>
        <w:rPr>
          <w:sz w:val="17"/>
        </w:rPr>
        <w:t>C.Y. </w:t>
      </w:r>
      <w:r>
        <w:rPr>
          <w:spacing w:val="28"/>
          <w:sz w:val="17"/>
        </w:rPr>
        <w:t> </w:t>
      </w:r>
      <w:r>
        <w:rPr>
          <w:sz w:val="17"/>
        </w:rPr>
        <w:t>and </w:t>
      </w:r>
      <w:r>
        <w:rPr>
          <w:spacing w:val="28"/>
          <w:sz w:val="17"/>
        </w:rPr>
        <w:t> </w:t>
      </w:r>
      <w:r>
        <w:rPr>
          <w:sz w:val="17"/>
        </w:rPr>
        <w:t>Guo </w:t>
      </w:r>
      <w:r>
        <w:rPr>
          <w:spacing w:val="28"/>
          <w:sz w:val="17"/>
        </w:rPr>
        <w:t> </w:t>
      </w:r>
      <w:r>
        <w:rPr>
          <w:sz w:val="17"/>
        </w:rPr>
        <w:t>L.Y. </w:t>
      </w:r>
      <w:r>
        <w:rPr>
          <w:spacing w:val="28"/>
          <w:sz w:val="17"/>
        </w:rPr>
        <w:t> </w:t>
      </w:r>
      <w:r>
        <w:rPr>
          <w:sz w:val="17"/>
        </w:rPr>
        <w:t>2013.</w:t>
      </w:r>
    </w:p>
    <w:p>
      <w:pPr>
        <w:pStyle w:val="ListParagraph"/>
        <w:numPr>
          <w:ilvl w:val="0"/>
          <w:numId w:val="25"/>
        </w:numPr>
        <w:tabs>
          <w:tab w:pos="1463" w:val="left" w:leader="none"/>
          <w:tab w:pos="1464" w:val="left" w:leader="none"/>
        </w:tabs>
        <w:spacing w:line="240" w:lineRule="auto" w:before="100" w:after="0"/>
        <w:ind w:left="1463" w:right="0" w:hanging="550"/>
        <w:jc w:val="left"/>
        <w:rPr>
          <w:sz w:val="17"/>
        </w:rPr>
      </w:pPr>
      <w:r>
        <w:rPr>
          <w:i/>
          <w:sz w:val="17"/>
        </w:rPr>
        <w:t>Phytophthora</w:t>
      </w:r>
      <w:r>
        <w:rPr>
          <w:i/>
          <w:spacing w:val="18"/>
          <w:sz w:val="17"/>
        </w:rPr>
        <w:t> </w:t>
      </w:r>
      <w:r>
        <w:rPr>
          <w:i/>
          <w:sz w:val="17"/>
        </w:rPr>
        <w:t>infestans</w:t>
      </w:r>
      <w:r>
        <w:rPr>
          <w:i/>
          <w:spacing w:val="29"/>
          <w:sz w:val="17"/>
        </w:rPr>
        <w:t> </w:t>
      </w:r>
      <w:r>
        <w:rPr>
          <w:sz w:val="17"/>
        </w:rPr>
        <w:t>Field</w:t>
      </w:r>
      <w:r>
        <w:rPr>
          <w:spacing w:val="29"/>
          <w:sz w:val="17"/>
        </w:rPr>
        <w:t> </w:t>
      </w:r>
      <w:r>
        <w:rPr>
          <w:sz w:val="17"/>
        </w:rPr>
        <w:t>Isolates</w:t>
      </w:r>
      <w:r>
        <w:rPr>
          <w:spacing w:val="29"/>
          <w:sz w:val="17"/>
        </w:rPr>
        <w:t> </w:t>
      </w:r>
      <w:r>
        <w:rPr>
          <w:sz w:val="17"/>
        </w:rPr>
        <w:t>from</w:t>
      </w:r>
      <w:r>
        <w:rPr>
          <w:spacing w:val="29"/>
          <w:sz w:val="17"/>
        </w:rPr>
        <w:t> </w:t>
      </w:r>
      <w:r>
        <w:rPr>
          <w:sz w:val="17"/>
        </w:rPr>
        <w:t>Gansu</w:t>
      </w:r>
      <w:r>
        <w:rPr>
          <w:spacing w:val="29"/>
          <w:sz w:val="17"/>
        </w:rPr>
        <w:t> </w:t>
      </w:r>
      <w:r>
        <w:rPr>
          <w:sz w:val="17"/>
        </w:rPr>
        <w:t>Province,</w:t>
      </w:r>
      <w:r>
        <w:rPr>
          <w:spacing w:val="29"/>
          <w:sz w:val="17"/>
        </w:rPr>
        <w:t> </w:t>
      </w:r>
      <w:r>
        <w:rPr>
          <w:sz w:val="17"/>
        </w:rPr>
        <w:t>China</w:t>
      </w:r>
      <w:r>
        <w:rPr>
          <w:spacing w:val="29"/>
          <w:sz w:val="17"/>
        </w:rPr>
        <w:t> </w:t>
      </w:r>
      <w:r>
        <w:rPr>
          <w:sz w:val="17"/>
        </w:rPr>
        <w:t>are</w:t>
      </w:r>
      <w:r>
        <w:rPr>
          <w:spacing w:val="29"/>
          <w:sz w:val="17"/>
        </w:rPr>
        <w:t> </w:t>
      </w:r>
      <w:r>
        <w:rPr>
          <w:sz w:val="17"/>
        </w:rPr>
        <w:t>Genetically</w:t>
      </w:r>
      <w:r>
        <w:rPr>
          <w:spacing w:val="29"/>
          <w:sz w:val="17"/>
        </w:rPr>
        <w:t> </w:t>
      </w:r>
      <w:r>
        <w:rPr>
          <w:sz w:val="17"/>
        </w:rPr>
        <w:t>Highly</w:t>
      </w:r>
    </w:p>
    <w:p>
      <w:pPr>
        <w:pStyle w:val="ListParagraph"/>
        <w:numPr>
          <w:ilvl w:val="0"/>
          <w:numId w:val="25"/>
        </w:numPr>
        <w:tabs>
          <w:tab w:pos="1463" w:val="left" w:leader="none"/>
          <w:tab w:pos="1464" w:val="left" w:leader="none"/>
        </w:tabs>
        <w:spacing w:line="240" w:lineRule="auto" w:before="100" w:after="0"/>
        <w:ind w:left="1463" w:right="0" w:hanging="550"/>
        <w:jc w:val="left"/>
        <w:rPr>
          <w:sz w:val="17"/>
        </w:rPr>
      </w:pPr>
      <w:r>
        <w:rPr>
          <w:sz w:val="17"/>
        </w:rPr>
        <w:t>Diverse</w:t>
      </w:r>
      <w:r>
        <w:rPr>
          <w:spacing w:val="19"/>
          <w:sz w:val="17"/>
        </w:rPr>
        <w:t> </w:t>
      </w:r>
      <w:r>
        <w:rPr>
          <w:sz w:val="17"/>
        </w:rPr>
        <w:t>and</w:t>
      </w:r>
      <w:r>
        <w:rPr>
          <w:spacing w:val="19"/>
          <w:sz w:val="17"/>
        </w:rPr>
        <w:t> </w:t>
      </w:r>
      <w:r>
        <w:rPr>
          <w:sz w:val="17"/>
        </w:rPr>
        <w:t>Show</w:t>
      </w:r>
      <w:r>
        <w:rPr>
          <w:spacing w:val="19"/>
          <w:sz w:val="17"/>
        </w:rPr>
        <w:t> </w:t>
      </w:r>
      <w:r>
        <w:rPr>
          <w:sz w:val="17"/>
        </w:rPr>
        <w:t>a</w:t>
      </w:r>
      <w:r>
        <w:rPr>
          <w:spacing w:val="19"/>
          <w:sz w:val="17"/>
        </w:rPr>
        <w:t> </w:t>
      </w:r>
      <w:r>
        <w:rPr>
          <w:sz w:val="17"/>
        </w:rPr>
        <w:t>High</w:t>
      </w:r>
      <w:r>
        <w:rPr>
          <w:spacing w:val="19"/>
          <w:sz w:val="17"/>
        </w:rPr>
        <w:t> </w:t>
      </w:r>
      <w:r>
        <w:rPr>
          <w:sz w:val="17"/>
        </w:rPr>
        <w:t>Frequency</w:t>
      </w:r>
      <w:r>
        <w:rPr>
          <w:spacing w:val="19"/>
          <w:sz w:val="17"/>
        </w:rPr>
        <w:t> </w:t>
      </w:r>
      <w:r>
        <w:rPr>
          <w:sz w:val="17"/>
        </w:rPr>
        <w:t>of</w:t>
      </w:r>
      <w:r>
        <w:rPr>
          <w:spacing w:val="19"/>
          <w:sz w:val="17"/>
        </w:rPr>
        <w:t> </w:t>
      </w:r>
      <w:r>
        <w:rPr>
          <w:sz w:val="17"/>
        </w:rPr>
        <w:t>Self</w:t>
      </w:r>
      <w:r>
        <w:rPr>
          <w:spacing w:val="19"/>
          <w:sz w:val="17"/>
        </w:rPr>
        <w:t> </w:t>
      </w:r>
      <w:r>
        <w:rPr>
          <w:sz w:val="17"/>
        </w:rPr>
        <w:t>Fertility.</w:t>
      </w:r>
      <w:r>
        <w:rPr>
          <w:spacing w:val="19"/>
          <w:sz w:val="17"/>
        </w:rPr>
        <w:t> </w:t>
      </w:r>
      <w:r>
        <w:rPr>
          <w:sz w:val="17"/>
        </w:rPr>
        <w:t>Journal</w:t>
      </w:r>
      <w:r>
        <w:rPr>
          <w:spacing w:val="19"/>
          <w:sz w:val="17"/>
        </w:rPr>
        <w:t> </w:t>
      </w:r>
      <w:r>
        <w:rPr>
          <w:sz w:val="17"/>
        </w:rPr>
        <w:t>of</w:t>
      </w:r>
      <w:r>
        <w:rPr>
          <w:spacing w:val="19"/>
          <w:sz w:val="17"/>
        </w:rPr>
        <w:t> </w:t>
      </w:r>
      <w:r>
        <w:rPr>
          <w:sz w:val="17"/>
        </w:rPr>
        <w:t>Eukaryotic</w:t>
      </w:r>
      <w:r>
        <w:rPr>
          <w:spacing w:val="19"/>
          <w:sz w:val="17"/>
        </w:rPr>
        <w:t> </w:t>
      </w:r>
      <w:r>
        <w:rPr>
          <w:sz w:val="17"/>
        </w:rPr>
        <w:t>Microbiology,</w:t>
      </w:r>
    </w:p>
    <w:p>
      <w:pPr>
        <w:spacing w:after="0" w:line="240" w:lineRule="auto"/>
        <w:jc w:val="left"/>
        <w:rPr>
          <w:sz w:val="17"/>
        </w:rPr>
        <w:sectPr>
          <w:pgSz w:w="12240" w:h="15840"/>
          <w:pgMar w:header="719" w:footer="740" w:top="1260" w:bottom="920" w:left="1460" w:right="14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21"/>
        </w:rPr>
      </w:pPr>
    </w:p>
    <w:p>
      <w:pPr>
        <w:tabs>
          <w:tab w:pos="1450" w:val="left" w:leader="none"/>
        </w:tabs>
        <w:spacing w:before="80"/>
        <w:ind w:left="899" w:right="0" w:firstLine="0"/>
        <w:jc w:val="left"/>
        <w:rPr>
          <w:rFonts w:ascii="Times New Roman" w:hAnsi="Times New Roman"/>
          <w:sz w:val="17"/>
        </w:rPr>
      </w:pPr>
      <w:r>
        <w:rPr>
          <w:rFonts w:ascii="Cambria" w:hAnsi="Cambria"/>
          <w:w w:val="105"/>
          <w:sz w:val="17"/>
        </w:rPr>
        <w:t>290</w:t>
        <w:tab/>
      </w:r>
      <w:r>
        <w:rPr>
          <w:rFonts w:ascii="Times New Roman" w:hAnsi="Times New Roman"/>
          <w:w w:val="105"/>
          <w:sz w:val="17"/>
        </w:rPr>
        <w:t>60:</w:t>
      </w:r>
      <w:r>
        <w:rPr>
          <w:rFonts w:ascii="Times New Roman" w:hAnsi="Times New Roman"/>
          <w:spacing w:val="-18"/>
          <w:w w:val="105"/>
          <w:sz w:val="17"/>
        </w:rPr>
        <w:t> </w:t>
      </w:r>
      <w:r>
        <w:rPr>
          <w:rFonts w:ascii="Times New Roman" w:hAnsi="Times New Roman"/>
          <w:w w:val="105"/>
          <w:sz w:val="17"/>
        </w:rPr>
        <w:t>79–88.</w:t>
      </w:r>
    </w:p>
    <w:p>
      <w:pPr>
        <w:pStyle w:val="BodyText"/>
        <w:spacing w:before="11"/>
        <w:rPr>
          <w:rFonts w:ascii="Times New Roman"/>
          <w:sz w:val="16"/>
        </w:rPr>
      </w:pPr>
    </w:p>
    <w:p>
      <w:pPr>
        <w:pStyle w:val="ListParagraph"/>
        <w:numPr>
          <w:ilvl w:val="0"/>
          <w:numId w:val="26"/>
        </w:numPr>
        <w:tabs>
          <w:tab w:pos="1450" w:val="left" w:leader="none"/>
          <w:tab w:pos="1451" w:val="left" w:leader="none"/>
        </w:tabs>
        <w:spacing w:line="240" w:lineRule="auto" w:before="80" w:after="0"/>
        <w:ind w:left="1450" w:right="0" w:hanging="551"/>
        <w:jc w:val="left"/>
        <w:rPr>
          <w:sz w:val="17"/>
        </w:rPr>
      </w:pPr>
      <w:r>
        <w:rPr>
          <w:color w:val="101010"/>
          <w:w w:val="105"/>
          <w:sz w:val="17"/>
        </w:rPr>
        <w:t>Haverkort</w:t>
      </w:r>
      <w:r>
        <w:rPr>
          <w:color w:val="101010"/>
          <w:spacing w:val="-5"/>
          <w:w w:val="105"/>
          <w:sz w:val="17"/>
        </w:rPr>
        <w:t> </w:t>
      </w:r>
      <w:r>
        <w:rPr>
          <w:color w:val="101010"/>
          <w:w w:val="105"/>
          <w:sz w:val="17"/>
        </w:rPr>
        <w:t>A.</w:t>
      </w:r>
      <w:r>
        <w:rPr>
          <w:color w:val="101010"/>
          <w:spacing w:val="-5"/>
          <w:w w:val="105"/>
          <w:sz w:val="17"/>
        </w:rPr>
        <w:t> </w:t>
      </w:r>
      <w:r>
        <w:rPr>
          <w:color w:val="101010"/>
          <w:w w:val="105"/>
          <w:sz w:val="17"/>
        </w:rPr>
        <w:t>J.,</w:t>
      </w:r>
      <w:r>
        <w:rPr>
          <w:color w:val="101010"/>
          <w:spacing w:val="-5"/>
          <w:w w:val="105"/>
          <w:sz w:val="17"/>
        </w:rPr>
        <w:t> </w:t>
      </w:r>
      <w:r>
        <w:rPr>
          <w:color w:val="101010"/>
          <w:w w:val="105"/>
          <w:sz w:val="17"/>
        </w:rPr>
        <w:t>Boonekamp</w:t>
      </w:r>
      <w:r>
        <w:rPr>
          <w:color w:val="101010"/>
          <w:spacing w:val="-5"/>
          <w:w w:val="105"/>
          <w:sz w:val="17"/>
        </w:rPr>
        <w:t> </w:t>
      </w:r>
      <w:r>
        <w:rPr>
          <w:color w:val="101010"/>
          <w:w w:val="105"/>
          <w:sz w:val="17"/>
        </w:rPr>
        <w:t>P.</w:t>
      </w:r>
      <w:r>
        <w:rPr>
          <w:color w:val="101010"/>
          <w:spacing w:val="-5"/>
          <w:w w:val="105"/>
          <w:sz w:val="17"/>
        </w:rPr>
        <w:t> </w:t>
      </w:r>
      <w:r>
        <w:rPr>
          <w:color w:val="101010"/>
          <w:w w:val="105"/>
          <w:sz w:val="17"/>
        </w:rPr>
        <w:t>M.,</w:t>
      </w:r>
      <w:r>
        <w:rPr>
          <w:color w:val="101010"/>
          <w:spacing w:val="-5"/>
          <w:w w:val="105"/>
          <w:sz w:val="17"/>
        </w:rPr>
        <w:t> </w:t>
      </w:r>
      <w:r>
        <w:rPr>
          <w:color w:val="101010"/>
          <w:w w:val="105"/>
          <w:sz w:val="17"/>
        </w:rPr>
        <w:t>Hutten</w:t>
      </w:r>
      <w:r>
        <w:rPr>
          <w:color w:val="101010"/>
          <w:spacing w:val="-5"/>
          <w:w w:val="105"/>
          <w:sz w:val="17"/>
        </w:rPr>
        <w:t> </w:t>
      </w:r>
      <w:r>
        <w:rPr>
          <w:color w:val="101010"/>
          <w:w w:val="105"/>
          <w:sz w:val="17"/>
        </w:rPr>
        <w:t>R.,</w:t>
      </w:r>
      <w:r>
        <w:rPr>
          <w:color w:val="101010"/>
          <w:spacing w:val="-5"/>
          <w:w w:val="105"/>
          <w:sz w:val="17"/>
        </w:rPr>
        <w:t> </w:t>
      </w:r>
      <w:r>
        <w:rPr>
          <w:color w:val="101010"/>
          <w:w w:val="105"/>
          <w:sz w:val="17"/>
        </w:rPr>
        <w:t>Jacobsen</w:t>
      </w:r>
      <w:r>
        <w:rPr>
          <w:color w:val="101010"/>
          <w:spacing w:val="-5"/>
          <w:w w:val="105"/>
          <w:sz w:val="17"/>
        </w:rPr>
        <w:t> </w:t>
      </w:r>
      <w:r>
        <w:rPr>
          <w:color w:val="101010"/>
          <w:w w:val="105"/>
          <w:sz w:val="17"/>
        </w:rPr>
        <w:t>E.,.</w:t>
      </w:r>
      <w:r>
        <w:rPr>
          <w:color w:val="101010"/>
          <w:spacing w:val="-5"/>
          <w:w w:val="105"/>
          <w:sz w:val="17"/>
        </w:rPr>
        <w:t> </w:t>
      </w:r>
      <w:r>
        <w:rPr>
          <w:color w:val="101010"/>
          <w:w w:val="105"/>
          <w:sz w:val="17"/>
        </w:rPr>
        <w:t>Lotz</w:t>
      </w:r>
      <w:r>
        <w:rPr>
          <w:color w:val="101010"/>
          <w:spacing w:val="-5"/>
          <w:w w:val="105"/>
          <w:sz w:val="17"/>
        </w:rPr>
        <w:t> </w:t>
      </w:r>
      <w:r>
        <w:rPr>
          <w:color w:val="101010"/>
          <w:w w:val="105"/>
          <w:sz w:val="17"/>
        </w:rPr>
        <w:t>L.</w:t>
      </w:r>
      <w:r>
        <w:rPr>
          <w:color w:val="101010"/>
          <w:spacing w:val="-5"/>
          <w:w w:val="105"/>
          <w:sz w:val="17"/>
        </w:rPr>
        <w:t> </w:t>
      </w:r>
      <w:r>
        <w:rPr>
          <w:color w:val="101010"/>
          <w:w w:val="105"/>
          <w:sz w:val="17"/>
        </w:rPr>
        <w:t>A.</w:t>
      </w:r>
      <w:r>
        <w:rPr>
          <w:color w:val="101010"/>
          <w:spacing w:val="-5"/>
          <w:w w:val="105"/>
          <w:sz w:val="17"/>
        </w:rPr>
        <w:t> </w:t>
      </w:r>
      <w:r>
        <w:rPr>
          <w:color w:val="101010"/>
          <w:w w:val="105"/>
          <w:sz w:val="17"/>
        </w:rPr>
        <w:t>P.,</w:t>
      </w:r>
      <w:r>
        <w:rPr>
          <w:color w:val="101010"/>
          <w:spacing w:val="-5"/>
          <w:w w:val="105"/>
          <w:sz w:val="17"/>
        </w:rPr>
        <w:t> </w:t>
      </w:r>
      <w:r>
        <w:rPr>
          <w:color w:val="101010"/>
          <w:w w:val="105"/>
          <w:sz w:val="17"/>
        </w:rPr>
        <w:t>Kessel</w:t>
      </w:r>
      <w:r>
        <w:rPr>
          <w:color w:val="101010"/>
          <w:spacing w:val="-5"/>
          <w:w w:val="105"/>
          <w:sz w:val="17"/>
        </w:rPr>
        <w:t> </w:t>
      </w:r>
      <w:r>
        <w:rPr>
          <w:color w:val="101010"/>
          <w:w w:val="105"/>
          <w:sz w:val="17"/>
        </w:rPr>
        <w:t>G.</w:t>
      </w:r>
      <w:r>
        <w:rPr>
          <w:color w:val="101010"/>
          <w:spacing w:val="-5"/>
          <w:w w:val="105"/>
          <w:sz w:val="17"/>
        </w:rPr>
        <w:t> </w:t>
      </w:r>
      <w:r>
        <w:rPr>
          <w:color w:val="101010"/>
          <w:w w:val="105"/>
          <w:sz w:val="17"/>
        </w:rPr>
        <w:t>J.</w:t>
      </w:r>
      <w:r>
        <w:rPr>
          <w:color w:val="101010"/>
          <w:spacing w:val="-5"/>
          <w:w w:val="105"/>
          <w:sz w:val="17"/>
        </w:rPr>
        <w:t> </w:t>
      </w:r>
      <w:r>
        <w:rPr>
          <w:color w:val="101010"/>
          <w:w w:val="105"/>
          <w:sz w:val="17"/>
        </w:rPr>
        <w:t>T.</w:t>
      </w:r>
      <w:r>
        <w:rPr>
          <w:color w:val="101010"/>
          <w:spacing w:val="-5"/>
          <w:w w:val="105"/>
          <w:sz w:val="17"/>
        </w:rPr>
        <w:t> </w:t>
      </w:r>
      <w:r>
        <w:rPr>
          <w:color w:val="101010"/>
          <w:w w:val="105"/>
          <w:sz w:val="17"/>
        </w:rPr>
        <w:t>,</w:t>
      </w:r>
    </w:p>
    <w:p>
      <w:pPr>
        <w:pStyle w:val="ListParagraph"/>
        <w:numPr>
          <w:ilvl w:val="0"/>
          <w:numId w:val="26"/>
        </w:numPr>
        <w:tabs>
          <w:tab w:pos="1540" w:val="left" w:leader="none"/>
          <w:tab w:pos="1541" w:val="left" w:leader="none"/>
        </w:tabs>
        <w:spacing w:line="240" w:lineRule="auto" w:before="104" w:after="0"/>
        <w:ind w:left="1540" w:right="0" w:hanging="641"/>
        <w:jc w:val="left"/>
        <w:rPr>
          <w:sz w:val="17"/>
        </w:rPr>
      </w:pPr>
      <w:r>
        <w:rPr>
          <w:color w:val="101010"/>
          <w:w w:val="105"/>
          <w:sz w:val="17"/>
        </w:rPr>
        <w:t>Visser</w:t>
      </w:r>
      <w:r>
        <w:rPr>
          <w:color w:val="101010"/>
          <w:spacing w:val="-7"/>
          <w:w w:val="105"/>
          <w:sz w:val="17"/>
        </w:rPr>
        <w:t> </w:t>
      </w:r>
      <w:r>
        <w:rPr>
          <w:color w:val="101010"/>
          <w:w w:val="105"/>
          <w:sz w:val="17"/>
        </w:rPr>
        <w:t>R.</w:t>
      </w:r>
      <w:r>
        <w:rPr>
          <w:color w:val="101010"/>
          <w:spacing w:val="-7"/>
          <w:w w:val="105"/>
          <w:sz w:val="17"/>
        </w:rPr>
        <w:t> </w:t>
      </w:r>
      <w:r>
        <w:rPr>
          <w:color w:val="101010"/>
          <w:w w:val="105"/>
          <w:sz w:val="17"/>
        </w:rPr>
        <w:t>G.</w:t>
      </w:r>
      <w:r>
        <w:rPr>
          <w:color w:val="101010"/>
          <w:spacing w:val="-7"/>
          <w:w w:val="105"/>
          <w:sz w:val="17"/>
        </w:rPr>
        <w:t> </w:t>
      </w:r>
      <w:r>
        <w:rPr>
          <w:color w:val="101010"/>
          <w:w w:val="105"/>
          <w:sz w:val="17"/>
        </w:rPr>
        <w:t>F.,</w:t>
      </w:r>
      <w:r>
        <w:rPr>
          <w:color w:val="101010"/>
          <w:spacing w:val="-7"/>
          <w:w w:val="105"/>
          <w:sz w:val="17"/>
        </w:rPr>
        <w:t> </w:t>
      </w:r>
      <w:r>
        <w:rPr>
          <w:color w:val="101010"/>
          <w:w w:val="105"/>
          <w:sz w:val="17"/>
        </w:rPr>
        <w:t>van</w:t>
      </w:r>
      <w:r>
        <w:rPr>
          <w:color w:val="101010"/>
          <w:spacing w:val="-7"/>
          <w:w w:val="105"/>
          <w:sz w:val="17"/>
        </w:rPr>
        <w:t> </w:t>
      </w:r>
      <w:r>
        <w:rPr>
          <w:color w:val="101010"/>
          <w:w w:val="105"/>
          <w:sz w:val="17"/>
        </w:rPr>
        <w:t>der</w:t>
      </w:r>
      <w:r>
        <w:rPr>
          <w:color w:val="101010"/>
          <w:spacing w:val="-7"/>
          <w:w w:val="105"/>
          <w:sz w:val="17"/>
        </w:rPr>
        <w:t> </w:t>
      </w:r>
      <w:r>
        <w:rPr>
          <w:color w:val="101010"/>
          <w:w w:val="105"/>
          <w:sz w:val="17"/>
        </w:rPr>
        <w:t>Vossen</w:t>
      </w:r>
      <w:r>
        <w:rPr>
          <w:color w:val="101010"/>
          <w:spacing w:val="-7"/>
          <w:w w:val="105"/>
          <w:sz w:val="17"/>
        </w:rPr>
        <w:t> </w:t>
      </w:r>
      <w:r>
        <w:rPr>
          <w:color w:val="101010"/>
          <w:w w:val="105"/>
          <w:sz w:val="17"/>
        </w:rPr>
        <w:t>E.</w:t>
      </w:r>
      <w:r>
        <w:rPr>
          <w:color w:val="101010"/>
          <w:spacing w:val="-7"/>
          <w:w w:val="105"/>
          <w:sz w:val="17"/>
        </w:rPr>
        <w:t> </w:t>
      </w:r>
      <w:r>
        <w:rPr>
          <w:color w:val="101010"/>
          <w:w w:val="105"/>
          <w:sz w:val="17"/>
        </w:rPr>
        <w:t>A.</w:t>
      </w:r>
      <w:r>
        <w:rPr>
          <w:color w:val="101010"/>
          <w:spacing w:val="-7"/>
          <w:w w:val="105"/>
          <w:sz w:val="17"/>
        </w:rPr>
        <w:t> </w:t>
      </w:r>
      <w:r>
        <w:rPr>
          <w:color w:val="101010"/>
          <w:w w:val="105"/>
          <w:sz w:val="17"/>
        </w:rPr>
        <w:t>G.</w:t>
      </w:r>
      <w:r>
        <w:rPr>
          <w:color w:val="101010"/>
          <w:spacing w:val="-7"/>
          <w:w w:val="105"/>
          <w:sz w:val="17"/>
        </w:rPr>
        <w:t> </w:t>
      </w:r>
      <w:r>
        <w:rPr>
          <w:color w:val="101010"/>
          <w:w w:val="105"/>
          <w:sz w:val="17"/>
        </w:rPr>
        <w:t>2008.</w:t>
      </w:r>
      <w:r>
        <w:rPr>
          <w:color w:val="101010"/>
          <w:spacing w:val="-7"/>
          <w:w w:val="105"/>
          <w:sz w:val="17"/>
        </w:rPr>
        <w:t> </w:t>
      </w:r>
      <w:r>
        <w:rPr>
          <w:color w:val="101010"/>
          <w:w w:val="105"/>
          <w:sz w:val="17"/>
        </w:rPr>
        <w:t>Societal</w:t>
      </w:r>
      <w:r>
        <w:rPr>
          <w:color w:val="101010"/>
          <w:spacing w:val="-7"/>
          <w:w w:val="105"/>
          <w:sz w:val="17"/>
        </w:rPr>
        <w:t> </w:t>
      </w:r>
      <w:r>
        <w:rPr>
          <w:color w:val="101010"/>
          <w:w w:val="105"/>
          <w:sz w:val="17"/>
        </w:rPr>
        <w:t>Costs</w:t>
      </w:r>
      <w:r>
        <w:rPr>
          <w:color w:val="101010"/>
          <w:spacing w:val="-7"/>
          <w:w w:val="105"/>
          <w:sz w:val="17"/>
        </w:rPr>
        <w:t> </w:t>
      </w:r>
      <w:r>
        <w:rPr>
          <w:color w:val="101010"/>
          <w:w w:val="105"/>
          <w:sz w:val="17"/>
        </w:rPr>
        <w:t>of</w:t>
      </w:r>
      <w:r>
        <w:rPr>
          <w:color w:val="101010"/>
          <w:spacing w:val="-7"/>
          <w:w w:val="105"/>
          <w:sz w:val="17"/>
        </w:rPr>
        <w:t> </w:t>
      </w:r>
      <w:r>
        <w:rPr>
          <w:color w:val="101010"/>
          <w:w w:val="105"/>
          <w:sz w:val="17"/>
        </w:rPr>
        <w:t>Late</w:t>
      </w:r>
      <w:r>
        <w:rPr>
          <w:color w:val="101010"/>
          <w:spacing w:val="-7"/>
          <w:w w:val="105"/>
          <w:sz w:val="17"/>
        </w:rPr>
        <w:t> </w:t>
      </w:r>
      <w:r>
        <w:rPr>
          <w:color w:val="101010"/>
          <w:w w:val="105"/>
          <w:sz w:val="17"/>
        </w:rPr>
        <w:t>Blight</w:t>
      </w:r>
      <w:r>
        <w:rPr>
          <w:color w:val="101010"/>
          <w:spacing w:val="-7"/>
          <w:w w:val="105"/>
          <w:sz w:val="17"/>
        </w:rPr>
        <w:t> </w:t>
      </w:r>
      <w:r>
        <w:rPr>
          <w:color w:val="101010"/>
          <w:w w:val="105"/>
          <w:sz w:val="17"/>
        </w:rPr>
        <w:t>in</w:t>
      </w:r>
      <w:r>
        <w:rPr>
          <w:color w:val="101010"/>
          <w:spacing w:val="-7"/>
          <w:w w:val="105"/>
          <w:sz w:val="17"/>
        </w:rPr>
        <w:t> </w:t>
      </w:r>
      <w:r>
        <w:rPr>
          <w:color w:val="101010"/>
          <w:w w:val="105"/>
          <w:sz w:val="17"/>
        </w:rPr>
        <w:t>Potato</w:t>
      </w:r>
      <w:r>
        <w:rPr>
          <w:color w:val="101010"/>
          <w:spacing w:val="-7"/>
          <w:w w:val="105"/>
          <w:sz w:val="17"/>
        </w:rPr>
        <w:t> </w:t>
      </w:r>
      <w:r>
        <w:rPr>
          <w:color w:val="101010"/>
          <w:w w:val="105"/>
          <w:sz w:val="17"/>
        </w:rPr>
        <w:t>and</w:t>
      </w:r>
    </w:p>
    <w:p>
      <w:pPr>
        <w:pStyle w:val="ListParagraph"/>
        <w:numPr>
          <w:ilvl w:val="0"/>
          <w:numId w:val="26"/>
        </w:numPr>
        <w:tabs>
          <w:tab w:pos="1450" w:val="left" w:leader="none"/>
          <w:tab w:pos="1451" w:val="left" w:leader="none"/>
        </w:tabs>
        <w:spacing w:line="240" w:lineRule="auto" w:before="100" w:after="0"/>
        <w:ind w:left="1450" w:right="0" w:hanging="551"/>
        <w:jc w:val="left"/>
        <w:rPr>
          <w:sz w:val="17"/>
        </w:rPr>
      </w:pPr>
      <w:r>
        <w:rPr>
          <w:color w:val="101010"/>
          <w:w w:val="105"/>
          <w:sz w:val="17"/>
        </w:rPr>
        <w:t>Prospects of Durable Resistance Through Cisgenic Modification. Potato Research </w:t>
      </w:r>
      <w:r>
        <w:rPr>
          <w:color w:val="101010"/>
          <w:spacing w:val="10"/>
          <w:w w:val="105"/>
          <w:sz w:val="17"/>
        </w:rPr>
        <w:t> </w:t>
      </w:r>
      <w:r>
        <w:rPr>
          <w:color w:val="101010"/>
          <w:w w:val="105"/>
          <w:sz w:val="17"/>
        </w:rPr>
        <w:t>51:47-</w:t>
      </w:r>
    </w:p>
    <w:p>
      <w:pPr>
        <w:tabs>
          <w:tab w:pos="1450" w:val="left" w:leader="none"/>
        </w:tabs>
        <w:spacing w:before="100"/>
        <w:ind w:left="899" w:right="0" w:firstLine="0"/>
        <w:jc w:val="left"/>
        <w:rPr>
          <w:rFonts w:ascii="Times New Roman"/>
          <w:sz w:val="17"/>
        </w:rPr>
      </w:pPr>
      <w:r>
        <w:rPr>
          <w:rFonts w:ascii="Cambria"/>
          <w:w w:val="105"/>
          <w:sz w:val="17"/>
        </w:rPr>
        <w:t>294</w:t>
        <w:tab/>
      </w:r>
      <w:r>
        <w:rPr>
          <w:rFonts w:ascii="Times New Roman"/>
          <w:color w:val="101010"/>
          <w:w w:val="105"/>
          <w:sz w:val="17"/>
        </w:rPr>
        <w:t>57.</w:t>
      </w:r>
    </w:p>
    <w:p>
      <w:pPr>
        <w:pStyle w:val="BodyText"/>
        <w:spacing w:before="11"/>
        <w:rPr>
          <w:rFonts w:ascii="Times New Roman"/>
          <w:sz w:val="16"/>
        </w:rPr>
      </w:pPr>
    </w:p>
    <w:p>
      <w:pPr>
        <w:pStyle w:val="ListParagraph"/>
        <w:numPr>
          <w:ilvl w:val="0"/>
          <w:numId w:val="27"/>
        </w:numPr>
        <w:tabs>
          <w:tab w:pos="1450" w:val="left" w:leader="none"/>
          <w:tab w:pos="1451" w:val="left" w:leader="none"/>
        </w:tabs>
        <w:spacing w:line="240" w:lineRule="auto" w:before="80" w:after="0"/>
        <w:ind w:left="1450" w:right="0" w:hanging="551"/>
        <w:jc w:val="left"/>
        <w:rPr>
          <w:sz w:val="17"/>
        </w:rPr>
      </w:pPr>
      <w:r>
        <w:rPr>
          <w:w w:val="105"/>
          <w:sz w:val="17"/>
        </w:rPr>
        <w:t>SAS</w:t>
      </w:r>
      <w:r>
        <w:rPr>
          <w:spacing w:val="29"/>
          <w:w w:val="105"/>
          <w:sz w:val="17"/>
        </w:rPr>
        <w:t> </w:t>
      </w:r>
      <w:r>
        <w:rPr>
          <w:w w:val="105"/>
          <w:sz w:val="17"/>
        </w:rPr>
        <w:t>(Statistical</w:t>
      </w:r>
      <w:r>
        <w:rPr>
          <w:spacing w:val="29"/>
          <w:w w:val="105"/>
          <w:sz w:val="17"/>
        </w:rPr>
        <w:t> </w:t>
      </w:r>
      <w:r>
        <w:rPr>
          <w:w w:val="105"/>
          <w:sz w:val="17"/>
        </w:rPr>
        <w:t>Analysis</w:t>
      </w:r>
      <w:r>
        <w:rPr>
          <w:spacing w:val="29"/>
          <w:w w:val="105"/>
          <w:sz w:val="17"/>
        </w:rPr>
        <w:t> </w:t>
      </w:r>
      <w:r>
        <w:rPr>
          <w:w w:val="105"/>
          <w:sz w:val="17"/>
        </w:rPr>
        <w:t>System</w:t>
      </w:r>
      <w:r>
        <w:rPr>
          <w:spacing w:val="29"/>
          <w:w w:val="105"/>
          <w:sz w:val="17"/>
        </w:rPr>
        <w:t> </w:t>
      </w:r>
      <w:r>
        <w:rPr>
          <w:w w:val="105"/>
          <w:sz w:val="17"/>
        </w:rPr>
        <w:t>Institute).</w:t>
      </w:r>
      <w:r>
        <w:rPr>
          <w:spacing w:val="29"/>
          <w:w w:val="105"/>
          <w:sz w:val="17"/>
        </w:rPr>
        <w:t> </w:t>
      </w:r>
      <w:r>
        <w:rPr>
          <w:w w:val="105"/>
          <w:sz w:val="17"/>
        </w:rPr>
        <w:t>2002.</w:t>
      </w:r>
      <w:r>
        <w:rPr>
          <w:spacing w:val="29"/>
          <w:w w:val="105"/>
          <w:sz w:val="17"/>
        </w:rPr>
        <w:t> </w:t>
      </w:r>
      <w:r>
        <w:rPr>
          <w:w w:val="105"/>
          <w:sz w:val="17"/>
        </w:rPr>
        <w:t>SAS/STAT</w:t>
      </w:r>
      <w:r>
        <w:rPr>
          <w:spacing w:val="29"/>
          <w:w w:val="105"/>
          <w:sz w:val="17"/>
        </w:rPr>
        <w:t> </w:t>
      </w:r>
      <w:r>
        <w:rPr>
          <w:w w:val="105"/>
          <w:sz w:val="17"/>
        </w:rPr>
        <w:t>User’s</w:t>
      </w:r>
      <w:r>
        <w:rPr>
          <w:spacing w:val="29"/>
          <w:w w:val="105"/>
          <w:sz w:val="17"/>
        </w:rPr>
        <w:t> </w:t>
      </w:r>
      <w:r>
        <w:rPr>
          <w:w w:val="105"/>
          <w:sz w:val="17"/>
        </w:rPr>
        <w:t>Guide,</w:t>
      </w:r>
      <w:r>
        <w:rPr>
          <w:spacing w:val="29"/>
          <w:w w:val="105"/>
          <w:sz w:val="17"/>
        </w:rPr>
        <w:t> </w:t>
      </w:r>
      <w:r>
        <w:rPr>
          <w:w w:val="105"/>
          <w:sz w:val="17"/>
        </w:rPr>
        <w:t>Software</w:t>
      </w:r>
    </w:p>
    <w:p>
      <w:pPr>
        <w:pStyle w:val="ListParagraph"/>
        <w:numPr>
          <w:ilvl w:val="0"/>
          <w:numId w:val="27"/>
        </w:numPr>
        <w:tabs>
          <w:tab w:pos="1450" w:val="left" w:leader="none"/>
          <w:tab w:pos="1451" w:val="left" w:leader="none"/>
        </w:tabs>
        <w:spacing w:line="240" w:lineRule="auto" w:before="104" w:after="0"/>
        <w:ind w:left="1450" w:right="0" w:hanging="551"/>
        <w:jc w:val="left"/>
        <w:rPr>
          <w:sz w:val="17"/>
        </w:rPr>
      </w:pPr>
      <w:r>
        <w:rPr>
          <w:w w:val="105"/>
          <w:sz w:val="17"/>
        </w:rPr>
        <w:t>version</w:t>
      </w:r>
      <w:r>
        <w:rPr>
          <w:spacing w:val="-12"/>
          <w:w w:val="105"/>
          <w:sz w:val="17"/>
        </w:rPr>
        <w:t> </w:t>
      </w:r>
      <w:r>
        <w:rPr>
          <w:w w:val="105"/>
          <w:sz w:val="17"/>
        </w:rPr>
        <w:t>9.0.</w:t>
      </w:r>
      <w:r>
        <w:rPr>
          <w:spacing w:val="-12"/>
          <w:w w:val="105"/>
          <w:sz w:val="17"/>
        </w:rPr>
        <w:t> </w:t>
      </w:r>
      <w:r>
        <w:rPr>
          <w:w w:val="105"/>
          <w:sz w:val="17"/>
        </w:rPr>
        <w:t>SAS</w:t>
      </w:r>
      <w:r>
        <w:rPr>
          <w:spacing w:val="-12"/>
          <w:w w:val="105"/>
          <w:sz w:val="17"/>
        </w:rPr>
        <w:t> </w:t>
      </w:r>
      <w:r>
        <w:rPr>
          <w:w w:val="105"/>
          <w:sz w:val="17"/>
        </w:rPr>
        <w:t>Institute</w:t>
      </w:r>
      <w:r>
        <w:rPr>
          <w:spacing w:val="-12"/>
          <w:w w:val="105"/>
          <w:sz w:val="17"/>
        </w:rPr>
        <w:t> </w:t>
      </w:r>
      <w:r>
        <w:rPr>
          <w:w w:val="105"/>
          <w:sz w:val="17"/>
        </w:rPr>
        <w:t>Inc.</w:t>
      </w:r>
      <w:r>
        <w:rPr>
          <w:spacing w:val="-12"/>
          <w:w w:val="105"/>
          <w:sz w:val="17"/>
        </w:rPr>
        <w:t> </w:t>
      </w:r>
      <w:r>
        <w:rPr>
          <w:w w:val="105"/>
          <w:sz w:val="17"/>
        </w:rPr>
        <w:t>Cary,</w:t>
      </w:r>
      <w:r>
        <w:rPr>
          <w:spacing w:val="-12"/>
          <w:w w:val="105"/>
          <w:sz w:val="17"/>
        </w:rPr>
        <w:t> </w:t>
      </w:r>
      <w:r>
        <w:rPr>
          <w:w w:val="105"/>
          <w:sz w:val="17"/>
        </w:rPr>
        <w:t>N.C.</w:t>
      </w:r>
      <w:r>
        <w:rPr>
          <w:spacing w:val="-12"/>
          <w:w w:val="105"/>
          <w:sz w:val="17"/>
        </w:rPr>
        <w:t> </w:t>
      </w:r>
      <w:r>
        <w:rPr>
          <w:w w:val="105"/>
          <w:sz w:val="17"/>
        </w:rPr>
        <w:t>27513.</w:t>
      </w:r>
      <w:r>
        <w:rPr>
          <w:spacing w:val="-12"/>
          <w:w w:val="105"/>
          <w:sz w:val="17"/>
        </w:rPr>
        <w:t> </w:t>
      </w:r>
      <w:r>
        <w:rPr>
          <w:w w:val="105"/>
          <w:sz w:val="17"/>
        </w:rPr>
        <w:t>USA</w:t>
      </w:r>
    </w:p>
    <w:p>
      <w:pPr>
        <w:pStyle w:val="BodyText"/>
        <w:spacing w:before="11"/>
        <w:rPr>
          <w:rFonts w:ascii="Times New Roman"/>
          <w:sz w:val="16"/>
        </w:rPr>
      </w:pPr>
    </w:p>
    <w:p>
      <w:pPr>
        <w:pStyle w:val="ListParagraph"/>
        <w:numPr>
          <w:ilvl w:val="0"/>
          <w:numId w:val="27"/>
        </w:numPr>
        <w:tabs>
          <w:tab w:pos="1450" w:val="left" w:leader="none"/>
          <w:tab w:pos="1451" w:val="left" w:leader="none"/>
        </w:tabs>
        <w:spacing w:line="240" w:lineRule="auto" w:before="80" w:after="0"/>
        <w:ind w:left="1450" w:right="0" w:hanging="551"/>
        <w:jc w:val="left"/>
        <w:rPr>
          <w:sz w:val="17"/>
        </w:rPr>
      </w:pPr>
      <w:r>
        <w:rPr>
          <w:w w:val="105"/>
          <w:sz w:val="17"/>
        </w:rPr>
        <w:t>Segura</w:t>
      </w:r>
      <w:r>
        <w:rPr>
          <w:spacing w:val="13"/>
          <w:w w:val="105"/>
          <w:sz w:val="17"/>
        </w:rPr>
        <w:t> </w:t>
      </w:r>
      <w:r>
        <w:rPr>
          <w:w w:val="105"/>
          <w:sz w:val="17"/>
        </w:rPr>
        <w:t>J.</w:t>
      </w:r>
      <w:r>
        <w:rPr>
          <w:spacing w:val="13"/>
          <w:w w:val="105"/>
          <w:sz w:val="17"/>
        </w:rPr>
        <w:t> </w:t>
      </w:r>
      <w:r>
        <w:rPr>
          <w:w w:val="105"/>
          <w:sz w:val="17"/>
        </w:rPr>
        <w:t>M.,</w:t>
      </w:r>
      <w:r>
        <w:rPr>
          <w:spacing w:val="13"/>
          <w:w w:val="105"/>
          <w:sz w:val="17"/>
        </w:rPr>
        <w:t> </w:t>
      </w:r>
      <w:r>
        <w:rPr>
          <w:w w:val="105"/>
          <w:sz w:val="17"/>
        </w:rPr>
        <w:t>de</w:t>
      </w:r>
      <w:r>
        <w:rPr>
          <w:spacing w:val="13"/>
          <w:w w:val="105"/>
          <w:sz w:val="17"/>
        </w:rPr>
        <w:t> </w:t>
      </w:r>
      <w:r>
        <w:rPr>
          <w:w w:val="105"/>
          <w:sz w:val="17"/>
        </w:rPr>
        <w:t>Cara</w:t>
      </w:r>
      <w:r>
        <w:rPr>
          <w:spacing w:val="13"/>
          <w:w w:val="105"/>
          <w:sz w:val="17"/>
        </w:rPr>
        <w:t> </w:t>
      </w:r>
      <w:r>
        <w:rPr>
          <w:w w:val="105"/>
          <w:sz w:val="17"/>
        </w:rPr>
        <w:t>M.,</w:t>
      </w:r>
      <w:r>
        <w:rPr>
          <w:spacing w:val="13"/>
          <w:w w:val="105"/>
          <w:sz w:val="17"/>
        </w:rPr>
        <w:t> </w:t>
      </w:r>
      <w:r>
        <w:rPr>
          <w:w w:val="105"/>
          <w:sz w:val="17"/>
        </w:rPr>
        <w:t>Santos</w:t>
      </w:r>
      <w:r>
        <w:rPr>
          <w:spacing w:val="13"/>
          <w:w w:val="105"/>
          <w:sz w:val="17"/>
        </w:rPr>
        <w:t> </w:t>
      </w:r>
      <w:r>
        <w:rPr>
          <w:w w:val="105"/>
          <w:sz w:val="17"/>
        </w:rPr>
        <w:t>M.,</w:t>
      </w:r>
      <w:r>
        <w:rPr>
          <w:spacing w:val="13"/>
          <w:w w:val="105"/>
          <w:sz w:val="17"/>
        </w:rPr>
        <w:t> </w:t>
      </w:r>
      <w:r>
        <w:rPr>
          <w:w w:val="105"/>
          <w:sz w:val="17"/>
        </w:rPr>
        <w:t>and</w:t>
      </w:r>
      <w:r>
        <w:rPr>
          <w:spacing w:val="13"/>
          <w:w w:val="105"/>
          <w:sz w:val="17"/>
        </w:rPr>
        <w:t> </w:t>
      </w:r>
      <w:r>
        <w:rPr>
          <w:w w:val="105"/>
          <w:sz w:val="17"/>
        </w:rPr>
        <w:t>Tello</w:t>
      </w:r>
      <w:r>
        <w:rPr>
          <w:spacing w:val="13"/>
          <w:w w:val="105"/>
          <w:sz w:val="17"/>
        </w:rPr>
        <w:t> </w:t>
      </w:r>
      <w:r>
        <w:rPr>
          <w:w w:val="105"/>
          <w:sz w:val="17"/>
        </w:rPr>
        <w:t>J.</w:t>
      </w:r>
      <w:r>
        <w:rPr>
          <w:spacing w:val="13"/>
          <w:w w:val="105"/>
          <w:sz w:val="17"/>
        </w:rPr>
        <w:t> </w:t>
      </w:r>
      <w:r>
        <w:rPr>
          <w:w w:val="105"/>
          <w:sz w:val="17"/>
        </w:rPr>
        <w:t>2007.</w:t>
      </w:r>
      <w:r>
        <w:rPr>
          <w:spacing w:val="13"/>
          <w:w w:val="105"/>
          <w:sz w:val="17"/>
        </w:rPr>
        <w:t> </w:t>
      </w:r>
      <w:r>
        <w:rPr>
          <w:i/>
          <w:w w:val="105"/>
          <w:sz w:val="17"/>
        </w:rPr>
        <w:t>Phytophthora</w:t>
      </w:r>
      <w:r>
        <w:rPr>
          <w:i/>
          <w:spacing w:val="4"/>
          <w:w w:val="105"/>
          <w:sz w:val="17"/>
        </w:rPr>
        <w:t> </w:t>
      </w:r>
      <w:r>
        <w:rPr>
          <w:i/>
          <w:w w:val="105"/>
          <w:sz w:val="17"/>
        </w:rPr>
        <w:t>infestans</w:t>
      </w:r>
      <w:r>
        <w:rPr>
          <w:i/>
          <w:spacing w:val="4"/>
          <w:w w:val="105"/>
          <w:sz w:val="17"/>
        </w:rPr>
        <w:t> </w:t>
      </w:r>
      <w:r>
        <w:rPr>
          <w:w w:val="105"/>
          <w:sz w:val="17"/>
        </w:rPr>
        <w:t>Mating</w:t>
      </w:r>
    </w:p>
    <w:p>
      <w:pPr>
        <w:pStyle w:val="ListParagraph"/>
        <w:numPr>
          <w:ilvl w:val="0"/>
          <w:numId w:val="27"/>
        </w:numPr>
        <w:tabs>
          <w:tab w:pos="1450" w:val="left" w:leader="none"/>
          <w:tab w:pos="1451" w:val="left" w:leader="none"/>
        </w:tabs>
        <w:spacing w:line="240" w:lineRule="auto" w:before="100" w:after="0"/>
        <w:ind w:left="1450" w:right="0" w:hanging="551"/>
        <w:jc w:val="left"/>
        <w:rPr>
          <w:sz w:val="17"/>
        </w:rPr>
      </w:pPr>
      <w:r>
        <w:rPr>
          <w:w w:val="105"/>
          <w:sz w:val="17"/>
        </w:rPr>
        <w:t>Types</w:t>
      </w:r>
      <w:r>
        <w:rPr>
          <w:spacing w:val="-14"/>
          <w:w w:val="105"/>
          <w:sz w:val="17"/>
        </w:rPr>
        <w:t> </w:t>
      </w:r>
      <w:r>
        <w:rPr>
          <w:w w:val="105"/>
          <w:sz w:val="17"/>
        </w:rPr>
        <w:t>on</w:t>
      </w:r>
      <w:r>
        <w:rPr>
          <w:spacing w:val="-14"/>
          <w:w w:val="105"/>
          <w:sz w:val="17"/>
        </w:rPr>
        <w:t> </w:t>
      </w:r>
      <w:r>
        <w:rPr>
          <w:w w:val="105"/>
          <w:sz w:val="17"/>
        </w:rPr>
        <w:t>Tomato</w:t>
      </w:r>
      <w:r>
        <w:rPr>
          <w:spacing w:val="-14"/>
          <w:w w:val="105"/>
          <w:sz w:val="17"/>
        </w:rPr>
        <w:t> </w:t>
      </w:r>
      <w:r>
        <w:rPr>
          <w:w w:val="105"/>
          <w:sz w:val="17"/>
        </w:rPr>
        <w:t>(</w:t>
      </w:r>
      <w:r>
        <w:rPr>
          <w:i/>
          <w:w w:val="105"/>
          <w:sz w:val="17"/>
        </w:rPr>
        <w:t>Solanum</w:t>
      </w:r>
      <w:r>
        <w:rPr>
          <w:i/>
          <w:spacing w:val="-14"/>
          <w:w w:val="105"/>
          <w:sz w:val="17"/>
        </w:rPr>
        <w:t> </w:t>
      </w:r>
      <w:r>
        <w:rPr>
          <w:i/>
          <w:w w:val="105"/>
          <w:sz w:val="17"/>
        </w:rPr>
        <w:t>lycopersicum</w:t>
      </w:r>
      <w:r>
        <w:rPr>
          <w:w w:val="105"/>
          <w:sz w:val="17"/>
        </w:rPr>
        <w:t>)</w:t>
      </w:r>
      <w:r>
        <w:rPr>
          <w:spacing w:val="-14"/>
          <w:w w:val="105"/>
          <w:sz w:val="17"/>
        </w:rPr>
        <w:t> </w:t>
      </w:r>
      <w:r>
        <w:rPr>
          <w:w w:val="105"/>
          <w:sz w:val="17"/>
        </w:rPr>
        <w:t>in</w:t>
      </w:r>
      <w:r>
        <w:rPr>
          <w:spacing w:val="-14"/>
          <w:w w:val="105"/>
          <w:sz w:val="17"/>
        </w:rPr>
        <w:t> </w:t>
      </w:r>
      <w:r>
        <w:rPr>
          <w:w w:val="105"/>
          <w:sz w:val="17"/>
        </w:rPr>
        <w:t>Southern</w:t>
      </w:r>
      <w:r>
        <w:rPr>
          <w:spacing w:val="-14"/>
          <w:w w:val="105"/>
          <w:sz w:val="17"/>
        </w:rPr>
        <w:t> </w:t>
      </w:r>
      <w:r>
        <w:rPr>
          <w:w w:val="105"/>
          <w:sz w:val="17"/>
        </w:rPr>
        <w:t>Spain.</w:t>
      </w:r>
      <w:r>
        <w:rPr>
          <w:spacing w:val="-14"/>
          <w:w w:val="105"/>
          <w:sz w:val="17"/>
        </w:rPr>
        <w:t> </w:t>
      </w:r>
      <w:r>
        <w:rPr>
          <w:w w:val="105"/>
          <w:sz w:val="17"/>
        </w:rPr>
        <w:t>Plant</w:t>
      </w:r>
      <w:r>
        <w:rPr>
          <w:spacing w:val="-14"/>
          <w:w w:val="105"/>
          <w:sz w:val="17"/>
        </w:rPr>
        <w:t> </w:t>
      </w:r>
      <w:r>
        <w:rPr>
          <w:w w:val="105"/>
          <w:sz w:val="17"/>
        </w:rPr>
        <w:t>Disease</w:t>
      </w:r>
      <w:r>
        <w:rPr>
          <w:spacing w:val="-14"/>
          <w:w w:val="105"/>
          <w:sz w:val="17"/>
        </w:rPr>
        <w:t> </w:t>
      </w:r>
      <w:r>
        <w:rPr>
          <w:w w:val="105"/>
          <w:sz w:val="17"/>
        </w:rPr>
        <w:t>91:109.</w:t>
      </w:r>
    </w:p>
    <w:p>
      <w:pPr>
        <w:pStyle w:val="BodyText"/>
        <w:spacing w:before="10"/>
        <w:rPr>
          <w:rFonts w:ascii="Times New Roman"/>
          <w:sz w:val="23"/>
        </w:rPr>
      </w:pPr>
    </w:p>
    <w:p>
      <w:pPr>
        <w:pStyle w:val="ListParagraph"/>
        <w:numPr>
          <w:ilvl w:val="0"/>
          <w:numId w:val="27"/>
        </w:numPr>
        <w:tabs>
          <w:tab w:pos="1193" w:val="left" w:leader="none"/>
        </w:tabs>
        <w:spacing w:line="240" w:lineRule="auto" w:before="0" w:after="0"/>
        <w:ind w:left="1192" w:right="0" w:hanging="293"/>
        <w:jc w:val="left"/>
        <w:rPr>
          <w:rFonts w:ascii="Cambria"/>
          <w:sz w:val="17"/>
        </w:rPr>
      </w:pPr>
    </w:p>
    <w:p>
      <w:pPr>
        <w:pStyle w:val="BodyText"/>
        <w:spacing w:before="1"/>
        <w:rPr>
          <w:rFonts w:ascii="Cambria"/>
          <w:sz w:val="15"/>
        </w:rPr>
      </w:pPr>
    </w:p>
    <w:p>
      <w:pPr>
        <w:pStyle w:val="ListParagraph"/>
        <w:numPr>
          <w:ilvl w:val="0"/>
          <w:numId w:val="27"/>
        </w:numPr>
        <w:tabs>
          <w:tab w:pos="1193" w:val="left" w:leader="none"/>
        </w:tabs>
        <w:spacing w:line="240" w:lineRule="auto" w:before="0" w:after="0"/>
        <w:ind w:left="1192" w:right="0" w:hanging="293"/>
        <w:jc w:val="left"/>
        <w:rPr>
          <w:rFonts w:ascii="Cambria"/>
          <w:sz w:val="17"/>
        </w:rPr>
      </w:pPr>
    </w:p>
    <w:p>
      <w:pPr>
        <w:pStyle w:val="BodyText"/>
        <w:spacing w:before="5"/>
        <w:rPr>
          <w:rFonts w:ascii="Cambria"/>
          <w:sz w:val="23"/>
        </w:rPr>
      </w:pPr>
    </w:p>
    <w:p>
      <w:pPr>
        <w:pStyle w:val="ListParagraph"/>
        <w:numPr>
          <w:ilvl w:val="0"/>
          <w:numId w:val="27"/>
        </w:numPr>
        <w:tabs>
          <w:tab w:pos="1193" w:val="left" w:leader="none"/>
        </w:tabs>
        <w:spacing w:line="240" w:lineRule="auto" w:before="0" w:after="0"/>
        <w:ind w:left="1192" w:right="0" w:hanging="293"/>
        <w:jc w:val="left"/>
        <w:rPr>
          <w:rFonts w:ascii="Cambria"/>
          <w:sz w:val="17"/>
        </w:rPr>
      </w:pPr>
    </w:p>
    <w:p>
      <w:pPr>
        <w:pStyle w:val="BodyText"/>
        <w:spacing w:before="5"/>
        <w:rPr>
          <w:rFonts w:ascii="Cambria"/>
          <w:sz w:val="23"/>
        </w:rPr>
      </w:pPr>
    </w:p>
    <w:p>
      <w:pPr>
        <w:pStyle w:val="ListParagraph"/>
        <w:numPr>
          <w:ilvl w:val="0"/>
          <w:numId w:val="27"/>
        </w:numPr>
        <w:tabs>
          <w:tab w:pos="1193" w:val="left" w:leader="none"/>
        </w:tabs>
        <w:spacing w:line="240" w:lineRule="auto" w:before="0" w:after="0"/>
        <w:ind w:left="1192" w:right="0" w:hanging="293"/>
        <w:jc w:val="left"/>
        <w:rPr>
          <w:rFonts w:ascii="Cambria"/>
          <w:sz w:val="17"/>
        </w:rPr>
      </w:pPr>
    </w:p>
    <w:p>
      <w:pPr>
        <w:pStyle w:val="BodyText"/>
        <w:spacing w:before="8"/>
        <w:rPr>
          <w:rFonts w:ascii="Cambria"/>
          <w:sz w:val="23"/>
        </w:rPr>
      </w:pPr>
    </w:p>
    <w:p>
      <w:pPr>
        <w:pStyle w:val="ListParagraph"/>
        <w:numPr>
          <w:ilvl w:val="0"/>
          <w:numId w:val="27"/>
        </w:numPr>
        <w:tabs>
          <w:tab w:pos="1193" w:val="left" w:leader="none"/>
        </w:tabs>
        <w:spacing w:line="240" w:lineRule="auto" w:before="1" w:after="0"/>
        <w:ind w:left="1192" w:right="0" w:hanging="293"/>
        <w:jc w:val="left"/>
        <w:rPr>
          <w:rFonts w:ascii="Cambria"/>
          <w:sz w:val="17"/>
        </w:rPr>
      </w:pPr>
    </w:p>
    <w:p>
      <w:pPr>
        <w:pStyle w:val="BodyText"/>
        <w:spacing w:before="5"/>
        <w:rPr>
          <w:rFonts w:ascii="Cambria"/>
          <w:sz w:val="23"/>
        </w:rPr>
      </w:pPr>
    </w:p>
    <w:p>
      <w:pPr>
        <w:pStyle w:val="ListParagraph"/>
        <w:numPr>
          <w:ilvl w:val="0"/>
          <w:numId w:val="27"/>
        </w:numPr>
        <w:tabs>
          <w:tab w:pos="1193" w:val="left" w:leader="none"/>
        </w:tabs>
        <w:spacing w:line="240" w:lineRule="auto" w:before="0" w:after="0"/>
        <w:ind w:left="1192" w:right="0" w:hanging="293"/>
        <w:jc w:val="left"/>
        <w:rPr>
          <w:rFonts w:ascii="Cambria"/>
          <w:sz w:val="17"/>
        </w:rPr>
      </w:pPr>
    </w:p>
    <w:p>
      <w:pPr>
        <w:pStyle w:val="BodyText"/>
        <w:spacing w:before="5"/>
        <w:rPr>
          <w:rFonts w:ascii="Cambria"/>
          <w:sz w:val="23"/>
        </w:rPr>
      </w:pPr>
    </w:p>
    <w:p>
      <w:pPr>
        <w:pStyle w:val="ListParagraph"/>
        <w:numPr>
          <w:ilvl w:val="0"/>
          <w:numId w:val="27"/>
        </w:numPr>
        <w:tabs>
          <w:tab w:pos="1193" w:val="left" w:leader="none"/>
        </w:tabs>
        <w:spacing w:line="240" w:lineRule="auto" w:before="0" w:after="0"/>
        <w:ind w:left="1192" w:right="0" w:hanging="293"/>
        <w:jc w:val="left"/>
        <w:rPr>
          <w:rFonts w:ascii="Cambria"/>
          <w:sz w:val="17"/>
        </w:rPr>
      </w:pPr>
    </w:p>
    <w:p>
      <w:pPr>
        <w:pStyle w:val="BodyText"/>
        <w:spacing w:before="5"/>
        <w:rPr>
          <w:rFonts w:ascii="Cambria"/>
          <w:sz w:val="23"/>
        </w:rPr>
      </w:pPr>
    </w:p>
    <w:p>
      <w:pPr>
        <w:pStyle w:val="ListParagraph"/>
        <w:numPr>
          <w:ilvl w:val="0"/>
          <w:numId w:val="27"/>
        </w:numPr>
        <w:tabs>
          <w:tab w:pos="1193" w:val="left" w:leader="none"/>
        </w:tabs>
        <w:spacing w:line="240" w:lineRule="auto" w:before="0" w:after="0"/>
        <w:ind w:left="1192" w:right="0" w:hanging="293"/>
        <w:jc w:val="left"/>
        <w:rPr>
          <w:rFonts w:ascii="Cambria"/>
          <w:sz w:val="17"/>
        </w:rPr>
      </w:pPr>
    </w:p>
    <w:p>
      <w:pPr>
        <w:pStyle w:val="BodyText"/>
        <w:spacing w:before="8"/>
        <w:rPr>
          <w:rFonts w:ascii="Cambria"/>
          <w:sz w:val="23"/>
        </w:rPr>
      </w:pPr>
    </w:p>
    <w:p>
      <w:pPr>
        <w:pStyle w:val="ListParagraph"/>
        <w:numPr>
          <w:ilvl w:val="0"/>
          <w:numId w:val="27"/>
        </w:numPr>
        <w:tabs>
          <w:tab w:pos="1193" w:val="left" w:leader="none"/>
        </w:tabs>
        <w:spacing w:line="240" w:lineRule="auto" w:before="1" w:after="0"/>
        <w:ind w:left="1192" w:right="0" w:hanging="293"/>
        <w:jc w:val="left"/>
        <w:rPr>
          <w:rFonts w:ascii="Cambria"/>
          <w:sz w:val="17"/>
        </w:rPr>
      </w:pPr>
    </w:p>
    <w:p>
      <w:pPr>
        <w:pStyle w:val="BodyText"/>
        <w:spacing w:before="5"/>
        <w:rPr>
          <w:rFonts w:ascii="Cambria"/>
          <w:sz w:val="23"/>
        </w:rPr>
      </w:pPr>
    </w:p>
    <w:p>
      <w:pPr>
        <w:pStyle w:val="ListParagraph"/>
        <w:numPr>
          <w:ilvl w:val="0"/>
          <w:numId w:val="27"/>
        </w:numPr>
        <w:tabs>
          <w:tab w:pos="1193" w:val="left" w:leader="none"/>
        </w:tabs>
        <w:spacing w:line="240" w:lineRule="auto" w:before="0" w:after="0"/>
        <w:ind w:left="1192" w:right="0" w:hanging="293"/>
        <w:jc w:val="left"/>
        <w:rPr>
          <w:rFonts w:ascii="Cambria"/>
          <w:sz w:val="17"/>
        </w:rPr>
      </w:pPr>
    </w:p>
    <w:p>
      <w:pPr>
        <w:pStyle w:val="BodyText"/>
        <w:spacing w:before="5"/>
        <w:rPr>
          <w:rFonts w:ascii="Cambria"/>
          <w:sz w:val="23"/>
        </w:rPr>
      </w:pPr>
    </w:p>
    <w:p>
      <w:pPr>
        <w:pStyle w:val="ListParagraph"/>
        <w:numPr>
          <w:ilvl w:val="0"/>
          <w:numId w:val="27"/>
        </w:numPr>
        <w:tabs>
          <w:tab w:pos="1193" w:val="left" w:leader="none"/>
        </w:tabs>
        <w:spacing w:line="240" w:lineRule="auto" w:before="0" w:after="0"/>
        <w:ind w:left="1192" w:right="0" w:hanging="293"/>
        <w:jc w:val="left"/>
        <w:rPr>
          <w:rFonts w:ascii="Cambria"/>
          <w:sz w:val="17"/>
        </w:rPr>
      </w:pPr>
    </w:p>
    <w:p>
      <w:pPr>
        <w:pStyle w:val="BodyText"/>
        <w:spacing w:before="5"/>
        <w:rPr>
          <w:rFonts w:ascii="Cambria"/>
          <w:sz w:val="23"/>
        </w:rPr>
      </w:pPr>
    </w:p>
    <w:p>
      <w:pPr>
        <w:pStyle w:val="ListParagraph"/>
        <w:numPr>
          <w:ilvl w:val="0"/>
          <w:numId w:val="27"/>
        </w:numPr>
        <w:tabs>
          <w:tab w:pos="1193" w:val="left" w:leader="none"/>
        </w:tabs>
        <w:spacing w:line="240" w:lineRule="auto" w:before="0" w:after="0"/>
        <w:ind w:left="1192" w:right="0" w:hanging="293"/>
        <w:jc w:val="left"/>
        <w:rPr>
          <w:rFonts w:ascii="Cambria"/>
          <w:sz w:val="17"/>
        </w:rPr>
      </w:pPr>
    </w:p>
    <w:p>
      <w:pPr>
        <w:pStyle w:val="BodyText"/>
        <w:spacing w:before="8"/>
        <w:rPr>
          <w:rFonts w:ascii="Cambria"/>
          <w:sz w:val="23"/>
        </w:rPr>
      </w:pPr>
    </w:p>
    <w:p>
      <w:pPr>
        <w:pStyle w:val="ListParagraph"/>
        <w:numPr>
          <w:ilvl w:val="0"/>
          <w:numId w:val="27"/>
        </w:numPr>
        <w:tabs>
          <w:tab w:pos="1193" w:val="left" w:leader="none"/>
        </w:tabs>
        <w:spacing w:line="240" w:lineRule="auto" w:before="1" w:after="0"/>
        <w:ind w:left="1192" w:right="0" w:hanging="293"/>
        <w:jc w:val="left"/>
        <w:rPr>
          <w:rFonts w:ascii="Cambria"/>
          <w:sz w:val="17"/>
        </w:rPr>
      </w:pPr>
    </w:p>
    <w:p>
      <w:pPr>
        <w:spacing w:after="0" w:line="240" w:lineRule="auto"/>
        <w:jc w:val="left"/>
        <w:rPr>
          <w:rFonts w:ascii="Cambria"/>
          <w:sz w:val="17"/>
        </w:rPr>
        <w:sectPr>
          <w:pgSz w:w="12240" w:h="15840"/>
          <w:pgMar w:header="719" w:footer="740" w:top="1260" w:bottom="920" w:left="1460" w:right="1440"/>
        </w:sect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spacing w:before="9"/>
        <w:rPr>
          <w:rFonts w:ascii="Cambria"/>
          <w:sz w:val="23"/>
        </w:rPr>
      </w:pPr>
    </w:p>
    <w:p>
      <w:pPr>
        <w:pStyle w:val="ListParagraph"/>
        <w:numPr>
          <w:ilvl w:val="0"/>
          <w:numId w:val="27"/>
        </w:numPr>
        <w:tabs>
          <w:tab w:pos="1452" w:val="left" w:leader="none"/>
          <w:tab w:pos="1453" w:val="left" w:leader="none"/>
        </w:tabs>
        <w:spacing w:line="240" w:lineRule="auto" w:before="80" w:after="0"/>
        <w:ind w:left="1452" w:right="0" w:hanging="552"/>
        <w:jc w:val="left"/>
        <w:rPr>
          <w:b/>
          <w:sz w:val="17"/>
        </w:rPr>
      </w:pPr>
      <w:r>
        <w:rPr>
          <w:b/>
          <w:w w:val="105"/>
          <w:sz w:val="17"/>
        </w:rPr>
        <w:t>TABLAS</w:t>
      </w:r>
    </w:p>
    <w:p>
      <w:pPr>
        <w:pStyle w:val="BodyText"/>
        <w:spacing w:before="6"/>
        <w:rPr>
          <w:rFonts w:ascii="Times New Roman"/>
          <w:b/>
          <w:sz w:val="17"/>
        </w:rPr>
      </w:pPr>
    </w:p>
    <w:p>
      <w:pPr>
        <w:pStyle w:val="ListParagraph"/>
        <w:numPr>
          <w:ilvl w:val="0"/>
          <w:numId w:val="27"/>
        </w:numPr>
        <w:tabs>
          <w:tab w:pos="1194" w:val="left" w:leader="none"/>
        </w:tabs>
        <w:spacing w:line="240" w:lineRule="auto" w:before="1" w:after="0"/>
        <w:ind w:left="1193" w:right="0" w:hanging="293"/>
        <w:jc w:val="left"/>
        <w:rPr>
          <w:rFonts w:ascii="Cambria"/>
          <w:sz w:val="17"/>
        </w:rPr>
      </w:pPr>
    </w:p>
    <w:p>
      <w:pPr>
        <w:pStyle w:val="BodyText"/>
        <w:spacing w:before="2"/>
        <w:rPr>
          <w:rFonts w:ascii="Cambria"/>
          <w:sz w:val="9"/>
        </w:rPr>
      </w:pPr>
    </w:p>
    <w:p>
      <w:pPr>
        <w:pStyle w:val="ListParagraph"/>
        <w:numPr>
          <w:ilvl w:val="0"/>
          <w:numId w:val="27"/>
        </w:numPr>
        <w:tabs>
          <w:tab w:pos="1452" w:val="left" w:leader="none"/>
          <w:tab w:pos="1453" w:val="left" w:leader="none"/>
        </w:tabs>
        <w:spacing w:line="192" w:lineRule="exact" w:before="81" w:after="0"/>
        <w:ind w:left="1452" w:right="0" w:hanging="552"/>
        <w:jc w:val="left"/>
        <w:rPr>
          <w:sz w:val="15"/>
        </w:rPr>
      </w:pPr>
      <w:r>
        <w:rPr>
          <w:color w:val="141413"/>
          <w:w w:val="105"/>
          <w:sz w:val="15"/>
        </w:rPr>
        <w:t>Tabla I. Código y tipo de apareamiento de los</w:t>
      </w:r>
      <w:r>
        <w:rPr>
          <w:color w:val="141413"/>
          <w:spacing w:val="33"/>
          <w:w w:val="105"/>
          <w:sz w:val="15"/>
        </w:rPr>
        <w:t> </w:t>
      </w:r>
      <w:r>
        <w:rPr>
          <w:color w:val="141413"/>
          <w:w w:val="105"/>
          <w:sz w:val="15"/>
        </w:rPr>
        <w:t>aislamientos</w:t>
      </w:r>
    </w:p>
    <w:p>
      <w:pPr>
        <w:pStyle w:val="ListParagraph"/>
        <w:numPr>
          <w:ilvl w:val="0"/>
          <w:numId w:val="27"/>
        </w:numPr>
        <w:tabs>
          <w:tab w:pos="1452" w:val="left" w:leader="none"/>
          <w:tab w:pos="1453" w:val="left" w:leader="none"/>
        </w:tabs>
        <w:spacing w:line="192" w:lineRule="exact" w:before="0" w:after="0"/>
        <w:ind w:left="1452" w:right="0" w:hanging="552"/>
        <w:jc w:val="left"/>
        <w:rPr>
          <w:sz w:val="15"/>
        </w:rPr>
      </w:pPr>
      <w:r>
        <w:rPr>
          <w:color w:val="141413"/>
          <w:w w:val="105"/>
          <w:sz w:val="15"/>
        </w:rPr>
        <w:t>de </w:t>
      </w:r>
      <w:r>
        <w:rPr>
          <w:i/>
          <w:color w:val="141413"/>
          <w:w w:val="105"/>
          <w:sz w:val="15"/>
        </w:rPr>
        <w:t>Phytophthora infestans </w:t>
      </w:r>
      <w:r>
        <w:rPr>
          <w:color w:val="141413"/>
          <w:w w:val="105"/>
          <w:sz w:val="15"/>
        </w:rPr>
        <w:t>utilizados en el</w:t>
      </w:r>
      <w:r>
        <w:rPr>
          <w:color w:val="141413"/>
          <w:spacing w:val="27"/>
          <w:w w:val="105"/>
          <w:sz w:val="15"/>
        </w:rPr>
        <w:t> </w:t>
      </w:r>
      <w:r>
        <w:rPr>
          <w:color w:val="141413"/>
          <w:w w:val="105"/>
          <w:sz w:val="15"/>
        </w:rPr>
        <w:t>estudio.</w:t>
      </w:r>
    </w:p>
    <w:p>
      <w:pPr>
        <w:tabs>
          <w:tab w:pos="3764" w:val="left" w:leader="none"/>
        </w:tabs>
        <w:spacing w:line="185" w:lineRule="exact" w:before="0" w:after="4"/>
        <w:ind w:left="900" w:right="0" w:firstLine="0"/>
        <w:jc w:val="left"/>
        <w:rPr>
          <w:rFonts w:ascii="Times New Roman"/>
          <w:sz w:val="17"/>
        </w:rPr>
      </w:pPr>
      <w:r>
        <w:rPr>
          <w:rFonts w:ascii="Cambria"/>
          <w:w w:val="105"/>
          <w:sz w:val="17"/>
        </w:rPr>
        <w:t>316</w:t>
      </w:r>
      <w:r>
        <w:rPr>
          <w:rFonts w:ascii="Cambria"/>
          <w:sz w:val="17"/>
        </w:rPr>
        <w:t>    </w:t>
      </w:r>
      <w:r>
        <w:rPr>
          <w:rFonts w:ascii="Cambria"/>
          <w:spacing w:val="-8"/>
          <w:sz w:val="17"/>
        </w:rPr>
        <w:t> </w:t>
      </w:r>
      <w:r>
        <w:rPr>
          <w:rFonts w:ascii="Times New Roman"/>
          <w:w w:val="102"/>
          <w:sz w:val="17"/>
          <w:u w:val="single"/>
        </w:rPr>
        <w:t> </w:t>
      </w:r>
      <w:r>
        <w:rPr>
          <w:rFonts w:ascii="Times New Roman"/>
          <w:sz w:val="17"/>
          <w:u w:val="single"/>
        </w:rPr>
        <w:tab/>
      </w:r>
    </w:p>
    <w:tbl>
      <w:tblPr>
        <w:tblW w:w="0" w:type="auto"/>
        <w:jc w:val="left"/>
        <w:tblInd w:w="86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59"/>
        <w:gridCol w:w="1051"/>
        <w:gridCol w:w="1388"/>
      </w:tblGrid>
      <w:tr>
        <w:trPr>
          <w:trHeight w:val="538" w:hRule="exact"/>
        </w:trPr>
        <w:tc>
          <w:tcPr>
            <w:tcW w:w="459" w:type="dxa"/>
            <w:vMerge w:val="restart"/>
          </w:tcPr>
          <w:p>
            <w:pPr/>
          </w:p>
        </w:tc>
        <w:tc>
          <w:tcPr>
            <w:tcW w:w="1051" w:type="dxa"/>
            <w:tcBorders>
              <w:left w:val="single" w:sz="4" w:space="0" w:color="000000"/>
            </w:tcBorders>
          </w:tcPr>
          <w:p>
            <w:pPr/>
          </w:p>
        </w:tc>
        <w:tc>
          <w:tcPr>
            <w:tcW w:w="1388" w:type="dxa"/>
          </w:tcPr>
          <w:p>
            <w:pPr>
              <w:pStyle w:val="TableParagraph"/>
              <w:rPr>
                <w:sz w:val="12"/>
              </w:rPr>
            </w:pPr>
          </w:p>
          <w:p>
            <w:pPr>
              <w:pStyle w:val="TableParagraph"/>
              <w:spacing w:before="10"/>
              <w:rPr>
                <w:sz w:val="11"/>
              </w:rPr>
            </w:pPr>
          </w:p>
          <w:p>
            <w:pPr>
              <w:pStyle w:val="TableParagraph"/>
              <w:ind w:left="176"/>
              <w:rPr>
                <w:b/>
                <w:sz w:val="11"/>
              </w:rPr>
            </w:pPr>
            <w:r>
              <w:rPr>
                <w:b/>
                <w:color w:val="141413"/>
                <w:w w:val="105"/>
                <w:sz w:val="11"/>
              </w:rPr>
              <w:t>Tipo de apareamiento</w:t>
            </w:r>
          </w:p>
        </w:tc>
      </w:tr>
      <w:tr>
        <w:trPr>
          <w:trHeight w:val="269" w:hRule="exact"/>
        </w:trPr>
        <w:tc>
          <w:tcPr>
            <w:tcW w:w="459" w:type="dxa"/>
            <w:vMerge/>
          </w:tcPr>
          <w:p>
            <w:pPr/>
          </w:p>
        </w:tc>
        <w:tc>
          <w:tcPr>
            <w:tcW w:w="1051" w:type="dxa"/>
            <w:tcBorders>
              <w:bottom w:val="single" w:sz="3" w:space="0" w:color="000000"/>
            </w:tcBorders>
          </w:tcPr>
          <w:p>
            <w:pPr>
              <w:pStyle w:val="TableParagraph"/>
              <w:spacing w:before="5"/>
              <w:ind w:left="279"/>
              <w:rPr>
                <w:b/>
                <w:sz w:val="11"/>
              </w:rPr>
            </w:pPr>
            <w:r>
              <w:rPr>
                <w:b/>
                <w:color w:val="141413"/>
                <w:w w:val="105"/>
                <w:sz w:val="11"/>
              </w:rPr>
              <w:t>Aislamiento</w:t>
            </w:r>
          </w:p>
        </w:tc>
        <w:tc>
          <w:tcPr>
            <w:tcW w:w="1388" w:type="dxa"/>
            <w:tcBorders>
              <w:bottom w:val="single" w:sz="3" w:space="0" w:color="000000"/>
            </w:tcBorders>
          </w:tcPr>
          <w:p>
            <w:pPr/>
          </w:p>
        </w:tc>
      </w:tr>
      <w:tr>
        <w:trPr>
          <w:trHeight w:val="4136" w:hRule="exact"/>
        </w:trPr>
        <w:tc>
          <w:tcPr>
            <w:tcW w:w="459" w:type="dxa"/>
            <w:vMerge/>
          </w:tcPr>
          <w:p>
            <w:pPr/>
          </w:p>
        </w:tc>
        <w:tc>
          <w:tcPr>
            <w:tcW w:w="1051" w:type="dxa"/>
            <w:tcBorders>
              <w:top w:val="single" w:sz="3" w:space="0" w:color="000000"/>
              <w:bottom w:val="single" w:sz="3" w:space="0" w:color="000000"/>
            </w:tcBorders>
          </w:tcPr>
          <w:p>
            <w:pPr>
              <w:pStyle w:val="TableParagraph"/>
              <w:spacing w:line="391" w:lineRule="auto" w:before="5"/>
              <w:ind w:left="431" w:right="326"/>
              <w:jc w:val="center"/>
              <w:rPr>
                <w:sz w:val="11"/>
              </w:rPr>
            </w:pPr>
            <w:r>
              <w:rPr>
                <w:w w:val="105"/>
                <w:sz w:val="11"/>
              </w:rPr>
              <w:t>RT1 LPT3 </w:t>
            </w:r>
            <w:r>
              <w:rPr>
                <w:color w:val="141413"/>
                <w:w w:val="105"/>
                <w:sz w:val="11"/>
              </w:rPr>
              <w:t>RR1 </w:t>
            </w:r>
            <w:r>
              <w:rPr>
                <w:w w:val="105"/>
                <w:sz w:val="11"/>
              </w:rPr>
              <w:t>LPT2 LP5 LP2 LPT6 BV2 LP4 LP3 RR2 LPT4 LP1 BV1 BVT2 LPT1 LPT5 BVT3 BVT1 RT2</w:t>
            </w:r>
          </w:p>
        </w:tc>
        <w:tc>
          <w:tcPr>
            <w:tcW w:w="1388" w:type="dxa"/>
            <w:tcBorders>
              <w:top w:val="single" w:sz="3" w:space="0" w:color="000000"/>
              <w:bottom w:val="single" w:sz="3" w:space="0" w:color="000000"/>
            </w:tcBorders>
          </w:tcPr>
          <w:p>
            <w:pPr>
              <w:pStyle w:val="TableParagraph"/>
              <w:spacing w:line="388" w:lineRule="auto" w:before="5"/>
              <w:ind w:left="448" w:right="388"/>
              <w:jc w:val="center"/>
              <w:rPr>
                <w:sz w:val="11"/>
              </w:rPr>
            </w:pPr>
            <w:r>
              <w:rPr>
                <w:w w:val="105"/>
                <w:sz w:val="11"/>
              </w:rPr>
              <w:t>Homotálico Homotálico Homotálico Homotálico Homotálico Homotálico A1</w:t>
            </w:r>
          </w:p>
          <w:p>
            <w:pPr>
              <w:pStyle w:val="TableParagraph"/>
              <w:spacing w:line="391" w:lineRule="auto" w:before="7"/>
              <w:ind w:left="651" w:right="591"/>
              <w:jc w:val="both"/>
              <w:rPr>
                <w:sz w:val="11"/>
              </w:rPr>
            </w:pPr>
            <w:r>
              <w:rPr>
                <w:w w:val="105"/>
                <w:sz w:val="11"/>
              </w:rPr>
              <w:t>A1 A1 A1 A1 A1 A1 A1 A1 A2 A2 A2 A2 A2</w:t>
            </w:r>
          </w:p>
        </w:tc>
      </w:tr>
      <w:tr>
        <w:trPr>
          <w:trHeight w:val="311" w:hRule="exact"/>
        </w:trPr>
        <w:tc>
          <w:tcPr>
            <w:tcW w:w="459" w:type="dxa"/>
          </w:tcPr>
          <w:p>
            <w:pPr>
              <w:pStyle w:val="TableParagraph"/>
              <w:spacing w:before="2"/>
              <w:ind w:left="35"/>
              <w:rPr>
                <w:rFonts w:ascii="Cambria"/>
                <w:sz w:val="17"/>
              </w:rPr>
            </w:pPr>
            <w:r>
              <w:rPr>
                <w:rFonts w:ascii="Cambria"/>
                <w:w w:val="105"/>
                <w:sz w:val="17"/>
              </w:rPr>
              <w:t>317</w:t>
            </w:r>
          </w:p>
        </w:tc>
        <w:tc>
          <w:tcPr>
            <w:tcW w:w="2439" w:type="dxa"/>
            <w:gridSpan w:val="2"/>
            <w:vMerge w:val="restart"/>
            <w:tcBorders>
              <w:top w:val="single" w:sz="3" w:space="0" w:color="000000"/>
            </w:tcBorders>
          </w:tcPr>
          <w:p>
            <w:pPr/>
          </w:p>
        </w:tc>
      </w:tr>
      <w:tr>
        <w:trPr>
          <w:trHeight w:val="402" w:hRule="exact"/>
        </w:trPr>
        <w:tc>
          <w:tcPr>
            <w:tcW w:w="459" w:type="dxa"/>
          </w:tcPr>
          <w:p>
            <w:pPr>
              <w:pStyle w:val="TableParagraph"/>
              <w:spacing w:before="93"/>
              <w:ind w:left="35"/>
              <w:rPr>
                <w:rFonts w:ascii="Cambria"/>
                <w:sz w:val="17"/>
              </w:rPr>
            </w:pPr>
            <w:r>
              <w:rPr>
                <w:rFonts w:ascii="Cambria"/>
                <w:w w:val="105"/>
                <w:sz w:val="17"/>
              </w:rPr>
              <w:t>318</w:t>
            </w:r>
          </w:p>
        </w:tc>
        <w:tc>
          <w:tcPr>
            <w:tcW w:w="2439" w:type="dxa"/>
            <w:gridSpan w:val="2"/>
            <w:vMerge/>
          </w:tcPr>
          <w:p>
            <w:pPr/>
          </w:p>
        </w:tc>
      </w:tr>
      <w:tr>
        <w:trPr>
          <w:trHeight w:val="402" w:hRule="exact"/>
        </w:trPr>
        <w:tc>
          <w:tcPr>
            <w:tcW w:w="459" w:type="dxa"/>
          </w:tcPr>
          <w:p>
            <w:pPr>
              <w:pStyle w:val="TableParagraph"/>
              <w:spacing w:before="93"/>
              <w:ind w:left="35"/>
              <w:rPr>
                <w:rFonts w:ascii="Cambria"/>
                <w:sz w:val="17"/>
              </w:rPr>
            </w:pPr>
            <w:r>
              <w:rPr>
                <w:rFonts w:ascii="Cambria"/>
                <w:w w:val="105"/>
                <w:sz w:val="17"/>
              </w:rPr>
              <w:t>319</w:t>
            </w:r>
          </w:p>
        </w:tc>
        <w:tc>
          <w:tcPr>
            <w:tcW w:w="2439" w:type="dxa"/>
            <w:gridSpan w:val="2"/>
            <w:vMerge/>
          </w:tcPr>
          <w:p>
            <w:pPr/>
          </w:p>
        </w:tc>
      </w:tr>
      <w:tr>
        <w:trPr>
          <w:trHeight w:val="402" w:hRule="exact"/>
        </w:trPr>
        <w:tc>
          <w:tcPr>
            <w:tcW w:w="459" w:type="dxa"/>
          </w:tcPr>
          <w:p>
            <w:pPr>
              <w:pStyle w:val="TableParagraph"/>
              <w:spacing w:before="93"/>
              <w:ind w:left="35"/>
              <w:rPr>
                <w:rFonts w:ascii="Cambria"/>
                <w:sz w:val="17"/>
              </w:rPr>
            </w:pPr>
            <w:r>
              <w:rPr>
                <w:rFonts w:ascii="Cambria"/>
                <w:w w:val="105"/>
                <w:sz w:val="17"/>
              </w:rPr>
              <w:t>320</w:t>
            </w:r>
          </w:p>
        </w:tc>
        <w:tc>
          <w:tcPr>
            <w:tcW w:w="2439" w:type="dxa"/>
            <w:gridSpan w:val="2"/>
            <w:vMerge/>
          </w:tcPr>
          <w:p>
            <w:pPr/>
          </w:p>
        </w:tc>
      </w:tr>
      <w:tr>
        <w:trPr>
          <w:trHeight w:val="402" w:hRule="exact"/>
        </w:trPr>
        <w:tc>
          <w:tcPr>
            <w:tcW w:w="459" w:type="dxa"/>
          </w:tcPr>
          <w:p>
            <w:pPr>
              <w:pStyle w:val="TableParagraph"/>
              <w:spacing w:before="93"/>
              <w:ind w:left="35"/>
              <w:rPr>
                <w:rFonts w:ascii="Cambria"/>
                <w:sz w:val="17"/>
              </w:rPr>
            </w:pPr>
            <w:r>
              <w:rPr>
                <w:rFonts w:ascii="Cambria"/>
                <w:w w:val="105"/>
                <w:sz w:val="17"/>
              </w:rPr>
              <w:t>321</w:t>
            </w:r>
          </w:p>
        </w:tc>
        <w:tc>
          <w:tcPr>
            <w:tcW w:w="2439" w:type="dxa"/>
            <w:gridSpan w:val="2"/>
            <w:vMerge/>
          </w:tcPr>
          <w:p>
            <w:pPr/>
          </w:p>
        </w:tc>
      </w:tr>
      <w:tr>
        <w:trPr>
          <w:trHeight w:val="402" w:hRule="exact"/>
        </w:trPr>
        <w:tc>
          <w:tcPr>
            <w:tcW w:w="459" w:type="dxa"/>
          </w:tcPr>
          <w:p>
            <w:pPr>
              <w:pStyle w:val="TableParagraph"/>
              <w:spacing w:before="93"/>
              <w:ind w:left="35"/>
              <w:rPr>
                <w:rFonts w:ascii="Cambria"/>
                <w:sz w:val="17"/>
              </w:rPr>
            </w:pPr>
            <w:r>
              <w:rPr>
                <w:rFonts w:ascii="Cambria"/>
                <w:w w:val="105"/>
                <w:sz w:val="17"/>
              </w:rPr>
              <w:t>322</w:t>
            </w:r>
          </w:p>
        </w:tc>
        <w:tc>
          <w:tcPr>
            <w:tcW w:w="2439" w:type="dxa"/>
            <w:gridSpan w:val="2"/>
            <w:vMerge/>
          </w:tcPr>
          <w:p>
            <w:pPr/>
          </w:p>
        </w:tc>
      </w:tr>
      <w:tr>
        <w:trPr>
          <w:trHeight w:val="402" w:hRule="exact"/>
        </w:trPr>
        <w:tc>
          <w:tcPr>
            <w:tcW w:w="459" w:type="dxa"/>
          </w:tcPr>
          <w:p>
            <w:pPr>
              <w:pStyle w:val="TableParagraph"/>
              <w:spacing w:before="93"/>
              <w:ind w:left="35"/>
              <w:rPr>
                <w:rFonts w:ascii="Cambria"/>
                <w:sz w:val="17"/>
              </w:rPr>
            </w:pPr>
            <w:r>
              <w:rPr>
                <w:rFonts w:ascii="Cambria"/>
                <w:w w:val="105"/>
                <w:sz w:val="17"/>
              </w:rPr>
              <w:t>323</w:t>
            </w:r>
          </w:p>
        </w:tc>
        <w:tc>
          <w:tcPr>
            <w:tcW w:w="2439" w:type="dxa"/>
            <w:gridSpan w:val="2"/>
            <w:vMerge/>
          </w:tcPr>
          <w:p>
            <w:pPr/>
          </w:p>
        </w:tc>
      </w:tr>
      <w:tr>
        <w:trPr>
          <w:trHeight w:val="388" w:hRule="exact"/>
        </w:trPr>
        <w:tc>
          <w:tcPr>
            <w:tcW w:w="459" w:type="dxa"/>
          </w:tcPr>
          <w:p>
            <w:pPr>
              <w:pStyle w:val="TableParagraph"/>
              <w:spacing w:before="93"/>
              <w:ind w:left="35"/>
              <w:rPr>
                <w:rFonts w:ascii="Cambria"/>
                <w:sz w:val="17"/>
              </w:rPr>
            </w:pPr>
            <w:r>
              <w:rPr>
                <w:rFonts w:ascii="Cambria"/>
                <w:w w:val="105"/>
                <w:sz w:val="17"/>
              </w:rPr>
              <w:t>324</w:t>
            </w:r>
          </w:p>
        </w:tc>
        <w:tc>
          <w:tcPr>
            <w:tcW w:w="2439" w:type="dxa"/>
            <w:gridSpan w:val="2"/>
            <w:vMerge/>
          </w:tcPr>
          <w:p>
            <w:pPr/>
          </w:p>
        </w:tc>
      </w:tr>
    </w:tbl>
    <w:p>
      <w:pPr>
        <w:spacing w:after="0"/>
        <w:sectPr>
          <w:pgSz w:w="12240" w:h="15840"/>
          <w:pgMar w:header="719" w:footer="740" w:top="1260" w:bottom="920" w:left="1460" w:right="14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9"/>
        <w:rPr>
          <w:rFonts w:ascii="Times New Roman"/>
          <w:sz w:val="21"/>
        </w:rPr>
      </w:pPr>
    </w:p>
    <w:p>
      <w:pPr>
        <w:spacing w:before="80"/>
        <w:ind w:left="903" w:right="0" w:firstLine="0"/>
        <w:jc w:val="left"/>
        <w:rPr>
          <w:rFonts w:ascii="Cambria"/>
          <w:sz w:val="17"/>
        </w:rPr>
      </w:pPr>
      <w:r>
        <w:rPr>
          <w:rFonts w:ascii="Cambria"/>
          <w:w w:val="105"/>
          <w:sz w:val="17"/>
        </w:rPr>
        <w:t>325</w:t>
      </w:r>
    </w:p>
    <w:p>
      <w:pPr>
        <w:pStyle w:val="BodyText"/>
        <w:spacing w:before="4"/>
        <w:rPr>
          <w:rFonts w:ascii="Cambria"/>
          <w:sz w:val="10"/>
        </w:rPr>
      </w:pPr>
    </w:p>
    <w:p>
      <w:pPr>
        <w:spacing w:before="80"/>
        <w:ind w:left="903" w:right="0" w:firstLine="0"/>
        <w:jc w:val="left"/>
        <w:rPr>
          <w:rFonts w:ascii="Cambria"/>
          <w:sz w:val="17"/>
        </w:rPr>
      </w:pPr>
      <w:r>
        <w:rPr>
          <w:rFonts w:ascii="Cambria"/>
          <w:w w:val="105"/>
          <w:sz w:val="17"/>
        </w:rPr>
        <w:t>326</w:t>
      </w:r>
    </w:p>
    <w:p>
      <w:pPr>
        <w:pStyle w:val="ListParagraph"/>
        <w:numPr>
          <w:ilvl w:val="0"/>
          <w:numId w:val="28"/>
        </w:numPr>
        <w:tabs>
          <w:tab w:pos="1454" w:val="left" w:leader="none"/>
          <w:tab w:pos="1455" w:val="left" w:leader="none"/>
        </w:tabs>
        <w:spacing w:line="199" w:lineRule="exact" w:before="3" w:after="0"/>
        <w:ind w:left="1454" w:right="0" w:hanging="551"/>
        <w:jc w:val="left"/>
        <w:rPr>
          <w:sz w:val="17"/>
        </w:rPr>
      </w:pPr>
      <w:r>
        <w:rPr>
          <w:w w:val="105"/>
          <w:sz w:val="17"/>
        </w:rPr>
        <w:t>Tabla II. Tipo de apareamiento de la progenie de los aislamientos homotálicos a partir </w:t>
      </w:r>
      <w:r>
        <w:rPr>
          <w:spacing w:val="16"/>
          <w:w w:val="105"/>
          <w:sz w:val="17"/>
        </w:rPr>
        <w:t> </w:t>
      </w:r>
      <w:r>
        <w:rPr>
          <w:w w:val="105"/>
          <w:sz w:val="17"/>
        </w:rPr>
        <w:t>de</w:t>
      </w:r>
    </w:p>
    <w:p>
      <w:pPr>
        <w:pStyle w:val="ListParagraph"/>
        <w:numPr>
          <w:ilvl w:val="0"/>
          <w:numId w:val="28"/>
        </w:numPr>
        <w:tabs>
          <w:tab w:pos="1454" w:val="left" w:leader="none"/>
          <w:tab w:pos="1455" w:val="left" w:leader="none"/>
        </w:tabs>
        <w:spacing w:line="199" w:lineRule="exact" w:before="0" w:after="8"/>
        <w:ind w:left="1454" w:right="0" w:hanging="551"/>
        <w:jc w:val="left"/>
        <w:rPr>
          <w:sz w:val="17"/>
        </w:rPr>
      </w:pPr>
      <w:r>
        <w:rPr/>
        <w:pict>
          <v:line style="position:absolute;mso-position-horizontal-relative:page;mso-position-vertical-relative:paragraph;z-index:-106192" from="130.488754pt,10.591185pt" to="194.476121pt,77.367963pt" stroked="true" strokeweight=".348704pt" strokecolor="#000000">
            <w10:wrap type="none"/>
          </v:line>
        </w:pict>
      </w:r>
      <w:r>
        <w:rPr/>
        <w:pict>
          <v:shape style="position:absolute;margin-left:130.052902pt;margin-top:10.155346pt;width:385.85pt;height:67.650pt;mso-position-horizontal-relative:page;mso-position-vertical-relative:paragraph;z-index:2920" type="#_x0000_t202" filled="false" stroked="false">
            <v:textbox inset="0,0,0,0">
              <w:txbxContent>
                <w:tbl>
                  <w:tblPr>
                    <w:tblW w:w="0" w:type="auto"/>
                    <w:jc w:val="left"/>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290"/>
                    <w:gridCol w:w="391"/>
                    <w:gridCol w:w="654"/>
                    <w:gridCol w:w="468"/>
                    <w:gridCol w:w="198"/>
                    <w:gridCol w:w="426"/>
                    <w:gridCol w:w="369"/>
                    <w:gridCol w:w="640"/>
                    <w:gridCol w:w="414"/>
                    <w:gridCol w:w="654"/>
                    <w:gridCol w:w="1101"/>
                    <w:gridCol w:w="1102"/>
                  </w:tblGrid>
                  <w:tr>
                    <w:trPr>
                      <w:trHeight w:val="725" w:hRule="exact"/>
                    </w:trPr>
                    <w:tc>
                      <w:tcPr>
                        <w:tcW w:w="1290" w:type="dxa"/>
                        <w:vMerge w:val="restart"/>
                        <w:tcBorders>
                          <w:left w:val="nil"/>
                        </w:tcBorders>
                      </w:tcPr>
                      <w:p>
                        <w:pPr>
                          <w:pStyle w:val="TableParagraph"/>
                          <w:spacing w:before="8"/>
                          <w:rPr>
                            <w:rFonts w:ascii="Cambria"/>
                            <w:sz w:val="11"/>
                          </w:rPr>
                        </w:pPr>
                      </w:p>
                      <w:p>
                        <w:pPr>
                          <w:pStyle w:val="TableParagraph"/>
                          <w:spacing w:before="1"/>
                          <w:ind w:left="197"/>
                          <w:rPr>
                            <w:sz w:val="11"/>
                          </w:rPr>
                        </w:pPr>
                        <w:r>
                          <w:rPr>
                            <w:w w:val="105"/>
                            <w:sz w:val="11"/>
                          </w:rPr>
                          <w:t>Tipo de apareamiento</w:t>
                        </w:r>
                      </w:p>
                      <w:p>
                        <w:pPr>
                          <w:pStyle w:val="TableParagraph"/>
                          <w:spacing w:before="6"/>
                          <w:ind w:left="552"/>
                          <w:rPr>
                            <w:sz w:val="11"/>
                          </w:rPr>
                        </w:pPr>
                        <w:r>
                          <w:rPr>
                            <w:w w:val="105"/>
                            <w:sz w:val="11"/>
                          </w:rPr>
                          <w:t>de la progenie</w:t>
                        </w:r>
                      </w:p>
                      <w:p>
                        <w:pPr>
                          <w:pStyle w:val="TableParagraph"/>
                          <w:rPr>
                            <w:rFonts w:ascii="Cambria"/>
                            <w:sz w:val="12"/>
                          </w:rPr>
                        </w:pPr>
                      </w:p>
                      <w:p>
                        <w:pPr>
                          <w:pStyle w:val="TableParagraph"/>
                          <w:rPr>
                            <w:rFonts w:ascii="Cambria"/>
                            <w:sz w:val="12"/>
                          </w:rPr>
                        </w:pPr>
                      </w:p>
                      <w:p>
                        <w:pPr>
                          <w:pStyle w:val="TableParagraph"/>
                          <w:rPr>
                            <w:rFonts w:ascii="Cambria"/>
                            <w:sz w:val="12"/>
                          </w:rPr>
                        </w:pPr>
                      </w:p>
                      <w:p>
                        <w:pPr>
                          <w:pStyle w:val="TableParagraph"/>
                          <w:spacing w:before="3"/>
                          <w:rPr>
                            <w:rFonts w:ascii="Cambria"/>
                            <w:sz w:val="10"/>
                          </w:rPr>
                        </w:pPr>
                      </w:p>
                      <w:p>
                        <w:pPr>
                          <w:pStyle w:val="TableParagraph"/>
                          <w:spacing w:line="252" w:lineRule="auto"/>
                          <w:ind w:left="283" w:right="316" w:firstLine="58"/>
                          <w:rPr>
                            <w:sz w:val="11"/>
                          </w:rPr>
                        </w:pPr>
                        <w:r>
                          <w:rPr>
                            <w:w w:val="105"/>
                            <w:sz w:val="11"/>
                          </w:rPr>
                          <w:t>Aislamientos Homotálicos</w:t>
                        </w:r>
                      </w:p>
                    </w:tc>
                    <w:tc>
                      <w:tcPr>
                        <w:tcW w:w="391" w:type="dxa"/>
                        <w:tcBorders>
                          <w:right w:val="nil"/>
                        </w:tcBorders>
                      </w:tcPr>
                      <w:p>
                        <w:pPr/>
                      </w:p>
                    </w:tc>
                    <w:tc>
                      <w:tcPr>
                        <w:tcW w:w="654" w:type="dxa"/>
                        <w:tcBorders>
                          <w:left w:val="nil"/>
                          <w:right w:val="nil"/>
                        </w:tcBorders>
                      </w:tcPr>
                      <w:p>
                        <w:pPr>
                          <w:pStyle w:val="TableParagraph"/>
                          <w:rPr>
                            <w:rFonts w:ascii="Cambria"/>
                            <w:sz w:val="14"/>
                          </w:rPr>
                        </w:pPr>
                      </w:p>
                      <w:p>
                        <w:pPr>
                          <w:pStyle w:val="TableParagraph"/>
                          <w:rPr>
                            <w:rFonts w:ascii="Cambria"/>
                            <w:sz w:val="14"/>
                          </w:rPr>
                        </w:pPr>
                      </w:p>
                      <w:p>
                        <w:pPr>
                          <w:pStyle w:val="TableParagraph"/>
                          <w:spacing w:before="11"/>
                          <w:rPr>
                            <w:rFonts w:ascii="Cambria"/>
                            <w:sz w:val="14"/>
                          </w:rPr>
                        </w:pPr>
                      </w:p>
                      <w:p>
                        <w:pPr>
                          <w:pStyle w:val="TableParagraph"/>
                          <w:ind w:left="50"/>
                          <w:rPr>
                            <w:sz w:val="14"/>
                          </w:rPr>
                        </w:pPr>
                        <w:r>
                          <w:rPr>
                            <w:sz w:val="14"/>
                          </w:rPr>
                          <w:t>A1</w:t>
                        </w:r>
                      </w:p>
                    </w:tc>
                    <w:tc>
                      <w:tcPr>
                        <w:tcW w:w="468" w:type="dxa"/>
                        <w:tcBorders>
                          <w:left w:val="nil"/>
                          <w:right w:val="nil"/>
                        </w:tcBorders>
                      </w:tcPr>
                      <w:p>
                        <w:pPr/>
                      </w:p>
                    </w:tc>
                    <w:tc>
                      <w:tcPr>
                        <w:tcW w:w="198" w:type="dxa"/>
                        <w:tcBorders>
                          <w:left w:val="nil"/>
                          <w:right w:val="nil"/>
                        </w:tcBorders>
                      </w:tcPr>
                      <w:p>
                        <w:pPr>
                          <w:pStyle w:val="TableParagraph"/>
                          <w:rPr>
                            <w:rFonts w:ascii="Cambria"/>
                            <w:sz w:val="14"/>
                          </w:rPr>
                        </w:pPr>
                      </w:p>
                      <w:p>
                        <w:pPr>
                          <w:pStyle w:val="TableParagraph"/>
                          <w:rPr>
                            <w:rFonts w:ascii="Cambria"/>
                            <w:sz w:val="14"/>
                          </w:rPr>
                        </w:pPr>
                      </w:p>
                      <w:p>
                        <w:pPr>
                          <w:pStyle w:val="TableParagraph"/>
                          <w:spacing w:before="11"/>
                          <w:rPr>
                            <w:rFonts w:ascii="Cambria"/>
                            <w:sz w:val="14"/>
                          </w:rPr>
                        </w:pPr>
                      </w:p>
                      <w:p>
                        <w:pPr>
                          <w:pStyle w:val="TableParagraph"/>
                          <w:ind w:left="9" w:right="-3"/>
                          <w:rPr>
                            <w:sz w:val="14"/>
                          </w:rPr>
                        </w:pPr>
                        <w:r>
                          <w:rPr>
                            <w:sz w:val="14"/>
                          </w:rPr>
                          <w:t>A2</w:t>
                        </w:r>
                      </w:p>
                    </w:tc>
                    <w:tc>
                      <w:tcPr>
                        <w:tcW w:w="426" w:type="dxa"/>
                        <w:tcBorders>
                          <w:left w:val="nil"/>
                          <w:right w:val="nil"/>
                        </w:tcBorders>
                      </w:tcPr>
                      <w:p>
                        <w:pPr/>
                      </w:p>
                    </w:tc>
                    <w:tc>
                      <w:tcPr>
                        <w:tcW w:w="369" w:type="dxa"/>
                        <w:tcBorders>
                          <w:left w:val="nil"/>
                          <w:right w:val="nil"/>
                        </w:tcBorders>
                      </w:tcPr>
                      <w:p>
                        <w:pPr/>
                      </w:p>
                    </w:tc>
                    <w:tc>
                      <w:tcPr>
                        <w:tcW w:w="640" w:type="dxa"/>
                        <w:tcBorders>
                          <w:left w:val="nil"/>
                          <w:right w:val="nil"/>
                        </w:tcBorders>
                      </w:tcPr>
                      <w:p>
                        <w:pPr>
                          <w:pStyle w:val="TableParagraph"/>
                          <w:rPr>
                            <w:rFonts w:ascii="Cambria"/>
                            <w:sz w:val="14"/>
                          </w:rPr>
                        </w:pPr>
                      </w:p>
                      <w:p>
                        <w:pPr>
                          <w:pStyle w:val="TableParagraph"/>
                          <w:rPr>
                            <w:rFonts w:ascii="Cambria"/>
                            <w:sz w:val="14"/>
                          </w:rPr>
                        </w:pPr>
                      </w:p>
                      <w:p>
                        <w:pPr>
                          <w:pStyle w:val="TableParagraph"/>
                          <w:spacing w:before="11"/>
                          <w:rPr>
                            <w:rFonts w:ascii="Cambria"/>
                            <w:sz w:val="14"/>
                          </w:rPr>
                        </w:pPr>
                      </w:p>
                      <w:p>
                        <w:pPr>
                          <w:pStyle w:val="TableParagraph"/>
                          <w:ind w:left="-1"/>
                          <w:rPr>
                            <w:sz w:val="14"/>
                          </w:rPr>
                        </w:pPr>
                        <w:r>
                          <w:rPr>
                            <w:sz w:val="14"/>
                          </w:rPr>
                          <w:t>A1A2</w:t>
                        </w:r>
                      </w:p>
                    </w:tc>
                    <w:tc>
                      <w:tcPr>
                        <w:tcW w:w="414" w:type="dxa"/>
                        <w:tcBorders>
                          <w:left w:val="nil"/>
                          <w:right w:val="nil"/>
                        </w:tcBorders>
                      </w:tcPr>
                      <w:p>
                        <w:pPr/>
                      </w:p>
                    </w:tc>
                    <w:tc>
                      <w:tcPr>
                        <w:tcW w:w="654" w:type="dxa"/>
                        <w:tcBorders>
                          <w:left w:val="nil"/>
                          <w:right w:val="nil"/>
                        </w:tcBorders>
                      </w:tcPr>
                      <w:p>
                        <w:pPr>
                          <w:pStyle w:val="TableParagraph"/>
                          <w:rPr>
                            <w:rFonts w:ascii="Cambria"/>
                            <w:sz w:val="14"/>
                          </w:rPr>
                        </w:pPr>
                      </w:p>
                      <w:p>
                        <w:pPr>
                          <w:pStyle w:val="TableParagraph"/>
                          <w:rPr>
                            <w:rFonts w:ascii="Cambria"/>
                            <w:sz w:val="14"/>
                          </w:rPr>
                        </w:pPr>
                      </w:p>
                      <w:p>
                        <w:pPr>
                          <w:pStyle w:val="TableParagraph"/>
                          <w:spacing w:before="11"/>
                          <w:rPr>
                            <w:rFonts w:ascii="Cambria"/>
                            <w:sz w:val="14"/>
                          </w:rPr>
                        </w:pPr>
                      </w:p>
                      <w:p>
                        <w:pPr>
                          <w:pStyle w:val="TableParagraph"/>
                          <w:ind w:left="2"/>
                          <w:rPr>
                            <w:sz w:val="14"/>
                          </w:rPr>
                        </w:pPr>
                        <w:r>
                          <w:rPr>
                            <w:sz w:val="14"/>
                          </w:rPr>
                          <w:t>Estéril</w:t>
                        </w:r>
                      </w:p>
                    </w:tc>
                    <w:tc>
                      <w:tcPr>
                        <w:tcW w:w="1101" w:type="dxa"/>
                        <w:tcBorders>
                          <w:left w:val="nil"/>
                          <w:right w:val="nil"/>
                        </w:tcBorders>
                      </w:tcPr>
                      <w:p>
                        <w:pPr>
                          <w:pStyle w:val="TableParagraph"/>
                          <w:rPr>
                            <w:rFonts w:ascii="Cambria"/>
                            <w:sz w:val="14"/>
                          </w:rPr>
                        </w:pPr>
                      </w:p>
                      <w:p>
                        <w:pPr>
                          <w:pStyle w:val="TableParagraph"/>
                          <w:rPr>
                            <w:rFonts w:ascii="Cambria"/>
                            <w:sz w:val="14"/>
                          </w:rPr>
                        </w:pPr>
                      </w:p>
                      <w:p>
                        <w:pPr>
                          <w:pStyle w:val="TableParagraph"/>
                          <w:spacing w:before="11"/>
                          <w:rPr>
                            <w:rFonts w:ascii="Cambria"/>
                            <w:sz w:val="14"/>
                          </w:rPr>
                        </w:pPr>
                      </w:p>
                      <w:p>
                        <w:pPr>
                          <w:pStyle w:val="TableParagraph"/>
                          <w:ind w:left="101"/>
                          <w:jc w:val="center"/>
                          <w:rPr>
                            <w:sz w:val="14"/>
                          </w:rPr>
                        </w:pPr>
                        <w:r>
                          <w:rPr>
                            <w:sz w:val="14"/>
                          </w:rPr>
                          <w:t>Homotálico</w:t>
                        </w:r>
                      </w:p>
                    </w:tc>
                    <w:tc>
                      <w:tcPr>
                        <w:tcW w:w="1102" w:type="dxa"/>
                        <w:tcBorders>
                          <w:left w:val="nil"/>
                          <w:right w:val="nil"/>
                        </w:tcBorders>
                      </w:tcPr>
                      <w:p>
                        <w:pPr>
                          <w:pStyle w:val="TableParagraph"/>
                          <w:rPr>
                            <w:rFonts w:ascii="Cambria"/>
                            <w:sz w:val="14"/>
                          </w:rPr>
                        </w:pPr>
                      </w:p>
                      <w:p>
                        <w:pPr>
                          <w:pStyle w:val="TableParagraph"/>
                          <w:rPr>
                            <w:rFonts w:ascii="Cambria"/>
                            <w:sz w:val="14"/>
                          </w:rPr>
                        </w:pPr>
                      </w:p>
                      <w:p>
                        <w:pPr>
                          <w:pStyle w:val="TableParagraph"/>
                          <w:spacing w:before="11"/>
                          <w:rPr>
                            <w:rFonts w:ascii="Cambria"/>
                            <w:sz w:val="14"/>
                          </w:rPr>
                        </w:pPr>
                      </w:p>
                      <w:p>
                        <w:pPr>
                          <w:pStyle w:val="TableParagraph"/>
                          <w:ind w:right="228"/>
                          <w:jc w:val="right"/>
                          <w:rPr>
                            <w:sz w:val="14"/>
                          </w:rPr>
                        </w:pPr>
                        <w:r>
                          <w:rPr>
                            <w:sz w:val="14"/>
                          </w:rPr>
                          <w:t>TOTAL</w:t>
                        </w:r>
                      </w:p>
                    </w:tc>
                  </w:tr>
                  <w:tr>
                    <w:trPr>
                      <w:trHeight w:val="621" w:hRule="exact"/>
                    </w:trPr>
                    <w:tc>
                      <w:tcPr>
                        <w:tcW w:w="1290" w:type="dxa"/>
                        <w:vMerge/>
                        <w:tcBorders>
                          <w:left w:val="nil"/>
                        </w:tcBorders>
                      </w:tcPr>
                      <w:p>
                        <w:pPr/>
                      </w:p>
                    </w:tc>
                    <w:tc>
                      <w:tcPr>
                        <w:tcW w:w="391" w:type="dxa"/>
                        <w:tcBorders>
                          <w:right w:val="nil"/>
                        </w:tcBorders>
                      </w:tcPr>
                      <w:p>
                        <w:pPr>
                          <w:pStyle w:val="TableParagraph"/>
                          <w:rPr>
                            <w:rFonts w:ascii="Cambria"/>
                            <w:sz w:val="6"/>
                          </w:rPr>
                        </w:pPr>
                      </w:p>
                      <w:p>
                        <w:pPr>
                          <w:pStyle w:val="TableParagraph"/>
                          <w:rPr>
                            <w:rFonts w:ascii="Cambria"/>
                            <w:sz w:val="6"/>
                          </w:rPr>
                        </w:pPr>
                      </w:p>
                      <w:p>
                        <w:pPr>
                          <w:pStyle w:val="TableParagraph"/>
                          <w:rPr>
                            <w:rFonts w:ascii="Cambria"/>
                            <w:sz w:val="6"/>
                          </w:rPr>
                        </w:pPr>
                      </w:p>
                      <w:p>
                        <w:pPr>
                          <w:pStyle w:val="TableParagraph"/>
                          <w:rPr>
                            <w:rFonts w:ascii="Cambria"/>
                            <w:sz w:val="6"/>
                          </w:rPr>
                        </w:pPr>
                      </w:p>
                      <w:p>
                        <w:pPr>
                          <w:pStyle w:val="TableParagraph"/>
                          <w:spacing w:before="51"/>
                          <w:ind w:left="76"/>
                          <w:rPr>
                            <w:sz w:val="7"/>
                          </w:rPr>
                        </w:pPr>
                        <w:r>
                          <w:rPr>
                            <w:sz w:val="7"/>
                          </w:rPr>
                          <w:t>Cantidad</w:t>
                        </w:r>
                      </w:p>
                    </w:tc>
                    <w:tc>
                      <w:tcPr>
                        <w:tcW w:w="654" w:type="dxa"/>
                        <w:tcBorders>
                          <w:left w:val="nil"/>
                          <w:right w:val="nil"/>
                        </w:tcBorders>
                      </w:tcPr>
                      <w:p>
                        <w:pPr>
                          <w:pStyle w:val="TableParagraph"/>
                          <w:rPr>
                            <w:rFonts w:ascii="Cambria"/>
                            <w:sz w:val="6"/>
                          </w:rPr>
                        </w:pPr>
                      </w:p>
                      <w:p>
                        <w:pPr>
                          <w:pStyle w:val="TableParagraph"/>
                          <w:rPr>
                            <w:rFonts w:ascii="Cambria"/>
                            <w:sz w:val="6"/>
                          </w:rPr>
                        </w:pPr>
                      </w:p>
                      <w:p>
                        <w:pPr>
                          <w:pStyle w:val="TableParagraph"/>
                          <w:rPr>
                            <w:rFonts w:ascii="Cambria"/>
                            <w:sz w:val="6"/>
                          </w:rPr>
                        </w:pPr>
                      </w:p>
                      <w:p>
                        <w:pPr>
                          <w:pStyle w:val="TableParagraph"/>
                          <w:rPr>
                            <w:rFonts w:ascii="Cambria"/>
                            <w:sz w:val="6"/>
                          </w:rPr>
                        </w:pPr>
                      </w:p>
                      <w:p>
                        <w:pPr>
                          <w:pStyle w:val="TableParagraph"/>
                          <w:spacing w:before="51"/>
                          <w:ind w:left="151"/>
                          <w:rPr>
                            <w:sz w:val="7"/>
                          </w:rPr>
                        </w:pPr>
                        <w:r>
                          <w:rPr>
                            <w:sz w:val="7"/>
                          </w:rPr>
                          <w:t>Porcentaje</w:t>
                        </w:r>
                      </w:p>
                    </w:tc>
                    <w:tc>
                      <w:tcPr>
                        <w:tcW w:w="468" w:type="dxa"/>
                        <w:tcBorders>
                          <w:left w:val="nil"/>
                          <w:right w:val="nil"/>
                        </w:tcBorders>
                      </w:tcPr>
                      <w:p>
                        <w:pPr>
                          <w:pStyle w:val="TableParagraph"/>
                          <w:rPr>
                            <w:rFonts w:ascii="Cambria"/>
                            <w:sz w:val="6"/>
                          </w:rPr>
                        </w:pPr>
                      </w:p>
                      <w:p>
                        <w:pPr>
                          <w:pStyle w:val="TableParagraph"/>
                          <w:rPr>
                            <w:rFonts w:ascii="Cambria"/>
                            <w:sz w:val="6"/>
                          </w:rPr>
                        </w:pPr>
                      </w:p>
                      <w:p>
                        <w:pPr>
                          <w:pStyle w:val="TableParagraph"/>
                          <w:rPr>
                            <w:rFonts w:ascii="Cambria"/>
                            <w:sz w:val="6"/>
                          </w:rPr>
                        </w:pPr>
                      </w:p>
                      <w:p>
                        <w:pPr>
                          <w:pStyle w:val="TableParagraph"/>
                          <w:rPr>
                            <w:rFonts w:ascii="Cambria"/>
                            <w:sz w:val="6"/>
                          </w:rPr>
                        </w:pPr>
                      </w:p>
                      <w:p>
                        <w:pPr>
                          <w:pStyle w:val="TableParagraph"/>
                          <w:spacing w:before="51"/>
                          <w:ind w:left="197" w:right="-3"/>
                          <w:rPr>
                            <w:sz w:val="7"/>
                          </w:rPr>
                        </w:pPr>
                        <w:r>
                          <w:rPr>
                            <w:sz w:val="7"/>
                          </w:rPr>
                          <w:t>Cantidad</w:t>
                        </w:r>
                      </w:p>
                    </w:tc>
                    <w:tc>
                      <w:tcPr>
                        <w:tcW w:w="198" w:type="dxa"/>
                        <w:tcBorders>
                          <w:left w:val="nil"/>
                          <w:right w:val="nil"/>
                        </w:tcBorders>
                      </w:tcPr>
                      <w:p>
                        <w:pPr/>
                      </w:p>
                    </w:tc>
                    <w:tc>
                      <w:tcPr>
                        <w:tcW w:w="426" w:type="dxa"/>
                        <w:tcBorders>
                          <w:left w:val="nil"/>
                          <w:right w:val="nil"/>
                        </w:tcBorders>
                      </w:tcPr>
                      <w:p>
                        <w:pPr>
                          <w:pStyle w:val="TableParagraph"/>
                          <w:rPr>
                            <w:rFonts w:ascii="Cambria"/>
                            <w:sz w:val="6"/>
                          </w:rPr>
                        </w:pPr>
                      </w:p>
                      <w:p>
                        <w:pPr>
                          <w:pStyle w:val="TableParagraph"/>
                          <w:rPr>
                            <w:rFonts w:ascii="Cambria"/>
                            <w:sz w:val="6"/>
                          </w:rPr>
                        </w:pPr>
                      </w:p>
                      <w:p>
                        <w:pPr>
                          <w:pStyle w:val="TableParagraph"/>
                          <w:rPr>
                            <w:rFonts w:ascii="Cambria"/>
                            <w:sz w:val="6"/>
                          </w:rPr>
                        </w:pPr>
                      </w:p>
                      <w:p>
                        <w:pPr>
                          <w:pStyle w:val="TableParagraph"/>
                          <w:rPr>
                            <w:rFonts w:ascii="Cambria"/>
                            <w:sz w:val="6"/>
                          </w:rPr>
                        </w:pPr>
                      </w:p>
                      <w:p>
                        <w:pPr>
                          <w:pStyle w:val="TableParagraph"/>
                          <w:spacing w:before="51"/>
                          <w:ind w:left="11"/>
                          <w:rPr>
                            <w:sz w:val="7"/>
                          </w:rPr>
                        </w:pPr>
                        <w:r>
                          <w:rPr>
                            <w:sz w:val="7"/>
                          </w:rPr>
                          <w:t>Porcentaje</w:t>
                        </w:r>
                      </w:p>
                    </w:tc>
                    <w:tc>
                      <w:tcPr>
                        <w:tcW w:w="369" w:type="dxa"/>
                        <w:tcBorders>
                          <w:left w:val="nil"/>
                          <w:right w:val="nil"/>
                        </w:tcBorders>
                      </w:tcPr>
                      <w:p>
                        <w:pPr>
                          <w:pStyle w:val="TableParagraph"/>
                          <w:rPr>
                            <w:rFonts w:ascii="Cambria"/>
                            <w:sz w:val="6"/>
                          </w:rPr>
                        </w:pPr>
                      </w:p>
                      <w:p>
                        <w:pPr>
                          <w:pStyle w:val="TableParagraph"/>
                          <w:rPr>
                            <w:rFonts w:ascii="Cambria"/>
                            <w:sz w:val="6"/>
                          </w:rPr>
                        </w:pPr>
                      </w:p>
                      <w:p>
                        <w:pPr>
                          <w:pStyle w:val="TableParagraph"/>
                          <w:rPr>
                            <w:rFonts w:ascii="Cambria"/>
                            <w:sz w:val="6"/>
                          </w:rPr>
                        </w:pPr>
                      </w:p>
                      <w:p>
                        <w:pPr>
                          <w:pStyle w:val="TableParagraph"/>
                          <w:rPr>
                            <w:rFonts w:ascii="Cambria"/>
                            <w:sz w:val="6"/>
                          </w:rPr>
                        </w:pPr>
                      </w:p>
                      <w:p>
                        <w:pPr>
                          <w:pStyle w:val="TableParagraph"/>
                          <w:spacing w:before="51"/>
                          <w:ind w:left="108" w:right="-12"/>
                          <w:rPr>
                            <w:sz w:val="7"/>
                          </w:rPr>
                        </w:pPr>
                        <w:r>
                          <w:rPr>
                            <w:sz w:val="7"/>
                          </w:rPr>
                          <w:t>Cantidad</w:t>
                        </w:r>
                      </w:p>
                    </w:tc>
                    <w:tc>
                      <w:tcPr>
                        <w:tcW w:w="640" w:type="dxa"/>
                        <w:tcBorders>
                          <w:left w:val="nil"/>
                          <w:right w:val="nil"/>
                        </w:tcBorders>
                      </w:tcPr>
                      <w:p>
                        <w:pPr>
                          <w:pStyle w:val="TableParagraph"/>
                          <w:rPr>
                            <w:rFonts w:ascii="Cambria"/>
                            <w:sz w:val="6"/>
                          </w:rPr>
                        </w:pPr>
                      </w:p>
                      <w:p>
                        <w:pPr>
                          <w:pStyle w:val="TableParagraph"/>
                          <w:rPr>
                            <w:rFonts w:ascii="Cambria"/>
                            <w:sz w:val="6"/>
                          </w:rPr>
                        </w:pPr>
                      </w:p>
                      <w:p>
                        <w:pPr>
                          <w:pStyle w:val="TableParagraph"/>
                          <w:rPr>
                            <w:rFonts w:ascii="Cambria"/>
                            <w:sz w:val="6"/>
                          </w:rPr>
                        </w:pPr>
                      </w:p>
                      <w:p>
                        <w:pPr>
                          <w:pStyle w:val="TableParagraph"/>
                          <w:rPr>
                            <w:rFonts w:ascii="Cambria"/>
                            <w:sz w:val="6"/>
                          </w:rPr>
                        </w:pPr>
                      </w:p>
                      <w:p>
                        <w:pPr>
                          <w:pStyle w:val="TableParagraph"/>
                          <w:spacing w:before="51"/>
                          <w:ind w:left="183"/>
                          <w:rPr>
                            <w:sz w:val="7"/>
                          </w:rPr>
                        </w:pPr>
                        <w:r>
                          <w:rPr>
                            <w:sz w:val="7"/>
                          </w:rPr>
                          <w:t>Porcentaje</w:t>
                        </w:r>
                      </w:p>
                    </w:tc>
                    <w:tc>
                      <w:tcPr>
                        <w:tcW w:w="414" w:type="dxa"/>
                        <w:tcBorders>
                          <w:left w:val="nil"/>
                          <w:right w:val="nil"/>
                        </w:tcBorders>
                      </w:tcPr>
                      <w:p>
                        <w:pPr>
                          <w:pStyle w:val="TableParagraph"/>
                          <w:rPr>
                            <w:rFonts w:ascii="Cambria"/>
                            <w:sz w:val="6"/>
                          </w:rPr>
                        </w:pPr>
                      </w:p>
                      <w:p>
                        <w:pPr>
                          <w:pStyle w:val="TableParagraph"/>
                          <w:rPr>
                            <w:rFonts w:ascii="Cambria"/>
                            <w:sz w:val="6"/>
                          </w:rPr>
                        </w:pPr>
                      </w:p>
                      <w:p>
                        <w:pPr>
                          <w:pStyle w:val="TableParagraph"/>
                          <w:rPr>
                            <w:rFonts w:ascii="Cambria"/>
                            <w:sz w:val="6"/>
                          </w:rPr>
                        </w:pPr>
                      </w:p>
                      <w:p>
                        <w:pPr>
                          <w:pStyle w:val="TableParagraph"/>
                          <w:rPr>
                            <w:rFonts w:ascii="Cambria"/>
                            <w:sz w:val="6"/>
                          </w:rPr>
                        </w:pPr>
                      </w:p>
                      <w:p>
                        <w:pPr>
                          <w:pStyle w:val="TableParagraph"/>
                          <w:spacing w:before="51"/>
                          <w:ind w:left="150" w:right="-9"/>
                          <w:rPr>
                            <w:sz w:val="7"/>
                          </w:rPr>
                        </w:pPr>
                        <w:r>
                          <w:rPr>
                            <w:sz w:val="7"/>
                          </w:rPr>
                          <w:t>Cantidad</w:t>
                        </w:r>
                      </w:p>
                    </w:tc>
                    <w:tc>
                      <w:tcPr>
                        <w:tcW w:w="654" w:type="dxa"/>
                        <w:tcBorders>
                          <w:left w:val="nil"/>
                          <w:right w:val="nil"/>
                        </w:tcBorders>
                      </w:tcPr>
                      <w:p>
                        <w:pPr>
                          <w:pStyle w:val="TableParagraph"/>
                          <w:rPr>
                            <w:rFonts w:ascii="Cambria"/>
                            <w:sz w:val="6"/>
                          </w:rPr>
                        </w:pPr>
                      </w:p>
                      <w:p>
                        <w:pPr>
                          <w:pStyle w:val="TableParagraph"/>
                          <w:rPr>
                            <w:rFonts w:ascii="Cambria"/>
                            <w:sz w:val="6"/>
                          </w:rPr>
                        </w:pPr>
                      </w:p>
                      <w:p>
                        <w:pPr>
                          <w:pStyle w:val="TableParagraph"/>
                          <w:rPr>
                            <w:rFonts w:ascii="Cambria"/>
                            <w:sz w:val="6"/>
                          </w:rPr>
                        </w:pPr>
                      </w:p>
                      <w:p>
                        <w:pPr>
                          <w:pStyle w:val="TableParagraph"/>
                          <w:rPr>
                            <w:rFonts w:ascii="Cambria"/>
                            <w:sz w:val="6"/>
                          </w:rPr>
                        </w:pPr>
                      </w:p>
                      <w:p>
                        <w:pPr>
                          <w:pStyle w:val="TableParagraph"/>
                          <w:spacing w:before="51"/>
                          <w:ind w:left="180"/>
                          <w:rPr>
                            <w:sz w:val="7"/>
                          </w:rPr>
                        </w:pPr>
                        <w:r>
                          <w:rPr>
                            <w:sz w:val="7"/>
                          </w:rPr>
                          <w:t>Porcentaje</w:t>
                        </w:r>
                      </w:p>
                    </w:tc>
                    <w:tc>
                      <w:tcPr>
                        <w:tcW w:w="1101" w:type="dxa"/>
                        <w:tcBorders>
                          <w:left w:val="nil"/>
                          <w:right w:val="nil"/>
                        </w:tcBorders>
                      </w:tcPr>
                      <w:p>
                        <w:pPr>
                          <w:pStyle w:val="TableParagraph"/>
                          <w:rPr>
                            <w:rFonts w:ascii="Cambria"/>
                            <w:sz w:val="6"/>
                          </w:rPr>
                        </w:pPr>
                      </w:p>
                      <w:p>
                        <w:pPr>
                          <w:pStyle w:val="TableParagraph"/>
                          <w:rPr>
                            <w:rFonts w:ascii="Cambria"/>
                            <w:sz w:val="6"/>
                          </w:rPr>
                        </w:pPr>
                      </w:p>
                      <w:p>
                        <w:pPr>
                          <w:pStyle w:val="TableParagraph"/>
                          <w:rPr>
                            <w:rFonts w:ascii="Cambria"/>
                            <w:sz w:val="6"/>
                          </w:rPr>
                        </w:pPr>
                      </w:p>
                      <w:p>
                        <w:pPr>
                          <w:pStyle w:val="TableParagraph"/>
                          <w:rPr>
                            <w:rFonts w:ascii="Cambria"/>
                            <w:sz w:val="6"/>
                          </w:rPr>
                        </w:pPr>
                      </w:p>
                      <w:p>
                        <w:pPr>
                          <w:pStyle w:val="TableParagraph"/>
                          <w:tabs>
                            <w:tab w:pos="501" w:val="left" w:leader="none"/>
                          </w:tabs>
                          <w:spacing w:before="51"/>
                          <w:ind w:left="21"/>
                          <w:jc w:val="center"/>
                          <w:rPr>
                            <w:sz w:val="7"/>
                          </w:rPr>
                        </w:pPr>
                        <w:r>
                          <w:rPr>
                            <w:sz w:val="7"/>
                          </w:rPr>
                          <w:t>Cantidad</w:t>
                          <w:tab/>
                          <w:t>Porcentaje</w:t>
                        </w:r>
                      </w:p>
                    </w:tc>
                    <w:tc>
                      <w:tcPr>
                        <w:tcW w:w="1102" w:type="dxa"/>
                        <w:tcBorders>
                          <w:left w:val="nil"/>
                          <w:right w:val="nil"/>
                        </w:tcBorders>
                      </w:tcPr>
                      <w:p>
                        <w:pPr>
                          <w:pStyle w:val="TableParagraph"/>
                          <w:rPr>
                            <w:rFonts w:ascii="Cambria"/>
                            <w:sz w:val="6"/>
                          </w:rPr>
                        </w:pPr>
                      </w:p>
                      <w:p>
                        <w:pPr>
                          <w:pStyle w:val="TableParagraph"/>
                          <w:rPr>
                            <w:rFonts w:ascii="Cambria"/>
                            <w:sz w:val="6"/>
                          </w:rPr>
                        </w:pPr>
                      </w:p>
                      <w:p>
                        <w:pPr>
                          <w:pStyle w:val="TableParagraph"/>
                          <w:rPr>
                            <w:rFonts w:ascii="Cambria"/>
                            <w:sz w:val="6"/>
                          </w:rPr>
                        </w:pPr>
                      </w:p>
                      <w:p>
                        <w:pPr>
                          <w:pStyle w:val="TableParagraph"/>
                          <w:rPr>
                            <w:rFonts w:ascii="Cambria"/>
                            <w:sz w:val="6"/>
                          </w:rPr>
                        </w:pPr>
                      </w:p>
                      <w:p>
                        <w:pPr>
                          <w:pStyle w:val="TableParagraph"/>
                          <w:tabs>
                            <w:tab w:pos="480" w:val="left" w:leader="none"/>
                          </w:tabs>
                          <w:spacing w:before="51"/>
                          <w:ind w:right="167"/>
                          <w:jc w:val="right"/>
                          <w:rPr>
                            <w:sz w:val="7"/>
                          </w:rPr>
                        </w:pPr>
                        <w:r>
                          <w:rPr>
                            <w:sz w:val="7"/>
                          </w:rPr>
                          <w:t>Cantidad</w:t>
                          <w:tab/>
                          <w:t>Porcentaje</w:t>
                        </w:r>
                      </w:p>
                    </w:tc>
                  </w:tr>
                </w:tbl>
                <w:p>
                  <w:pPr>
                    <w:pStyle w:val="BodyText"/>
                  </w:pPr>
                </w:p>
              </w:txbxContent>
            </v:textbox>
            <w10:wrap type="none"/>
          </v:shape>
        </w:pict>
      </w:r>
      <w:r>
        <w:rPr>
          <w:sz w:val="17"/>
        </w:rPr>
        <w:t>zoosporas</w:t>
      </w:r>
      <w:r>
        <w:rPr>
          <w:spacing w:val="39"/>
          <w:sz w:val="17"/>
        </w:rPr>
        <w:t> </w:t>
      </w:r>
      <w:r>
        <w:rPr>
          <w:sz w:val="17"/>
        </w:rPr>
        <w:t>individuales</w:t>
      </w:r>
    </w:p>
    <w:tbl>
      <w:tblPr>
        <w:tblW w:w="0" w:type="auto"/>
        <w:jc w:val="left"/>
        <w:tblInd w:w="114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90"/>
        <w:gridCol w:w="512"/>
        <w:gridCol w:w="589"/>
        <w:gridCol w:w="508"/>
        <w:gridCol w:w="606"/>
        <w:gridCol w:w="444"/>
        <w:gridCol w:w="570"/>
        <w:gridCol w:w="476"/>
        <w:gridCol w:w="578"/>
        <w:gridCol w:w="534"/>
        <w:gridCol w:w="615"/>
        <w:gridCol w:w="527"/>
        <w:gridCol w:w="458"/>
      </w:tblGrid>
      <w:tr>
        <w:trPr>
          <w:trHeight w:val="725" w:hRule="exact"/>
        </w:trPr>
        <w:tc>
          <w:tcPr>
            <w:tcW w:w="1290" w:type="dxa"/>
            <w:vMerge w:val="restart"/>
          </w:tcPr>
          <w:p>
            <w:pPr/>
          </w:p>
        </w:tc>
        <w:tc>
          <w:tcPr>
            <w:tcW w:w="512" w:type="dxa"/>
          </w:tcPr>
          <w:p>
            <w:pPr/>
          </w:p>
        </w:tc>
        <w:tc>
          <w:tcPr>
            <w:tcW w:w="589" w:type="dxa"/>
          </w:tcPr>
          <w:p>
            <w:pPr/>
          </w:p>
        </w:tc>
        <w:tc>
          <w:tcPr>
            <w:tcW w:w="508" w:type="dxa"/>
          </w:tcPr>
          <w:p>
            <w:pPr/>
          </w:p>
        </w:tc>
        <w:tc>
          <w:tcPr>
            <w:tcW w:w="606" w:type="dxa"/>
          </w:tcPr>
          <w:p>
            <w:pPr/>
          </w:p>
        </w:tc>
        <w:tc>
          <w:tcPr>
            <w:tcW w:w="444" w:type="dxa"/>
          </w:tcPr>
          <w:p>
            <w:pPr/>
          </w:p>
        </w:tc>
        <w:tc>
          <w:tcPr>
            <w:tcW w:w="570" w:type="dxa"/>
          </w:tcPr>
          <w:p>
            <w:pPr/>
          </w:p>
        </w:tc>
        <w:tc>
          <w:tcPr>
            <w:tcW w:w="476" w:type="dxa"/>
          </w:tcPr>
          <w:p>
            <w:pPr/>
          </w:p>
        </w:tc>
        <w:tc>
          <w:tcPr>
            <w:tcW w:w="578" w:type="dxa"/>
          </w:tcPr>
          <w:p>
            <w:pPr/>
          </w:p>
        </w:tc>
        <w:tc>
          <w:tcPr>
            <w:tcW w:w="534" w:type="dxa"/>
          </w:tcPr>
          <w:p>
            <w:pPr/>
          </w:p>
        </w:tc>
        <w:tc>
          <w:tcPr>
            <w:tcW w:w="615" w:type="dxa"/>
          </w:tcPr>
          <w:p>
            <w:pPr/>
          </w:p>
        </w:tc>
        <w:tc>
          <w:tcPr>
            <w:tcW w:w="527" w:type="dxa"/>
          </w:tcPr>
          <w:p>
            <w:pPr/>
          </w:p>
        </w:tc>
        <w:tc>
          <w:tcPr>
            <w:tcW w:w="458" w:type="dxa"/>
            <w:vMerge w:val="restart"/>
          </w:tcPr>
          <w:p>
            <w:pPr/>
          </w:p>
        </w:tc>
      </w:tr>
      <w:tr>
        <w:trPr>
          <w:trHeight w:val="621" w:hRule="exact"/>
        </w:trPr>
        <w:tc>
          <w:tcPr>
            <w:tcW w:w="1290" w:type="dxa"/>
            <w:vMerge/>
          </w:tcPr>
          <w:p>
            <w:pPr/>
          </w:p>
        </w:tc>
        <w:tc>
          <w:tcPr>
            <w:tcW w:w="512" w:type="dxa"/>
          </w:tcPr>
          <w:p>
            <w:pPr/>
          </w:p>
        </w:tc>
        <w:tc>
          <w:tcPr>
            <w:tcW w:w="589" w:type="dxa"/>
          </w:tcPr>
          <w:p>
            <w:pPr/>
          </w:p>
        </w:tc>
        <w:tc>
          <w:tcPr>
            <w:tcW w:w="508" w:type="dxa"/>
          </w:tcPr>
          <w:p>
            <w:pPr/>
          </w:p>
        </w:tc>
        <w:tc>
          <w:tcPr>
            <w:tcW w:w="606" w:type="dxa"/>
          </w:tcPr>
          <w:p>
            <w:pPr/>
          </w:p>
        </w:tc>
        <w:tc>
          <w:tcPr>
            <w:tcW w:w="444" w:type="dxa"/>
          </w:tcPr>
          <w:p>
            <w:pPr/>
          </w:p>
        </w:tc>
        <w:tc>
          <w:tcPr>
            <w:tcW w:w="570" w:type="dxa"/>
          </w:tcPr>
          <w:p>
            <w:pPr/>
          </w:p>
        </w:tc>
        <w:tc>
          <w:tcPr>
            <w:tcW w:w="476" w:type="dxa"/>
          </w:tcPr>
          <w:p>
            <w:pPr/>
          </w:p>
        </w:tc>
        <w:tc>
          <w:tcPr>
            <w:tcW w:w="578" w:type="dxa"/>
          </w:tcPr>
          <w:p>
            <w:pPr/>
          </w:p>
        </w:tc>
        <w:tc>
          <w:tcPr>
            <w:tcW w:w="534" w:type="dxa"/>
          </w:tcPr>
          <w:p>
            <w:pPr/>
          </w:p>
        </w:tc>
        <w:tc>
          <w:tcPr>
            <w:tcW w:w="615" w:type="dxa"/>
          </w:tcPr>
          <w:p>
            <w:pPr/>
          </w:p>
        </w:tc>
        <w:tc>
          <w:tcPr>
            <w:tcW w:w="527" w:type="dxa"/>
          </w:tcPr>
          <w:p>
            <w:pPr/>
          </w:p>
        </w:tc>
        <w:tc>
          <w:tcPr>
            <w:tcW w:w="458" w:type="dxa"/>
            <w:vMerge/>
          </w:tcPr>
          <w:p>
            <w:pPr/>
          </w:p>
        </w:tc>
      </w:tr>
      <w:tr>
        <w:trPr>
          <w:trHeight w:val="260" w:hRule="exact"/>
        </w:trPr>
        <w:tc>
          <w:tcPr>
            <w:tcW w:w="1290" w:type="dxa"/>
          </w:tcPr>
          <w:p>
            <w:pPr>
              <w:pStyle w:val="TableParagraph"/>
              <w:spacing w:before="5"/>
              <w:ind w:left="516"/>
              <w:rPr>
                <w:sz w:val="14"/>
              </w:rPr>
            </w:pPr>
            <w:r>
              <w:rPr>
                <w:sz w:val="14"/>
              </w:rPr>
              <w:t>RT1</w:t>
            </w:r>
          </w:p>
        </w:tc>
        <w:tc>
          <w:tcPr>
            <w:tcW w:w="512" w:type="dxa"/>
          </w:tcPr>
          <w:p>
            <w:pPr>
              <w:pStyle w:val="TableParagraph"/>
              <w:spacing w:before="4"/>
              <w:ind w:left="206"/>
              <w:rPr>
                <w:sz w:val="13"/>
              </w:rPr>
            </w:pPr>
            <w:r>
              <w:rPr>
                <w:sz w:val="13"/>
              </w:rPr>
              <w:t>10</w:t>
            </w:r>
          </w:p>
        </w:tc>
        <w:tc>
          <w:tcPr>
            <w:tcW w:w="589" w:type="dxa"/>
          </w:tcPr>
          <w:p>
            <w:pPr>
              <w:pStyle w:val="TableParagraph"/>
              <w:spacing w:before="4"/>
              <w:ind w:left="155" w:right="166"/>
              <w:jc w:val="center"/>
              <w:rPr>
                <w:sz w:val="13"/>
              </w:rPr>
            </w:pPr>
            <w:r>
              <w:rPr>
                <w:sz w:val="13"/>
              </w:rPr>
              <w:t>19.0</w:t>
            </w:r>
          </w:p>
        </w:tc>
        <w:tc>
          <w:tcPr>
            <w:tcW w:w="508" w:type="dxa"/>
          </w:tcPr>
          <w:p>
            <w:pPr>
              <w:pStyle w:val="TableParagraph"/>
              <w:spacing w:before="4"/>
              <w:ind w:right="1"/>
              <w:jc w:val="center"/>
              <w:rPr>
                <w:sz w:val="13"/>
              </w:rPr>
            </w:pPr>
            <w:r>
              <w:rPr>
                <w:w w:val="99"/>
                <w:sz w:val="13"/>
              </w:rPr>
              <w:t>9</w:t>
            </w:r>
          </w:p>
        </w:tc>
        <w:tc>
          <w:tcPr>
            <w:tcW w:w="606" w:type="dxa"/>
          </w:tcPr>
          <w:p>
            <w:pPr>
              <w:pStyle w:val="TableParagraph"/>
              <w:spacing w:before="4"/>
              <w:ind w:left="169" w:right="148"/>
              <w:jc w:val="center"/>
              <w:rPr>
                <w:sz w:val="13"/>
              </w:rPr>
            </w:pPr>
            <w:r>
              <w:rPr>
                <w:sz w:val="13"/>
              </w:rPr>
              <w:t>17.0</w:t>
            </w:r>
          </w:p>
        </w:tc>
        <w:tc>
          <w:tcPr>
            <w:tcW w:w="444" w:type="dxa"/>
          </w:tcPr>
          <w:p>
            <w:pPr>
              <w:pStyle w:val="TableParagraph"/>
              <w:spacing w:before="4"/>
              <w:ind w:right="21"/>
              <w:jc w:val="center"/>
              <w:rPr>
                <w:sz w:val="13"/>
              </w:rPr>
            </w:pPr>
            <w:r>
              <w:rPr>
                <w:w w:val="99"/>
                <w:sz w:val="13"/>
              </w:rPr>
              <w:t>0</w:t>
            </w:r>
          </w:p>
        </w:tc>
        <w:tc>
          <w:tcPr>
            <w:tcW w:w="570" w:type="dxa"/>
          </w:tcPr>
          <w:p>
            <w:pPr>
              <w:pStyle w:val="TableParagraph"/>
              <w:spacing w:before="4"/>
              <w:ind w:left="201"/>
              <w:rPr>
                <w:sz w:val="13"/>
              </w:rPr>
            </w:pPr>
            <w:r>
              <w:rPr>
                <w:sz w:val="13"/>
              </w:rPr>
              <w:t>0.0</w:t>
            </w:r>
          </w:p>
        </w:tc>
        <w:tc>
          <w:tcPr>
            <w:tcW w:w="476" w:type="dxa"/>
          </w:tcPr>
          <w:p>
            <w:pPr>
              <w:pStyle w:val="TableParagraph"/>
              <w:spacing w:before="4"/>
              <w:ind w:left="1"/>
              <w:jc w:val="center"/>
              <w:rPr>
                <w:sz w:val="13"/>
              </w:rPr>
            </w:pPr>
            <w:r>
              <w:rPr>
                <w:w w:val="99"/>
                <w:sz w:val="13"/>
              </w:rPr>
              <w:t>1</w:t>
            </w:r>
          </w:p>
        </w:tc>
        <w:tc>
          <w:tcPr>
            <w:tcW w:w="578" w:type="dxa"/>
          </w:tcPr>
          <w:p>
            <w:pPr>
              <w:pStyle w:val="TableParagraph"/>
              <w:spacing w:before="4"/>
              <w:ind w:right="208"/>
              <w:jc w:val="right"/>
              <w:rPr>
                <w:sz w:val="13"/>
              </w:rPr>
            </w:pPr>
            <w:r>
              <w:rPr>
                <w:w w:val="95"/>
                <w:sz w:val="13"/>
              </w:rPr>
              <w:t>2.0</w:t>
            </w:r>
          </w:p>
        </w:tc>
        <w:tc>
          <w:tcPr>
            <w:tcW w:w="534" w:type="dxa"/>
          </w:tcPr>
          <w:p>
            <w:pPr>
              <w:pStyle w:val="TableParagraph"/>
              <w:spacing w:before="4"/>
              <w:ind w:left="190" w:right="173"/>
              <w:jc w:val="center"/>
              <w:rPr>
                <w:sz w:val="13"/>
              </w:rPr>
            </w:pPr>
            <w:r>
              <w:rPr>
                <w:sz w:val="13"/>
              </w:rPr>
              <w:t>32</w:t>
            </w:r>
          </w:p>
        </w:tc>
        <w:tc>
          <w:tcPr>
            <w:tcW w:w="615" w:type="dxa"/>
          </w:tcPr>
          <w:p>
            <w:pPr>
              <w:pStyle w:val="TableParagraph"/>
              <w:spacing w:before="4"/>
              <w:ind w:left="241"/>
              <w:rPr>
                <w:sz w:val="13"/>
              </w:rPr>
            </w:pPr>
            <w:r>
              <w:rPr>
                <w:sz w:val="13"/>
              </w:rPr>
              <w:t>62</w:t>
            </w:r>
          </w:p>
        </w:tc>
        <w:tc>
          <w:tcPr>
            <w:tcW w:w="527" w:type="dxa"/>
          </w:tcPr>
          <w:p>
            <w:pPr>
              <w:pStyle w:val="TableParagraph"/>
              <w:spacing w:before="4"/>
              <w:ind w:left="176" w:right="180"/>
              <w:jc w:val="center"/>
              <w:rPr>
                <w:sz w:val="13"/>
              </w:rPr>
            </w:pPr>
            <w:r>
              <w:rPr>
                <w:sz w:val="13"/>
              </w:rPr>
              <w:t>52</w:t>
            </w:r>
          </w:p>
        </w:tc>
        <w:tc>
          <w:tcPr>
            <w:tcW w:w="458" w:type="dxa"/>
          </w:tcPr>
          <w:p>
            <w:pPr>
              <w:pStyle w:val="TableParagraph"/>
              <w:spacing w:before="4"/>
              <w:ind w:right="58"/>
              <w:jc w:val="right"/>
              <w:rPr>
                <w:sz w:val="13"/>
              </w:rPr>
            </w:pPr>
            <w:r>
              <w:rPr>
                <w:w w:val="95"/>
                <w:sz w:val="13"/>
              </w:rPr>
              <w:t>100</w:t>
            </w:r>
          </w:p>
        </w:tc>
      </w:tr>
      <w:tr>
        <w:trPr>
          <w:trHeight w:val="335" w:hRule="exact"/>
        </w:trPr>
        <w:tc>
          <w:tcPr>
            <w:tcW w:w="1290" w:type="dxa"/>
          </w:tcPr>
          <w:p>
            <w:pPr>
              <w:pStyle w:val="TableParagraph"/>
              <w:spacing w:before="80"/>
              <w:ind w:left="512"/>
              <w:rPr>
                <w:sz w:val="14"/>
              </w:rPr>
            </w:pPr>
            <w:r>
              <w:rPr>
                <w:sz w:val="14"/>
              </w:rPr>
              <w:t>RR1</w:t>
            </w:r>
          </w:p>
        </w:tc>
        <w:tc>
          <w:tcPr>
            <w:tcW w:w="512" w:type="dxa"/>
          </w:tcPr>
          <w:p>
            <w:pPr>
              <w:pStyle w:val="TableParagraph"/>
              <w:spacing w:before="79"/>
              <w:ind w:left="206"/>
              <w:rPr>
                <w:sz w:val="13"/>
              </w:rPr>
            </w:pPr>
            <w:r>
              <w:rPr>
                <w:sz w:val="13"/>
              </w:rPr>
              <w:t>10</w:t>
            </w:r>
          </w:p>
        </w:tc>
        <w:tc>
          <w:tcPr>
            <w:tcW w:w="589" w:type="dxa"/>
          </w:tcPr>
          <w:p>
            <w:pPr>
              <w:pStyle w:val="TableParagraph"/>
              <w:spacing w:before="79"/>
              <w:ind w:left="155" w:right="166"/>
              <w:jc w:val="center"/>
              <w:rPr>
                <w:sz w:val="13"/>
              </w:rPr>
            </w:pPr>
            <w:r>
              <w:rPr>
                <w:sz w:val="13"/>
              </w:rPr>
              <w:t>22.0</w:t>
            </w:r>
          </w:p>
        </w:tc>
        <w:tc>
          <w:tcPr>
            <w:tcW w:w="508" w:type="dxa"/>
          </w:tcPr>
          <w:p>
            <w:pPr>
              <w:pStyle w:val="TableParagraph"/>
              <w:spacing w:before="79"/>
              <w:ind w:left="168" w:right="168"/>
              <w:jc w:val="center"/>
              <w:rPr>
                <w:sz w:val="13"/>
              </w:rPr>
            </w:pPr>
            <w:r>
              <w:rPr>
                <w:sz w:val="13"/>
              </w:rPr>
              <w:t>12</w:t>
            </w:r>
          </w:p>
        </w:tc>
        <w:tc>
          <w:tcPr>
            <w:tcW w:w="606" w:type="dxa"/>
          </w:tcPr>
          <w:p>
            <w:pPr>
              <w:pStyle w:val="TableParagraph"/>
              <w:spacing w:before="79"/>
              <w:ind w:left="159" w:right="158"/>
              <w:jc w:val="center"/>
              <w:rPr>
                <w:sz w:val="13"/>
              </w:rPr>
            </w:pPr>
            <w:r>
              <w:rPr>
                <w:sz w:val="13"/>
              </w:rPr>
              <w:t>26.0</w:t>
            </w:r>
          </w:p>
        </w:tc>
        <w:tc>
          <w:tcPr>
            <w:tcW w:w="444" w:type="dxa"/>
          </w:tcPr>
          <w:p>
            <w:pPr>
              <w:pStyle w:val="TableParagraph"/>
              <w:spacing w:before="79"/>
              <w:ind w:right="21"/>
              <w:jc w:val="center"/>
              <w:rPr>
                <w:sz w:val="13"/>
              </w:rPr>
            </w:pPr>
            <w:r>
              <w:rPr>
                <w:w w:val="99"/>
                <w:sz w:val="13"/>
              </w:rPr>
              <w:t>0</w:t>
            </w:r>
          </w:p>
        </w:tc>
        <w:tc>
          <w:tcPr>
            <w:tcW w:w="570" w:type="dxa"/>
          </w:tcPr>
          <w:p>
            <w:pPr>
              <w:pStyle w:val="TableParagraph"/>
              <w:spacing w:before="79"/>
              <w:ind w:left="201"/>
              <w:rPr>
                <w:sz w:val="13"/>
              </w:rPr>
            </w:pPr>
            <w:r>
              <w:rPr>
                <w:sz w:val="13"/>
              </w:rPr>
              <w:t>0.0</w:t>
            </w:r>
          </w:p>
        </w:tc>
        <w:tc>
          <w:tcPr>
            <w:tcW w:w="476" w:type="dxa"/>
          </w:tcPr>
          <w:p>
            <w:pPr>
              <w:pStyle w:val="TableParagraph"/>
              <w:spacing w:before="79"/>
              <w:ind w:left="1"/>
              <w:jc w:val="center"/>
              <w:rPr>
                <w:sz w:val="13"/>
              </w:rPr>
            </w:pPr>
            <w:r>
              <w:rPr>
                <w:w w:val="99"/>
                <w:sz w:val="13"/>
              </w:rPr>
              <w:t>2</w:t>
            </w:r>
          </w:p>
        </w:tc>
        <w:tc>
          <w:tcPr>
            <w:tcW w:w="578" w:type="dxa"/>
          </w:tcPr>
          <w:p>
            <w:pPr>
              <w:pStyle w:val="TableParagraph"/>
              <w:spacing w:before="79"/>
              <w:ind w:right="208"/>
              <w:jc w:val="right"/>
              <w:rPr>
                <w:sz w:val="13"/>
              </w:rPr>
            </w:pPr>
            <w:r>
              <w:rPr>
                <w:w w:val="95"/>
                <w:sz w:val="13"/>
              </w:rPr>
              <w:t>4.0</w:t>
            </w:r>
          </w:p>
        </w:tc>
        <w:tc>
          <w:tcPr>
            <w:tcW w:w="534" w:type="dxa"/>
          </w:tcPr>
          <w:p>
            <w:pPr>
              <w:pStyle w:val="TableParagraph"/>
              <w:spacing w:before="79"/>
              <w:ind w:left="190" w:right="173"/>
              <w:jc w:val="center"/>
              <w:rPr>
                <w:sz w:val="13"/>
              </w:rPr>
            </w:pPr>
            <w:r>
              <w:rPr>
                <w:sz w:val="13"/>
              </w:rPr>
              <w:t>22</w:t>
            </w:r>
          </w:p>
        </w:tc>
        <w:tc>
          <w:tcPr>
            <w:tcW w:w="615" w:type="dxa"/>
          </w:tcPr>
          <w:p>
            <w:pPr>
              <w:pStyle w:val="TableParagraph"/>
              <w:spacing w:before="79"/>
              <w:ind w:left="192"/>
              <w:rPr>
                <w:sz w:val="13"/>
              </w:rPr>
            </w:pPr>
            <w:r>
              <w:rPr>
                <w:sz w:val="13"/>
              </w:rPr>
              <w:t>48.0</w:t>
            </w:r>
          </w:p>
        </w:tc>
        <w:tc>
          <w:tcPr>
            <w:tcW w:w="527" w:type="dxa"/>
          </w:tcPr>
          <w:p>
            <w:pPr>
              <w:pStyle w:val="TableParagraph"/>
              <w:spacing w:before="79"/>
              <w:ind w:left="176" w:right="180"/>
              <w:jc w:val="center"/>
              <w:rPr>
                <w:sz w:val="13"/>
              </w:rPr>
            </w:pPr>
            <w:r>
              <w:rPr>
                <w:sz w:val="13"/>
              </w:rPr>
              <w:t>46</w:t>
            </w:r>
          </w:p>
        </w:tc>
        <w:tc>
          <w:tcPr>
            <w:tcW w:w="458" w:type="dxa"/>
          </w:tcPr>
          <w:p>
            <w:pPr>
              <w:pStyle w:val="TableParagraph"/>
              <w:spacing w:before="79"/>
              <w:ind w:right="58"/>
              <w:jc w:val="right"/>
              <w:rPr>
                <w:sz w:val="13"/>
              </w:rPr>
            </w:pPr>
            <w:r>
              <w:rPr>
                <w:w w:val="95"/>
                <w:sz w:val="13"/>
              </w:rPr>
              <w:t>100</w:t>
            </w:r>
          </w:p>
        </w:tc>
      </w:tr>
      <w:tr>
        <w:trPr>
          <w:trHeight w:val="335" w:hRule="exact"/>
        </w:trPr>
        <w:tc>
          <w:tcPr>
            <w:tcW w:w="1290" w:type="dxa"/>
          </w:tcPr>
          <w:p>
            <w:pPr>
              <w:pStyle w:val="TableParagraph"/>
              <w:spacing w:before="80"/>
              <w:ind w:left="524"/>
              <w:rPr>
                <w:sz w:val="14"/>
              </w:rPr>
            </w:pPr>
            <w:r>
              <w:rPr>
                <w:sz w:val="14"/>
              </w:rPr>
              <w:t>LP5</w:t>
            </w:r>
          </w:p>
        </w:tc>
        <w:tc>
          <w:tcPr>
            <w:tcW w:w="512" w:type="dxa"/>
          </w:tcPr>
          <w:p>
            <w:pPr>
              <w:pStyle w:val="TableParagraph"/>
              <w:spacing w:before="79"/>
              <w:ind w:left="206"/>
              <w:rPr>
                <w:sz w:val="13"/>
              </w:rPr>
            </w:pPr>
            <w:r>
              <w:rPr>
                <w:sz w:val="13"/>
              </w:rPr>
              <w:t>10</w:t>
            </w:r>
          </w:p>
        </w:tc>
        <w:tc>
          <w:tcPr>
            <w:tcW w:w="589" w:type="dxa"/>
          </w:tcPr>
          <w:p>
            <w:pPr>
              <w:pStyle w:val="TableParagraph"/>
              <w:spacing w:before="79"/>
              <w:ind w:left="155" w:right="166"/>
              <w:jc w:val="center"/>
              <w:rPr>
                <w:sz w:val="13"/>
              </w:rPr>
            </w:pPr>
            <w:r>
              <w:rPr>
                <w:sz w:val="13"/>
              </w:rPr>
              <w:t>19.6</w:t>
            </w:r>
          </w:p>
        </w:tc>
        <w:tc>
          <w:tcPr>
            <w:tcW w:w="508" w:type="dxa"/>
          </w:tcPr>
          <w:p>
            <w:pPr>
              <w:pStyle w:val="TableParagraph"/>
              <w:spacing w:before="79"/>
              <w:ind w:right="1"/>
              <w:jc w:val="center"/>
              <w:rPr>
                <w:sz w:val="13"/>
              </w:rPr>
            </w:pPr>
            <w:r>
              <w:rPr>
                <w:w w:val="99"/>
                <w:sz w:val="13"/>
              </w:rPr>
              <w:t>8</w:t>
            </w:r>
          </w:p>
        </w:tc>
        <w:tc>
          <w:tcPr>
            <w:tcW w:w="606" w:type="dxa"/>
          </w:tcPr>
          <w:p>
            <w:pPr>
              <w:pStyle w:val="TableParagraph"/>
              <w:spacing w:before="79"/>
              <w:ind w:left="159" w:right="158"/>
              <w:jc w:val="center"/>
              <w:rPr>
                <w:sz w:val="13"/>
              </w:rPr>
            </w:pPr>
            <w:r>
              <w:rPr>
                <w:sz w:val="13"/>
              </w:rPr>
              <w:t>15.7</w:t>
            </w:r>
          </w:p>
        </w:tc>
        <w:tc>
          <w:tcPr>
            <w:tcW w:w="444" w:type="dxa"/>
          </w:tcPr>
          <w:p>
            <w:pPr>
              <w:pStyle w:val="TableParagraph"/>
              <w:spacing w:before="79"/>
              <w:ind w:right="21"/>
              <w:jc w:val="center"/>
              <w:rPr>
                <w:sz w:val="13"/>
              </w:rPr>
            </w:pPr>
            <w:r>
              <w:rPr>
                <w:w w:val="99"/>
                <w:sz w:val="13"/>
              </w:rPr>
              <w:t>0</w:t>
            </w:r>
          </w:p>
        </w:tc>
        <w:tc>
          <w:tcPr>
            <w:tcW w:w="570" w:type="dxa"/>
          </w:tcPr>
          <w:p>
            <w:pPr>
              <w:pStyle w:val="TableParagraph"/>
              <w:spacing w:before="79"/>
              <w:ind w:left="201"/>
              <w:rPr>
                <w:sz w:val="13"/>
              </w:rPr>
            </w:pPr>
            <w:r>
              <w:rPr>
                <w:sz w:val="13"/>
              </w:rPr>
              <w:t>0.0</w:t>
            </w:r>
          </w:p>
        </w:tc>
        <w:tc>
          <w:tcPr>
            <w:tcW w:w="476" w:type="dxa"/>
          </w:tcPr>
          <w:p>
            <w:pPr>
              <w:pStyle w:val="TableParagraph"/>
              <w:spacing w:before="79"/>
              <w:ind w:left="1"/>
              <w:jc w:val="center"/>
              <w:rPr>
                <w:sz w:val="13"/>
              </w:rPr>
            </w:pPr>
            <w:r>
              <w:rPr>
                <w:w w:val="99"/>
                <w:sz w:val="13"/>
              </w:rPr>
              <w:t>1</w:t>
            </w:r>
          </w:p>
        </w:tc>
        <w:tc>
          <w:tcPr>
            <w:tcW w:w="578" w:type="dxa"/>
          </w:tcPr>
          <w:p>
            <w:pPr>
              <w:pStyle w:val="TableParagraph"/>
              <w:spacing w:before="79"/>
              <w:ind w:right="208"/>
              <w:jc w:val="right"/>
              <w:rPr>
                <w:sz w:val="13"/>
              </w:rPr>
            </w:pPr>
            <w:r>
              <w:rPr>
                <w:w w:val="95"/>
                <w:sz w:val="13"/>
              </w:rPr>
              <w:t>2.0</w:t>
            </w:r>
          </w:p>
        </w:tc>
        <w:tc>
          <w:tcPr>
            <w:tcW w:w="534" w:type="dxa"/>
          </w:tcPr>
          <w:p>
            <w:pPr>
              <w:pStyle w:val="TableParagraph"/>
              <w:spacing w:before="79"/>
              <w:ind w:left="190" w:right="173"/>
              <w:jc w:val="center"/>
              <w:rPr>
                <w:sz w:val="13"/>
              </w:rPr>
            </w:pPr>
            <w:r>
              <w:rPr>
                <w:sz w:val="13"/>
              </w:rPr>
              <w:t>32</w:t>
            </w:r>
          </w:p>
        </w:tc>
        <w:tc>
          <w:tcPr>
            <w:tcW w:w="615" w:type="dxa"/>
          </w:tcPr>
          <w:p>
            <w:pPr>
              <w:pStyle w:val="TableParagraph"/>
              <w:spacing w:before="79"/>
              <w:ind w:left="192"/>
              <w:rPr>
                <w:sz w:val="13"/>
              </w:rPr>
            </w:pPr>
            <w:r>
              <w:rPr>
                <w:sz w:val="13"/>
              </w:rPr>
              <w:t>62.7</w:t>
            </w:r>
          </w:p>
        </w:tc>
        <w:tc>
          <w:tcPr>
            <w:tcW w:w="527" w:type="dxa"/>
          </w:tcPr>
          <w:p>
            <w:pPr>
              <w:pStyle w:val="TableParagraph"/>
              <w:spacing w:before="79"/>
              <w:ind w:left="176" w:right="180"/>
              <w:jc w:val="center"/>
              <w:rPr>
                <w:sz w:val="13"/>
              </w:rPr>
            </w:pPr>
            <w:r>
              <w:rPr>
                <w:sz w:val="13"/>
              </w:rPr>
              <w:t>51</w:t>
            </w:r>
          </w:p>
        </w:tc>
        <w:tc>
          <w:tcPr>
            <w:tcW w:w="458" w:type="dxa"/>
          </w:tcPr>
          <w:p>
            <w:pPr>
              <w:pStyle w:val="TableParagraph"/>
              <w:spacing w:before="79"/>
              <w:ind w:right="58"/>
              <w:jc w:val="right"/>
              <w:rPr>
                <w:sz w:val="13"/>
              </w:rPr>
            </w:pPr>
            <w:r>
              <w:rPr>
                <w:w w:val="95"/>
                <w:sz w:val="13"/>
              </w:rPr>
              <w:t>100</w:t>
            </w:r>
          </w:p>
        </w:tc>
      </w:tr>
      <w:tr>
        <w:trPr>
          <w:trHeight w:val="335" w:hRule="exact"/>
        </w:trPr>
        <w:tc>
          <w:tcPr>
            <w:tcW w:w="1290" w:type="dxa"/>
          </w:tcPr>
          <w:p>
            <w:pPr>
              <w:pStyle w:val="TableParagraph"/>
              <w:spacing w:before="80"/>
              <w:ind w:left="480"/>
              <w:rPr>
                <w:sz w:val="14"/>
              </w:rPr>
            </w:pPr>
            <w:r>
              <w:rPr>
                <w:sz w:val="14"/>
              </w:rPr>
              <w:t>LPT3</w:t>
            </w:r>
          </w:p>
        </w:tc>
        <w:tc>
          <w:tcPr>
            <w:tcW w:w="512" w:type="dxa"/>
          </w:tcPr>
          <w:p>
            <w:pPr>
              <w:pStyle w:val="TableParagraph"/>
              <w:spacing w:before="79"/>
              <w:ind w:left="239"/>
              <w:rPr>
                <w:sz w:val="13"/>
              </w:rPr>
            </w:pPr>
            <w:r>
              <w:rPr>
                <w:w w:val="99"/>
                <w:sz w:val="13"/>
              </w:rPr>
              <w:t>7</w:t>
            </w:r>
          </w:p>
        </w:tc>
        <w:tc>
          <w:tcPr>
            <w:tcW w:w="589" w:type="dxa"/>
          </w:tcPr>
          <w:p>
            <w:pPr>
              <w:pStyle w:val="TableParagraph"/>
              <w:spacing w:before="79"/>
              <w:ind w:left="155" w:right="166"/>
              <w:jc w:val="center"/>
              <w:rPr>
                <w:sz w:val="13"/>
              </w:rPr>
            </w:pPr>
            <w:r>
              <w:rPr>
                <w:sz w:val="13"/>
              </w:rPr>
              <w:t>17.5</w:t>
            </w:r>
          </w:p>
        </w:tc>
        <w:tc>
          <w:tcPr>
            <w:tcW w:w="508" w:type="dxa"/>
          </w:tcPr>
          <w:p>
            <w:pPr>
              <w:pStyle w:val="TableParagraph"/>
              <w:spacing w:before="79"/>
              <w:ind w:right="1"/>
              <w:jc w:val="center"/>
              <w:rPr>
                <w:sz w:val="13"/>
              </w:rPr>
            </w:pPr>
            <w:r>
              <w:rPr>
                <w:w w:val="99"/>
                <w:sz w:val="13"/>
              </w:rPr>
              <w:t>9</w:t>
            </w:r>
          </w:p>
        </w:tc>
        <w:tc>
          <w:tcPr>
            <w:tcW w:w="606" w:type="dxa"/>
          </w:tcPr>
          <w:p>
            <w:pPr>
              <w:pStyle w:val="TableParagraph"/>
              <w:spacing w:before="79"/>
              <w:ind w:left="159" w:right="158"/>
              <w:jc w:val="center"/>
              <w:rPr>
                <w:sz w:val="13"/>
              </w:rPr>
            </w:pPr>
            <w:r>
              <w:rPr>
                <w:sz w:val="13"/>
              </w:rPr>
              <w:t>22.5</w:t>
            </w:r>
          </w:p>
        </w:tc>
        <w:tc>
          <w:tcPr>
            <w:tcW w:w="444" w:type="dxa"/>
          </w:tcPr>
          <w:p>
            <w:pPr>
              <w:pStyle w:val="TableParagraph"/>
              <w:spacing w:before="79"/>
              <w:ind w:right="21"/>
              <w:jc w:val="center"/>
              <w:rPr>
                <w:sz w:val="13"/>
              </w:rPr>
            </w:pPr>
            <w:r>
              <w:rPr>
                <w:w w:val="99"/>
                <w:sz w:val="13"/>
              </w:rPr>
              <w:t>0</w:t>
            </w:r>
          </w:p>
        </w:tc>
        <w:tc>
          <w:tcPr>
            <w:tcW w:w="570" w:type="dxa"/>
          </w:tcPr>
          <w:p>
            <w:pPr>
              <w:pStyle w:val="TableParagraph"/>
              <w:spacing w:before="79"/>
              <w:ind w:left="201"/>
              <w:rPr>
                <w:sz w:val="13"/>
              </w:rPr>
            </w:pPr>
            <w:r>
              <w:rPr>
                <w:sz w:val="13"/>
              </w:rPr>
              <w:t>0.0</w:t>
            </w:r>
          </w:p>
        </w:tc>
        <w:tc>
          <w:tcPr>
            <w:tcW w:w="476" w:type="dxa"/>
          </w:tcPr>
          <w:p>
            <w:pPr>
              <w:pStyle w:val="TableParagraph"/>
              <w:spacing w:before="79"/>
              <w:ind w:left="1"/>
              <w:jc w:val="center"/>
              <w:rPr>
                <w:sz w:val="13"/>
              </w:rPr>
            </w:pPr>
            <w:r>
              <w:rPr>
                <w:w w:val="99"/>
                <w:sz w:val="13"/>
              </w:rPr>
              <w:t>1</w:t>
            </w:r>
          </w:p>
        </w:tc>
        <w:tc>
          <w:tcPr>
            <w:tcW w:w="578" w:type="dxa"/>
          </w:tcPr>
          <w:p>
            <w:pPr>
              <w:pStyle w:val="TableParagraph"/>
              <w:spacing w:before="79"/>
              <w:ind w:right="208"/>
              <w:jc w:val="right"/>
              <w:rPr>
                <w:sz w:val="13"/>
              </w:rPr>
            </w:pPr>
            <w:r>
              <w:rPr>
                <w:w w:val="95"/>
                <w:sz w:val="13"/>
              </w:rPr>
              <w:t>2.5</w:t>
            </w:r>
          </w:p>
        </w:tc>
        <w:tc>
          <w:tcPr>
            <w:tcW w:w="534" w:type="dxa"/>
          </w:tcPr>
          <w:p>
            <w:pPr>
              <w:pStyle w:val="TableParagraph"/>
              <w:spacing w:before="79"/>
              <w:ind w:left="190" w:right="173"/>
              <w:jc w:val="center"/>
              <w:rPr>
                <w:sz w:val="13"/>
              </w:rPr>
            </w:pPr>
            <w:r>
              <w:rPr>
                <w:sz w:val="13"/>
              </w:rPr>
              <w:t>23</w:t>
            </w:r>
          </w:p>
        </w:tc>
        <w:tc>
          <w:tcPr>
            <w:tcW w:w="615" w:type="dxa"/>
          </w:tcPr>
          <w:p>
            <w:pPr>
              <w:pStyle w:val="TableParagraph"/>
              <w:spacing w:before="79"/>
              <w:ind w:left="192"/>
              <w:rPr>
                <w:sz w:val="13"/>
              </w:rPr>
            </w:pPr>
            <w:r>
              <w:rPr>
                <w:sz w:val="13"/>
              </w:rPr>
              <w:t>57.5</w:t>
            </w:r>
          </w:p>
        </w:tc>
        <w:tc>
          <w:tcPr>
            <w:tcW w:w="527" w:type="dxa"/>
          </w:tcPr>
          <w:p>
            <w:pPr>
              <w:pStyle w:val="TableParagraph"/>
              <w:spacing w:before="79"/>
              <w:ind w:left="176" w:right="180"/>
              <w:jc w:val="center"/>
              <w:rPr>
                <w:sz w:val="13"/>
              </w:rPr>
            </w:pPr>
            <w:r>
              <w:rPr>
                <w:sz w:val="13"/>
              </w:rPr>
              <w:t>40</w:t>
            </w:r>
          </w:p>
        </w:tc>
        <w:tc>
          <w:tcPr>
            <w:tcW w:w="458" w:type="dxa"/>
          </w:tcPr>
          <w:p>
            <w:pPr>
              <w:pStyle w:val="TableParagraph"/>
              <w:spacing w:before="79"/>
              <w:ind w:right="58"/>
              <w:jc w:val="right"/>
              <w:rPr>
                <w:sz w:val="13"/>
              </w:rPr>
            </w:pPr>
            <w:r>
              <w:rPr>
                <w:w w:val="95"/>
                <w:sz w:val="13"/>
              </w:rPr>
              <w:t>100</w:t>
            </w:r>
          </w:p>
        </w:tc>
      </w:tr>
      <w:tr>
        <w:trPr>
          <w:trHeight w:val="335" w:hRule="exact"/>
        </w:trPr>
        <w:tc>
          <w:tcPr>
            <w:tcW w:w="1290" w:type="dxa"/>
          </w:tcPr>
          <w:p>
            <w:pPr>
              <w:pStyle w:val="TableParagraph"/>
              <w:spacing w:before="80"/>
              <w:ind w:left="480"/>
              <w:rPr>
                <w:sz w:val="14"/>
              </w:rPr>
            </w:pPr>
            <w:r>
              <w:rPr>
                <w:sz w:val="14"/>
              </w:rPr>
              <w:t>LPT2</w:t>
            </w:r>
          </w:p>
        </w:tc>
        <w:tc>
          <w:tcPr>
            <w:tcW w:w="512" w:type="dxa"/>
          </w:tcPr>
          <w:p>
            <w:pPr>
              <w:pStyle w:val="TableParagraph"/>
              <w:spacing w:before="79"/>
              <w:ind w:left="206"/>
              <w:rPr>
                <w:sz w:val="13"/>
              </w:rPr>
            </w:pPr>
            <w:r>
              <w:rPr>
                <w:sz w:val="13"/>
              </w:rPr>
              <w:t>12</w:t>
            </w:r>
          </w:p>
        </w:tc>
        <w:tc>
          <w:tcPr>
            <w:tcW w:w="589" w:type="dxa"/>
          </w:tcPr>
          <w:p>
            <w:pPr>
              <w:pStyle w:val="TableParagraph"/>
              <w:spacing w:before="79"/>
              <w:ind w:left="155" w:right="166"/>
              <w:jc w:val="center"/>
              <w:rPr>
                <w:sz w:val="13"/>
              </w:rPr>
            </w:pPr>
            <w:r>
              <w:rPr>
                <w:sz w:val="13"/>
              </w:rPr>
              <w:t>28.6</w:t>
            </w:r>
          </w:p>
        </w:tc>
        <w:tc>
          <w:tcPr>
            <w:tcW w:w="508" w:type="dxa"/>
          </w:tcPr>
          <w:p>
            <w:pPr>
              <w:pStyle w:val="TableParagraph"/>
              <w:spacing w:before="79"/>
              <w:ind w:right="1"/>
              <w:jc w:val="center"/>
              <w:rPr>
                <w:sz w:val="13"/>
              </w:rPr>
            </w:pPr>
            <w:r>
              <w:rPr>
                <w:w w:val="99"/>
                <w:sz w:val="13"/>
              </w:rPr>
              <w:t>8</w:t>
            </w:r>
          </w:p>
        </w:tc>
        <w:tc>
          <w:tcPr>
            <w:tcW w:w="606" w:type="dxa"/>
          </w:tcPr>
          <w:p>
            <w:pPr>
              <w:pStyle w:val="TableParagraph"/>
              <w:spacing w:before="79"/>
              <w:ind w:left="159" w:right="158"/>
              <w:jc w:val="center"/>
              <w:rPr>
                <w:sz w:val="13"/>
              </w:rPr>
            </w:pPr>
            <w:r>
              <w:rPr>
                <w:sz w:val="13"/>
              </w:rPr>
              <w:t>19.0</w:t>
            </w:r>
          </w:p>
        </w:tc>
        <w:tc>
          <w:tcPr>
            <w:tcW w:w="444" w:type="dxa"/>
          </w:tcPr>
          <w:p>
            <w:pPr>
              <w:pStyle w:val="TableParagraph"/>
              <w:spacing w:before="79"/>
              <w:ind w:right="21"/>
              <w:jc w:val="center"/>
              <w:rPr>
                <w:sz w:val="13"/>
              </w:rPr>
            </w:pPr>
            <w:r>
              <w:rPr>
                <w:w w:val="99"/>
                <w:sz w:val="13"/>
              </w:rPr>
              <w:t>0</w:t>
            </w:r>
          </w:p>
        </w:tc>
        <w:tc>
          <w:tcPr>
            <w:tcW w:w="570" w:type="dxa"/>
          </w:tcPr>
          <w:p>
            <w:pPr>
              <w:pStyle w:val="TableParagraph"/>
              <w:spacing w:before="79"/>
              <w:ind w:left="201"/>
              <w:rPr>
                <w:sz w:val="13"/>
              </w:rPr>
            </w:pPr>
            <w:r>
              <w:rPr>
                <w:sz w:val="13"/>
              </w:rPr>
              <w:t>0.0</w:t>
            </w:r>
          </w:p>
        </w:tc>
        <w:tc>
          <w:tcPr>
            <w:tcW w:w="476" w:type="dxa"/>
          </w:tcPr>
          <w:p>
            <w:pPr>
              <w:pStyle w:val="TableParagraph"/>
              <w:spacing w:before="79"/>
              <w:ind w:left="1"/>
              <w:jc w:val="center"/>
              <w:rPr>
                <w:sz w:val="13"/>
              </w:rPr>
            </w:pPr>
            <w:r>
              <w:rPr>
                <w:w w:val="99"/>
                <w:sz w:val="13"/>
              </w:rPr>
              <w:t>2</w:t>
            </w:r>
          </w:p>
        </w:tc>
        <w:tc>
          <w:tcPr>
            <w:tcW w:w="578" w:type="dxa"/>
          </w:tcPr>
          <w:p>
            <w:pPr>
              <w:pStyle w:val="TableParagraph"/>
              <w:spacing w:before="79"/>
              <w:ind w:right="208"/>
              <w:jc w:val="right"/>
              <w:rPr>
                <w:sz w:val="13"/>
              </w:rPr>
            </w:pPr>
            <w:r>
              <w:rPr>
                <w:w w:val="95"/>
                <w:sz w:val="13"/>
              </w:rPr>
              <w:t>4.8</w:t>
            </w:r>
          </w:p>
        </w:tc>
        <w:tc>
          <w:tcPr>
            <w:tcW w:w="534" w:type="dxa"/>
          </w:tcPr>
          <w:p>
            <w:pPr>
              <w:pStyle w:val="TableParagraph"/>
              <w:spacing w:before="79"/>
              <w:ind w:left="190" w:right="173"/>
              <w:jc w:val="center"/>
              <w:rPr>
                <w:sz w:val="13"/>
              </w:rPr>
            </w:pPr>
            <w:r>
              <w:rPr>
                <w:sz w:val="13"/>
              </w:rPr>
              <w:t>20</w:t>
            </w:r>
          </w:p>
        </w:tc>
        <w:tc>
          <w:tcPr>
            <w:tcW w:w="615" w:type="dxa"/>
          </w:tcPr>
          <w:p>
            <w:pPr>
              <w:pStyle w:val="TableParagraph"/>
              <w:spacing w:before="79"/>
              <w:ind w:left="192"/>
              <w:rPr>
                <w:sz w:val="13"/>
              </w:rPr>
            </w:pPr>
            <w:r>
              <w:rPr>
                <w:sz w:val="13"/>
              </w:rPr>
              <w:t>47.6</w:t>
            </w:r>
          </w:p>
        </w:tc>
        <w:tc>
          <w:tcPr>
            <w:tcW w:w="527" w:type="dxa"/>
          </w:tcPr>
          <w:p>
            <w:pPr>
              <w:pStyle w:val="TableParagraph"/>
              <w:spacing w:before="79"/>
              <w:ind w:left="176" w:right="180"/>
              <w:jc w:val="center"/>
              <w:rPr>
                <w:sz w:val="13"/>
              </w:rPr>
            </w:pPr>
            <w:r>
              <w:rPr>
                <w:sz w:val="13"/>
              </w:rPr>
              <w:t>42</w:t>
            </w:r>
          </w:p>
        </w:tc>
        <w:tc>
          <w:tcPr>
            <w:tcW w:w="458" w:type="dxa"/>
          </w:tcPr>
          <w:p>
            <w:pPr>
              <w:pStyle w:val="TableParagraph"/>
              <w:spacing w:before="79"/>
              <w:ind w:right="58"/>
              <w:jc w:val="right"/>
              <w:rPr>
                <w:sz w:val="13"/>
              </w:rPr>
            </w:pPr>
            <w:r>
              <w:rPr>
                <w:w w:val="95"/>
                <w:sz w:val="13"/>
              </w:rPr>
              <w:t>100</w:t>
            </w:r>
          </w:p>
        </w:tc>
      </w:tr>
      <w:tr>
        <w:trPr>
          <w:trHeight w:val="339" w:hRule="exact"/>
        </w:trPr>
        <w:tc>
          <w:tcPr>
            <w:tcW w:w="1290" w:type="dxa"/>
          </w:tcPr>
          <w:p>
            <w:pPr>
              <w:pStyle w:val="TableParagraph"/>
              <w:spacing w:before="80"/>
              <w:ind w:left="524"/>
              <w:rPr>
                <w:sz w:val="14"/>
              </w:rPr>
            </w:pPr>
            <w:r>
              <w:rPr>
                <w:sz w:val="14"/>
              </w:rPr>
              <w:t>LP2</w:t>
            </w:r>
          </w:p>
        </w:tc>
        <w:tc>
          <w:tcPr>
            <w:tcW w:w="512" w:type="dxa"/>
          </w:tcPr>
          <w:p>
            <w:pPr>
              <w:pStyle w:val="TableParagraph"/>
              <w:spacing w:before="79"/>
              <w:ind w:left="239"/>
              <w:rPr>
                <w:sz w:val="13"/>
              </w:rPr>
            </w:pPr>
            <w:r>
              <w:rPr>
                <w:w w:val="99"/>
                <w:sz w:val="13"/>
              </w:rPr>
              <w:t>8</w:t>
            </w:r>
          </w:p>
        </w:tc>
        <w:tc>
          <w:tcPr>
            <w:tcW w:w="589" w:type="dxa"/>
          </w:tcPr>
          <w:p>
            <w:pPr>
              <w:pStyle w:val="TableParagraph"/>
              <w:spacing w:before="79"/>
              <w:ind w:left="155" w:right="166"/>
              <w:jc w:val="center"/>
              <w:rPr>
                <w:sz w:val="13"/>
              </w:rPr>
            </w:pPr>
            <w:r>
              <w:rPr>
                <w:sz w:val="13"/>
              </w:rPr>
              <w:t>18.2</w:t>
            </w:r>
          </w:p>
        </w:tc>
        <w:tc>
          <w:tcPr>
            <w:tcW w:w="508" w:type="dxa"/>
          </w:tcPr>
          <w:p>
            <w:pPr>
              <w:pStyle w:val="TableParagraph"/>
              <w:spacing w:before="79"/>
              <w:ind w:left="40"/>
              <w:jc w:val="center"/>
              <w:rPr>
                <w:sz w:val="13"/>
              </w:rPr>
            </w:pPr>
            <w:r>
              <w:rPr>
                <w:w w:val="99"/>
                <w:sz w:val="13"/>
              </w:rPr>
              <w:t>9</w:t>
            </w:r>
          </w:p>
        </w:tc>
        <w:tc>
          <w:tcPr>
            <w:tcW w:w="606" w:type="dxa"/>
          </w:tcPr>
          <w:p>
            <w:pPr>
              <w:pStyle w:val="TableParagraph"/>
              <w:spacing w:before="79"/>
              <w:ind w:left="159" w:right="158"/>
              <w:jc w:val="center"/>
              <w:rPr>
                <w:sz w:val="13"/>
              </w:rPr>
            </w:pPr>
            <w:r>
              <w:rPr>
                <w:sz w:val="13"/>
              </w:rPr>
              <w:t>20.5</w:t>
            </w:r>
          </w:p>
        </w:tc>
        <w:tc>
          <w:tcPr>
            <w:tcW w:w="444" w:type="dxa"/>
          </w:tcPr>
          <w:p>
            <w:pPr>
              <w:pStyle w:val="TableParagraph"/>
              <w:spacing w:before="79"/>
              <w:ind w:right="21"/>
              <w:jc w:val="center"/>
              <w:rPr>
                <w:sz w:val="13"/>
              </w:rPr>
            </w:pPr>
            <w:r>
              <w:rPr>
                <w:w w:val="99"/>
                <w:sz w:val="13"/>
              </w:rPr>
              <w:t>0</w:t>
            </w:r>
          </w:p>
        </w:tc>
        <w:tc>
          <w:tcPr>
            <w:tcW w:w="570" w:type="dxa"/>
          </w:tcPr>
          <w:p>
            <w:pPr>
              <w:pStyle w:val="TableParagraph"/>
              <w:spacing w:before="79"/>
              <w:ind w:left="201"/>
              <w:rPr>
                <w:sz w:val="13"/>
              </w:rPr>
            </w:pPr>
            <w:r>
              <w:rPr>
                <w:sz w:val="13"/>
              </w:rPr>
              <w:t>0.0</w:t>
            </w:r>
          </w:p>
        </w:tc>
        <w:tc>
          <w:tcPr>
            <w:tcW w:w="476" w:type="dxa"/>
          </w:tcPr>
          <w:p>
            <w:pPr>
              <w:pStyle w:val="TableParagraph"/>
              <w:spacing w:before="79"/>
              <w:ind w:left="1"/>
              <w:jc w:val="center"/>
              <w:rPr>
                <w:sz w:val="13"/>
              </w:rPr>
            </w:pPr>
            <w:r>
              <w:rPr>
                <w:w w:val="99"/>
                <w:sz w:val="13"/>
              </w:rPr>
              <w:t>1</w:t>
            </w:r>
          </w:p>
        </w:tc>
        <w:tc>
          <w:tcPr>
            <w:tcW w:w="578" w:type="dxa"/>
          </w:tcPr>
          <w:p>
            <w:pPr>
              <w:pStyle w:val="TableParagraph"/>
              <w:spacing w:before="79"/>
              <w:ind w:right="208"/>
              <w:jc w:val="right"/>
              <w:rPr>
                <w:sz w:val="13"/>
              </w:rPr>
            </w:pPr>
            <w:r>
              <w:rPr>
                <w:w w:val="95"/>
                <w:sz w:val="13"/>
              </w:rPr>
              <w:t>2.3</w:t>
            </w:r>
          </w:p>
        </w:tc>
        <w:tc>
          <w:tcPr>
            <w:tcW w:w="534" w:type="dxa"/>
          </w:tcPr>
          <w:p>
            <w:pPr>
              <w:pStyle w:val="TableParagraph"/>
              <w:spacing w:before="79"/>
              <w:ind w:left="190" w:right="173"/>
              <w:jc w:val="center"/>
              <w:rPr>
                <w:sz w:val="13"/>
              </w:rPr>
            </w:pPr>
            <w:r>
              <w:rPr>
                <w:sz w:val="13"/>
              </w:rPr>
              <w:t>26</w:t>
            </w:r>
          </w:p>
        </w:tc>
        <w:tc>
          <w:tcPr>
            <w:tcW w:w="615" w:type="dxa"/>
          </w:tcPr>
          <w:p>
            <w:pPr>
              <w:pStyle w:val="TableParagraph"/>
              <w:spacing w:before="79"/>
              <w:ind w:left="192"/>
              <w:rPr>
                <w:sz w:val="13"/>
              </w:rPr>
            </w:pPr>
            <w:r>
              <w:rPr>
                <w:sz w:val="13"/>
              </w:rPr>
              <w:t>59.1</w:t>
            </w:r>
          </w:p>
        </w:tc>
        <w:tc>
          <w:tcPr>
            <w:tcW w:w="527" w:type="dxa"/>
          </w:tcPr>
          <w:p>
            <w:pPr>
              <w:pStyle w:val="TableParagraph"/>
              <w:spacing w:before="79"/>
              <w:ind w:left="176" w:right="180"/>
              <w:jc w:val="center"/>
              <w:rPr>
                <w:sz w:val="13"/>
              </w:rPr>
            </w:pPr>
            <w:r>
              <w:rPr>
                <w:sz w:val="13"/>
              </w:rPr>
              <w:t>44</w:t>
            </w:r>
          </w:p>
        </w:tc>
        <w:tc>
          <w:tcPr>
            <w:tcW w:w="458" w:type="dxa"/>
          </w:tcPr>
          <w:p>
            <w:pPr>
              <w:pStyle w:val="TableParagraph"/>
              <w:spacing w:before="79"/>
              <w:ind w:right="58"/>
              <w:jc w:val="right"/>
              <w:rPr>
                <w:sz w:val="13"/>
              </w:rPr>
            </w:pPr>
            <w:r>
              <w:rPr>
                <w:w w:val="95"/>
                <w:sz w:val="13"/>
              </w:rPr>
              <w:t>100</w:t>
            </w:r>
          </w:p>
        </w:tc>
      </w:tr>
    </w:tbl>
    <w:p>
      <w:pPr>
        <w:tabs>
          <w:tab w:pos="2601" w:val="left" w:leader="none"/>
          <w:tab w:pos="3183" w:val="left" w:leader="none"/>
          <w:tab w:pos="3633" w:val="left" w:leader="none"/>
          <w:tab w:pos="4295" w:val="left" w:leader="none"/>
          <w:tab w:pos="4704" w:val="left" w:leader="none"/>
          <w:tab w:pos="5350" w:val="left" w:leader="none"/>
          <w:tab w:pos="5746" w:val="left" w:leader="none"/>
          <w:tab w:pos="6399" w:val="left" w:leader="none"/>
          <w:tab w:pos="6812" w:val="left" w:leader="none"/>
          <w:tab w:pos="7507" w:val="left" w:leader="none"/>
          <w:tab w:pos="7945" w:val="left" w:leader="none"/>
        </w:tabs>
        <w:spacing w:before="78"/>
        <w:ind w:left="1744" w:right="0" w:firstLine="0"/>
        <w:jc w:val="left"/>
        <w:rPr>
          <w:rFonts w:ascii="Times New Roman" w:hAnsi="Times New Roman"/>
          <w:sz w:val="10"/>
        </w:rPr>
      </w:pPr>
      <w:r>
        <w:rPr/>
        <w:pict>
          <v:group style="position:absolute;margin-left:129.529205pt;margin-top:16.761908pt;width:386.2pt;height:.35pt;mso-position-horizontal-relative:page;mso-position-vertical-relative:paragraph;z-index:2848;mso-wrap-distance-left:0;mso-wrap-distance-right:0" coordorigin="2591,335" coordsize="7724,7">
            <v:line style="position:absolute" from="2594,339" to="3895,339" stroked="true" strokeweight=".3487pt" strokecolor="#000000"/>
            <v:line style="position:absolute" from="3884,339" to="3891,339" stroked="true" strokeweight=".3487pt" strokecolor="#000000"/>
            <v:line style="position:absolute" from="3891,339" to="4435,339" stroked="true" strokeweight=".3487pt" strokecolor="#000000"/>
            <v:line style="position:absolute" from="4425,339" to="4432,339" stroked="true" strokeweight=".3487pt" strokecolor="#000000"/>
            <v:line style="position:absolute" from="4432,339" to="4951,339" stroked="true" strokeweight=".3487pt" strokecolor="#000000"/>
            <v:line style="position:absolute" from="4941,339" to="4948,339" stroked="true" strokeweight=".3487pt" strokecolor="#000000"/>
            <v:line style="position:absolute" from="4948,339" to="5548,339" stroked="true" strokeweight=".3487pt" strokecolor="#000000"/>
            <v:line style="position:absolute" from="5537,339" to="5544,339" stroked="true" strokeweight=".3487pt" strokecolor="#000000"/>
            <v:line style="position:absolute" from="5544,339" to="6064,339" stroked="true" strokeweight=".3487pt" strokecolor="#000000"/>
            <v:line style="position:absolute" from="6053,339" to="6060,339" stroked="true" strokeweight=".3487pt" strokecolor="#000000"/>
            <v:line style="position:absolute" from="6060,339" to="6576,339" stroked="true" strokeweight=".3487pt" strokecolor="#000000"/>
            <v:line style="position:absolute" from="6566,339" to="6573,339" stroked="true" strokeweight=".3487pt" strokecolor="#000000"/>
            <v:line style="position:absolute" from="6573,339" to="7092,339" stroked="true" strokeweight=".3487pt" strokecolor="#000000"/>
            <v:line style="position:absolute" from="7082,339" to="7089,339" stroked="true" strokeweight=".3487pt" strokecolor="#000000"/>
            <v:line style="position:absolute" from="7089,339" to="7626,339" stroked="true" strokeweight=".3487pt" strokecolor="#000000"/>
            <v:line style="position:absolute" from="7615,339" to="7622,339" stroked="true" strokeweight=".3487pt" strokecolor="#000000"/>
            <v:line style="position:absolute" from="7622,339" to="8142,339" stroked="true" strokeweight=".3487pt" strokecolor="#000000"/>
            <v:line style="position:absolute" from="8132,339" to="8138,339" stroked="true" strokeweight=".3487pt" strokecolor="#000000"/>
            <v:line style="position:absolute" from="8138,339" to="8759,339" stroked="true" strokeweight=".3487pt" strokecolor="#000000"/>
            <v:line style="position:absolute" from="8749,339" to="8756,339" stroked="true" strokeweight=".3487pt" strokecolor="#000000"/>
            <v:line style="position:absolute" from="8756,339" to="9275,339" stroked="true" strokeweight=".3487pt" strokecolor="#000000"/>
            <v:line style="position:absolute" from="9265,339" to="9272,339" stroked="true" strokeweight=".3487pt" strokecolor="#000000"/>
            <v:line style="position:absolute" from="9272,339" to="9892,339" stroked="true" strokeweight=".3487pt" strokecolor="#000000"/>
            <v:line style="position:absolute" from="9882,339" to="9889,339" stroked="true" strokeweight=".3487pt" strokecolor="#000000"/>
            <v:line style="position:absolute" from="9889,339" to="10311,339" stroked="true" strokeweight=".3487pt" strokecolor="#000000"/>
            <w10:wrap type="topAndBottom"/>
          </v:group>
        </w:pict>
      </w:r>
      <w:r>
        <w:rPr/>
        <w:pict>
          <v:group style="position:absolute;margin-left:130.0522pt;margin-top:3.511108pt;width:385.7pt;height:2.95pt;mso-position-horizontal-relative:page;mso-position-vertical-relative:paragraph;z-index:-106168" coordorigin="2601,70" coordsize="7714,59">
            <v:line style="position:absolute" from="3204,125" to="3293,125" stroked="true" strokeweight=".3814pt" strokecolor="#000000"/>
            <v:shape style="position:absolute;left:2605;top:74;width:7707;height:2" coordorigin="2605,74" coordsize="7707,0" path="m2605,74l3895,74m3895,74l3902,74m3902,74l4435,74m4435,74l4442,74m4442,74l4951,74m4951,74l4958,74m4958,74l5548,74m5548,74l5555,74m5555,74l6064,74m6064,74l6071,74m6071,74l6576,74m6576,74l6583,74m6583,74l7092,74m7092,74l7099,74m7099,74l7626,74m7626,74l7633,74m7633,74l8142,74m8142,74l8149,74m8149,74l8759,74m8759,74l8766,74m8766,74l9275,74m9275,74l9282,74m9282,74l9892,74m9892,74l9899,74m9899,74l10311,74e" filled="false" stroked="true" strokeweight=".3487pt" strokecolor="#000000">
              <v:path arrowok="t"/>
            </v:shape>
            <w10:wrap type="none"/>
          </v:group>
        </w:pict>
      </w:r>
      <w:r>
        <w:rPr>
          <w:rFonts w:ascii="Cambria Math" w:hAnsi="Cambria Math"/>
          <w:w w:val="180"/>
          <w:position w:val="-5"/>
          <w:sz w:val="15"/>
        </w:rPr>
        <w:t>!</w:t>
        <w:tab/>
      </w:r>
      <w:r>
        <w:rPr>
          <w:rFonts w:ascii="Times New Roman" w:hAnsi="Times New Roman"/>
          <w:w w:val="110"/>
          <w:sz w:val="10"/>
        </w:rPr>
        <w:t>9.5±1.7</w:t>
        <w:tab/>
        <w:t>21</w:t>
        <w:tab/>
        <w:t>9.1±1.4</w:t>
        <w:tab/>
        <w:t>20</w:t>
        <w:tab/>
        <w:t>0.0±0.0</w:t>
        <w:tab/>
        <w:t>0</w:t>
        <w:tab/>
        <w:t>1.3±0.5</w:t>
        <w:tab/>
        <w:t>3</w:t>
        <w:tab/>
        <w:t>25.8±5.1</w:t>
        <w:tab/>
        <w:t>56</w:t>
        <w:tab/>
        <w:t>45.8±4.8</w:t>
      </w:r>
    </w:p>
    <w:p>
      <w:pPr>
        <w:pStyle w:val="ListParagraph"/>
        <w:numPr>
          <w:ilvl w:val="0"/>
          <w:numId w:val="28"/>
        </w:numPr>
        <w:tabs>
          <w:tab w:pos="1197" w:val="left" w:leader="none"/>
        </w:tabs>
        <w:spacing w:line="240" w:lineRule="auto" w:before="0" w:after="0"/>
        <w:ind w:left="1196" w:right="0" w:hanging="293"/>
        <w:jc w:val="left"/>
        <w:rPr>
          <w:rFonts w:ascii="Cambria"/>
          <w:sz w:val="17"/>
        </w:rPr>
      </w:pPr>
    </w:p>
    <w:p>
      <w:pPr>
        <w:pStyle w:val="BodyText"/>
        <w:spacing w:before="2"/>
        <w:rPr>
          <w:rFonts w:ascii="Cambria"/>
          <w:sz w:val="17"/>
        </w:rPr>
      </w:pPr>
    </w:p>
    <w:p>
      <w:pPr>
        <w:pStyle w:val="ListParagraph"/>
        <w:numPr>
          <w:ilvl w:val="0"/>
          <w:numId w:val="28"/>
        </w:numPr>
        <w:tabs>
          <w:tab w:pos="1197" w:val="left" w:leader="none"/>
        </w:tabs>
        <w:spacing w:line="240" w:lineRule="auto" w:before="0" w:after="0"/>
        <w:ind w:left="1196" w:right="0" w:hanging="293"/>
        <w:jc w:val="left"/>
        <w:rPr>
          <w:rFonts w:ascii="Cambria"/>
          <w:sz w:val="17"/>
        </w:rPr>
      </w:pPr>
    </w:p>
    <w:p>
      <w:pPr>
        <w:pStyle w:val="ListParagraph"/>
        <w:numPr>
          <w:ilvl w:val="0"/>
          <w:numId w:val="28"/>
        </w:numPr>
        <w:tabs>
          <w:tab w:pos="1197" w:val="left" w:leader="none"/>
        </w:tabs>
        <w:spacing w:line="199" w:lineRule="exact" w:before="3" w:after="0"/>
        <w:ind w:left="1196" w:right="0" w:hanging="293"/>
        <w:jc w:val="left"/>
        <w:rPr>
          <w:rFonts w:ascii="Cambria"/>
          <w:sz w:val="17"/>
        </w:rPr>
      </w:pPr>
    </w:p>
    <w:p>
      <w:pPr>
        <w:pStyle w:val="ListParagraph"/>
        <w:numPr>
          <w:ilvl w:val="0"/>
          <w:numId w:val="28"/>
        </w:numPr>
        <w:tabs>
          <w:tab w:pos="1197" w:val="left" w:leader="none"/>
        </w:tabs>
        <w:spacing w:line="199" w:lineRule="exact" w:before="0" w:after="0"/>
        <w:ind w:left="1196" w:right="0" w:hanging="293"/>
        <w:jc w:val="left"/>
        <w:rPr>
          <w:rFonts w:ascii="Cambria"/>
          <w:sz w:val="17"/>
        </w:rPr>
      </w:pPr>
    </w:p>
    <w:p>
      <w:pPr>
        <w:pStyle w:val="ListParagraph"/>
        <w:numPr>
          <w:ilvl w:val="0"/>
          <w:numId w:val="28"/>
        </w:numPr>
        <w:tabs>
          <w:tab w:pos="1197" w:val="left" w:leader="none"/>
        </w:tabs>
        <w:spacing w:line="199" w:lineRule="exact" w:before="3" w:after="0"/>
        <w:ind w:left="1196" w:right="0" w:hanging="293"/>
        <w:jc w:val="left"/>
        <w:rPr>
          <w:rFonts w:ascii="Cambria"/>
          <w:sz w:val="17"/>
        </w:rPr>
      </w:pPr>
    </w:p>
    <w:p>
      <w:pPr>
        <w:pStyle w:val="ListParagraph"/>
        <w:numPr>
          <w:ilvl w:val="0"/>
          <w:numId w:val="28"/>
        </w:numPr>
        <w:tabs>
          <w:tab w:pos="1197" w:val="left" w:leader="none"/>
        </w:tabs>
        <w:spacing w:line="199" w:lineRule="exact" w:before="0" w:after="0"/>
        <w:ind w:left="1196" w:right="0" w:hanging="293"/>
        <w:jc w:val="left"/>
        <w:rPr>
          <w:rFonts w:ascii="Cambria"/>
          <w:sz w:val="17"/>
        </w:rPr>
      </w:pPr>
    </w:p>
    <w:p>
      <w:pPr>
        <w:pStyle w:val="ListParagraph"/>
        <w:numPr>
          <w:ilvl w:val="0"/>
          <w:numId w:val="28"/>
        </w:numPr>
        <w:tabs>
          <w:tab w:pos="1197" w:val="left" w:leader="none"/>
        </w:tabs>
        <w:spacing w:line="240" w:lineRule="auto" w:before="31" w:after="0"/>
        <w:ind w:left="1196" w:right="0" w:hanging="293"/>
        <w:jc w:val="left"/>
        <w:rPr>
          <w:rFonts w:ascii="Cambria"/>
          <w:sz w:val="17"/>
        </w:rPr>
      </w:pPr>
    </w:p>
    <w:p>
      <w:pPr>
        <w:pStyle w:val="ListParagraph"/>
        <w:numPr>
          <w:ilvl w:val="0"/>
          <w:numId w:val="28"/>
        </w:numPr>
        <w:tabs>
          <w:tab w:pos="1197" w:val="left" w:leader="none"/>
        </w:tabs>
        <w:spacing w:line="240" w:lineRule="auto" w:before="34" w:after="0"/>
        <w:ind w:left="1196" w:right="0" w:hanging="293"/>
        <w:jc w:val="left"/>
        <w:rPr>
          <w:rFonts w:ascii="Cambria"/>
          <w:sz w:val="17"/>
        </w:rPr>
      </w:pPr>
    </w:p>
    <w:p>
      <w:pPr>
        <w:pStyle w:val="ListParagraph"/>
        <w:numPr>
          <w:ilvl w:val="0"/>
          <w:numId w:val="28"/>
        </w:numPr>
        <w:tabs>
          <w:tab w:pos="1197" w:val="left" w:leader="none"/>
        </w:tabs>
        <w:spacing w:line="240" w:lineRule="auto" w:before="31" w:after="0"/>
        <w:ind w:left="1196" w:right="0" w:hanging="293"/>
        <w:jc w:val="left"/>
        <w:rPr>
          <w:rFonts w:ascii="Cambria"/>
          <w:sz w:val="17"/>
        </w:rPr>
      </w:pPr>
    </w:p>
    <w:p>
      <w:pPr>
        <w:pStyle w:val="ListParagraph"/>
        <w:numPr>
          <w:ilvl w:val="0"/>
          <w:numId w:val="28"/>
        </w:numPr>
        <w:tabs>
          <w:tab w:pos="1197" w:val="left" w:leader="none"/>
        </w:tabs>
        <w:spacing w:line="240" w:lineRule="auto" w:before="31" w:after="0"/>
        <w:ind w:left="1196" w:right="0" w:hanging="293"/>
        <w:jc w:val="left"/>
        <w:rPr>
          <w:rFonts w:ascii="Cambria"/>
          <w:sz w:val="17"/>
        </w:rPr>
      </w:pPr>
    </w:p>
    <w:p>
      <w:pPr>
        <w:pStyle w:val="ListParagraph"/>
        <w:numPr>
          <w:ilvl w:val="0"/>
          <w:numId w:val="28"/>
        </w:numPr>
        <w:tabs>
          <w:tab w:pos="1197" w:val="left" w:leader="none"/>
        </w:tabs>
        <w:spacing w:line="240" w:lineRule="auto" w:before="31" w:after="0"/>
        <w:ind w:left="1196" w:right="0" w:hanging="293"/>
        <w:jc w:val="left"/>
        <w:rPr>
          <w:rFonts w:ascii="Cambria"/>
          <w:sz w:val="17"/>
        </w:rPr>
      </w:pPr>
    </w:p>
    <w:p>
      <w:pPr>
        <w:pStyle w:val="ListParagraph"/>
        <w:numPr>
          <w:ilvl w:val="0"/>
          <w:numId w:val="28"/>
        </w:numPr>
        <w:tabs>
          <w:tab w:pos="1197" w:val="left" w:leader="none"/>
        </w:tabs>
        <w:spacing w:line="240" w:lineRule="auto" w:before="31" w:after="0"/>
        <w:ind w:left="1196" w:right="0" w:hanging="293"/>
        <w:jc w:val="left"/>
        <w:rPr>
          <w:rFonts w:ascii="Cambria"/>
          <w:sz w:val="17"/>
        </w:rPr>
      </w:pPr>
    </w:p>
    <w:p>
      <w:pPr>
        <w:pStyle w:val="ListParagraph"/>
        <w:numPr>
          <w:ilvl w:val="0"/>
          <w:numId w:val="28"/>
        </w:numPr>
        <w:tabs>
          <w:tab w:pos="1197" w:val="left" w:leader="none"/>
        </w:tabs>
        <w:spacing w:line="240" w:lineRule="auto" w:before="31" w:after="0"/>
        <w:ind w:left="1196" w:right="0" w:hanging="293"/>
        <w:jc w:val="left"/>
        <w:rPr>
          <w:rFonts w:ascii="Cambria"/>
          <w:sz w:val="17"/>
        </w:rPr>
      </w:pPr>
    </w:p>
    <w:p>
      <w:pPr>
        <w:pStyle w:val="ListParagraph"/>
        <w:numPr>
          <w:ilvl w:val="0"/>
          <w:numId w:val="28"/>
        </w:numPr>
        <w:tabs>
          <w:tab w:pos="1197" w:val="left" w:leader="none"/>
        </w:tabs>
        <w:spacing w:line="240" w:lineRule="auto" w:before="31" w:after="0"/>
        <w:ind w:left="1196" w:right="0" w:hanging="293"/>
        <w:jc w:val="left"/>
        <w:rPr>
          <w:rFonts w:ascii="Cambria"/>
          <w:sz w:val="17"/>
        </w:rPr>
      </w:pPr>
    </w:p>
    <w:p>
      <w:pPr>
        <w:pStyle w:val="ListParagraph"/>
        <w:numPr>
          <w:ilvl w:val="0"/>
          <w:numId w:val="28"/>
        </w:numPr>
        <w:tabs>
          <w:tab w:pos="1197" w:val="left" w:leader="none"/>
        </w:tabs>
        <w:spacing w:line="240" w:lineRule="auto" w:before="31" w:after="0"/>
        <w:ind w:left="1196" w:right="0" w:hanging="293"/>
        <w:jc w:val="left"/>
        <w:rPr>
          <w:rFonts w:ascii="Cambria"/>
          <w:sz w:val="17"/>
        </w:rPr>
      </w:pPr>
    </w:p>
    <w:p>
      <w:pPr>
        <w:pStyle w:val="ListParagraph"/>
        <w:numPr>
          <w:ilvl w:val="0"/>
          <w:numId w:val="28"/>
        </w:numPr>
        <w:tabs>
          <w:tab w:pos="1197" w:val="left" w:leader="none"/>
        </w:tabs>
        <w:spacing w:line="240" w:lineRule="auto" w:before="31" w:after="0"/>
        <w:ind w:left="1196" w:right="0" w:hanging="293"/>
        <w:jc w:val="left"/>
        <w:rPr>
          <w:rFonts w:ascii="Cambria"/>
          <w:sz w:val="17"/>
        </w:rPr>
      </w:pPr>
    </w:p>
    <w:p>
      <w:pPr>
        <w:pStyle w:val="ListParagraph"/>
        <w:numPr>
          <w:ilvl w:val="0"/>
          <w:numId w:val="28"/>
        </w:numPr>
        <w:tabs>
          <w:tab w:pos="1197" w:val="left" w:leader="none"/>
        </w:tabs>
        <w:spacing w:line="240" w:lineRule="auto" w:before="34" w:after="0"/>
        <w:ind w:left="1196" w:right="0" w:hanging="293"/>
        <w:jc w:val="left"/>
        <w:rPr>
          <w:rFonts w:ascii="Cambria"/>
          <w:sz w:val="17"/>
        </w:rPr>
      </w:pPr>
    </w:p>
    <w:p>
      <w:pPr>
        <w:pStyle w:val="ListParagraph"/>
        <w:numPr>
          <w:ilvl w:val="0"/>
          <w:numId w:val="28"/>
        </w:numPr>
        <w:tabs>
          <w:tab w:pos="1197" w:val="left" w:leader="none"/>
        </w:tabs>
        <w:spacing w:line="240" w:lineRule="auto" w:before="31" w:after="0"/>
        <w:ind w:left="1196" w:right="0" w:hanging="293"/>
        <w:jc w:val="left"/>
        <w:rPr>
          <w:rFonts w:ascii="Cambria"/>
          <w:sz w:val="17"/>
        </w:rPr>
      </w:pPr>
    </w:p>
    <w:p>
      <w:pPr>
        <w:pStyle w:val="ListParagraph"/>
        <w:numPr>
          <w:ilvl w:val="0"/>
          <w:numId w:val="28"/>
        </w:numPr>
        <w:tabs>
          <w:tab w:pos="1197" w:val="left" w:leader="none"/>
        </w:tabs>
        <w:spacing w:line="240" w:lineRule="auto" w:before="31" w:after="0"/>
        <w:ind w:left="1196" w:right="0" w:hanging="293"/>
        <w:jc w:val="left"/>
        <w:rPr>
          <w:rFonts w:ascii="Cambria"/>
          <w:sz w:val="17"/>
        </w:rPr>
      </w:pPr>
    </w:p>
    <w:p>
      <w:pPr>
        <w:pStyle w:val="ListParagraph"/>
        <w:numPr>
          <w:ilvl w:val="0"/>
          <w:numId w:val="28"/>
        </w:numPr>
        <w:tabs>
          <w:tab w:pos="1197" w:val="left" w:leader="none"/>
        </w:tabs>
        <w:spacing w:line="240" w:lineRule="auto" w:before="31" w:after="0"/>
        <w:ind w:left="1196" w:right="0" w:hanging="293"/>
        <w:jc w:val="left"/>
        <w:rPr>
          <w:rFonts w:ascii="Cambria"/>
          <w:sz w:val="17"/>
        </w:rPr>
      </w:pPr>
    </w:p>
    <w:p>
      <w:pPr>
        <w:spacing w:after="0" w:line="240" w:lineRule="auto"/>
        <w:jc w:val="left"/>
        <w:rPr>
          <w:rFonts w:ascii="Cambria"/>
          <w:sz w:val="17"/>
        </w:rPr>
        <w:sectPr>
          <w:pgSz w:w="12240" w:h="15840"/>
          <w:pgMar w:header="719" w:footer="740" w:top="1260" w:bottom="920" w:left="1460" w:right="1440"/>
        </w:sect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8"/>
        </w:rPr>
      </w:pPr>
    </w:p>
    <w:p>
      <w:pPr>
        <w:pStyle w:val="ListParagraph"/>
        <w:numPr>
          <w:ilvl w:val="0"/>
          <w:numId w:val="28"/>
        </w:numPr>
        <w:tabs>
          <w:tab w:pos="1196" w:val="left" w:leader="none"/>
        </w:tabs>
        <w:spacing w:line="240" w:lineRule="auto" w:before="80" w:after="0"/>
        <w:ind w:left="1195" w:right="0" w:hanging="292"/>
        <w:jc w:val="left"/>
        <w:rPr>
          <w:rFonts w:ascii="Cambria"/>
          <w:sz w:val="17"/>
        </w:rPr>
      </w:pPr>
    </w:p>
    <w:p>
      <w:pPr>
        <w:pStyle w:val="ListParagraph"/>
        <w:numPr>
          <w:ilvl w:val="0"/>
          <w:numId w:val="28"/>
        </w:numPr>
        <w:tabs>
          <w:tab w:pos="1196" w:val="left" w:leader="none"/>
        </w:tabs>
        <w:spacing w:line="240" w:lineRule="auto" w:before="30" w:after="0"/>
        <w:ind w:left="1195" w:right="0" w:hanging="292"/>
        <w:jc w:val="left"/>
        <w:rPr>
          <w:rFonts w:ascii="Cambria"/>
          <w:sz w:val="17"/>
        </w:rPr>
      </w:pPr>
    </w:p>
    <w:p>
      <w:pPr>
        <w:pStyle w:val="ListParagraph"/>
        <w:numPr>
          <w:ilvl w:val="0"/>
          <w:numId w:val="28"/>
        </w:numPr>
        <w:tabs>
          <w:tab w:pos="1196" w:val="left" w:leader="none"/>
        </w:tabs>
        <w:spacing w:line="240" w:lineRule="auto" w:before="30" w:after="0"/>
        <w:ind w:left="1195" w:right="0" w:hanging="292"/>
        <w:jc w:val="left"/>
        <w:rPr>
          <w:rFonts w:ascii="Cambria"/>
          <w:sz w:val="17"/>
        </w:rPr>
      </w:pPr>
    </w:p>
    <w:p>
      <w:pPr>
        <w:pStyle w:val="ListParagraph"/>
        <w:numPr>
          <w:ilvl w:val="0"/>
          <w:numId w:val="28"/>
        </w:numPr>
        <w:tabs>
          <w:tab w:pos="1453" w:val="left" w:leader="none"/>
          <w:tab w:pos="1454" w:val="left" w:leader="none"/>
        </w:tabs>
        <w:spacing w:line="240" w:lineRule="auto" w:before="34" w:after="0"/>
        <w:ind w:left="1453" w:right="0" w:hanging="550"/>
        <w:jc w:val="left"/>
        <w:rPr>
          <w:sz w:val="17"/>
        </w:rPr>
      </w:pPr>
      <w:r>
        <w:rPr>
          <w:sz w:val="17"/>
        </w:rPr>
        <w:t>Tabla  III.  Cantidad  de  oosporas  producidas  en  los  cruzamientos  entre  los   </w:t>
      </w:r>
      <w:r>
        <w:rPr>
          <w:spacing w:val="6"/>
          <w:sz w:val="17"/>
        </w:rPr>
        <w:t> </w:t>
      </w:r>
      <w:r>
        <w:rPr>
          <w:sz w:val="17"/>
        </w:rPr>
        <w:t>aislamientos</w:t>
      </w:r>
    </w:p>
    <w:p>
      <w:pPr>
        <w:pStyle w:val="ListParagraph"/>
        <w:numPr>
          <w:ilvl w:val="0"/>
          <w:numId w:val="28"/>
        </w:numPr>
        <w:tabs>
          <w:tab w:pos="1453" w:val="left" w:leader="none"/>
          <w:tab w:pos="1454" w:val="left" w:leader="none"/>
        </w:tabs>
        <w:spacing w:line="240" w:lineRule="auto" w:before="30" w:after="32"/>
        <w:ind w:left="1453" w:right="0" w:hanging="550"/>
        <w:jc w:val="left"/>
        <w:rPr>
          <w:sz w:val="17"/>
        </w:rPr>
      </w:pPr>
      <w:r>
        <w:rPr/>
        <w:pict>
          <v:line style="position:absolute;mso-position-horizontal-relative:page;mso-position-vertical-relative:paragraph;z-index:-106048" from="141.922546pt,13.491852pt" to="202.802559pt,65.869012pt" stroked="true" strokeweight=".347963pt" strokecolor="#000000">
            <w10:wrap type="none"/>
          </v:line>
        </w:pict>
      </w:r>
      <w:r>
        <w:rPr/>
        <w:pict>
          <v:shape style="position:absolute;margin-left:153.398911pt;margin-top:79.378052pt;width:8.450pt;height:35.35pt;mso-position-horizontal-relative:page;mso-position-vertical-relative:paragraph;z-index:3088" type="#_x0000_t202" filled="false" stroked="false">
            <v:textbox inset="0,0,0,0" style="layout-flow:vertical;mso-layout-flow-alt:bottom-to-top">
              <w:txbxContent>
                <w:p>
                  <w:pPr>
                    <w:spacing w:before="2"/>
                    <w:ind w:left="20" w:right="-532" w:firstLine="0"/>
                    <w:jc w:val="left"/>
                    <w:rPr>
                      <w:rFonts w:ascii="Times New Roman" w:hAnsi="Times New Roman"/>
                      <w:sz w:val="13"/>
                    </w:rPr>
                  </w:pPr>
                  <w:r>
                    <w:rPr>
                      <w:rFonts w:ascii="Times New Roman" w:hAnsi="Times New Roman"/>
                      <w:spacing w:val="1"/>
                      <w:w w:val="99"/>
                      <w:sz w:val="13"/>
                    </w:rPr>
                    <w:t>H</w:t>
                  </w:r>
                  <w:r>
                    <w:rPr>
                      <w:rFonts w:ascii="Times New Roman" w:hAnsi="Times New Roman"/>
                      <w:w w:val="99"/>
                      <w:sz w:val="13"/>
                    </w:rPr>
                    <w:t>o</w:t>
                  </w:r>
                  <w:r>
                    <w:rPr>
                      <w:rFonts w:ascii="Times New Roman" w:hAnsi="Times New Roman"/>
                      <w:spacing w:val="1"/>
                      <w:w w:val="99"/>
                      <w:sz w:val="13"/>
                    </w:rPr>
                    <w:t>m</w:t>
                  </w:r>
                  <w:r>
                    <w:rPr>
                      <w:rFonts w:ascii="Times New Roman" w:hAnsi="Times New Roman"/>
                      <w:w w:val="99"/>
                      <w:sz w:val="13"/>
                    </w:rPr>
                    <w:t>otálicos</w:t>
                  </w:r>
                </w:p>
              </w:txbxContent>
            </v:textbox>
            <w10:wrap type="none"/>
          </v:shape>
        </w:pict>
      </w:r>
      <w:r>
        <w:rPr>
          <w:sz w:val="17"/>
        </w:rPr>
        <w:t>estudiados y aislados heterotálicos, y por  </w:t>
      </w:r>
      <w:r>
        <w:rPr>
          <w:spacing w:val="6"/>
          <w:sz w:val="17"/>
        </w:rPr>
        <w:t> </w:t>
      </w:r>
      <w:r>
        <w:rPr>
          <w:sz w:val="17"/>
        </w:rPr>
        <w:t>autofertilización</w:t>
      </w:r>
    </w:p>
    <w:tbl>
      <w:tblPr>
        <w:tblW w:w="0" w:type="auto"/>
        <w:jc w:val="left"/>
        <w:tblInd w:w="1369"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228"/>
        <w:gridCol w:w="1381"/>
        <w:gridCol w:w="1465"/>
        <w:gridCol w:w="1040"/>
      </w:tblGrid>
      <w:tr>
        <w:trPr>
          <w:trHeight w:val="675" w:hRule="exact"/>
        </w:trPr>
        <w:tc>
          <w:tcPr>
            <w:tcW w:w="1228" w:type="dxa"/>
            <w:vMerge w:val="restart"/>
            <w:tcBorders>
              <w:left w:val="nil"/>
            </w:tcBorders>
          </w:tcPr>
          <w:p>
            <w:pPr>
              <w:pStyle w:val="TableParagraph"/>
              <w:ind w:left="482" w:right="58" w:firstLine="209"/>
              <w:rPr>
                <w:sz w:val="13"/>
              </w:rPr>
            </w:pPr>
            <w:r>
              <w:rPr>
                <w:sz w:val="13"/>
              </w:rPr>
              <w:t>Aislados heterotálicos</w:t>
            </w:r>
          </w:p>
          <w:p>
            <w:pPr>
              <w:pStyle w:val="TableParagraph"/>
              <w:rPr>
                <w:sz w:val="12"/>
              </w:rPr>
            </w:pPr>
          </w:p>
          <w:p>
            <w:pPr>
              <w:pStyle w:val="TableParagraph"/>
              <w:rPr>
                <w:sz w:val="12"/>
              </w:rPr>
            </w:pPr>
          </w:p>
          <w:p>
            <w:pPr>
              <w:pStyle w:val="TableParagraph"/>
              <w:rPr>
                <w:sz w:val="15"/>
              </w:rPr>
            </w:pPr>
          </w:p>
          <w:p>
            <w:pPr>
              <w:pStyle w:val="TableParagraph"/>
              <w:spacing w:line="244" w:lineRule="auto"/>
              <w:ind w:left="80" w:right="438"/>
              <w:rPr>
                <w:sz w:val="13"/>
              </w:rPr>
            </w:pPr>
            <w:r>
              <w:rPr>
                <w:sz w:val="13"/>
              </w:rPr>
              <w:t>Aislamientos estudiados</w:t>
            </w:r>
          </w:p>
        </w:tc>
        <w:tc>
          <w:tcPr>
            <w:tcW w:w="1381" w:type="dxa"/>
            <w:tcBorders>
              <w:right w:val="nil"/>
            </w:tcBorders>
          </w:tcPr>
          <w:p>
            <w:pPr>
              <w:pStyle w:val="TableParagraph"/>
              <w:spacing w:line="499" w:lineRule="auto" w:before="1"/>
              <w:ind w:left="165" w:firstLine="273"/>
              <w:rPr>
                <w:sz w:val="14"/>
              </w:rPr>
            </w:pPr>
            <w:r>
              <w:rPr>
                <w:sz w:val="14"/>
              </w:rPr>
              <w:t>Tipo de apareamiento A1</w:t>
            </w:r>
          </w:p>
        </w:tc>
        <w:tc>
          <w:tcPr>
            <w:tcW w:w="1465" w:type="dxa"/>
            <w:tcBorders>
              <w:left w:val="nil"/>
              <w:right w:val="nil"/>
            </w:tcBorders>
          </w:tcPr>
          <w:p>
            <w:pPr>
              <w:pStyle w:val="TableParagraph"/>
              <w:spacing w:line="499" w:lineRule="auto" w:before="1"/>
              <w:ind w:left="215" w:firstLine="273"/>
              <w:rPr>
                <w:sz w:val="14"/>
              </w:rPr>
            </w:pPr>
            <w:r>
              <w:rPr>
                <w:sz w:val="14"/>
              </w:rPr>
              <w:t>Tipo de apareamiento A2</w:t>
            </w:r>
          </w:p>
        </w:tc>
        <w:tc>
          <w:tcPr>
            <w:tcW w:w="1040" w:type="dxa"/>
            <w:tcBorders>
              <w:left w:val="nil"/>
              <w:right w:val="nil"/>
            </w:tcBorders>
          </w:tcPr>
          <w:p>
            <w:pPr>
              <w:pStyle w:val="TableParagraph"/>
              <w:rPr>
                <w:sz w:val="10"/>
              </w:rPr>
            </w:pPr>
          </w:p>
          <w:p>
            <w:pPr>
              <w:pStyle w:val="TableParagraph"/>
              <w:spacing w:before="8"/>
              <w:rPr>
                <w:sz w:val="13"/>
              </w:rPr>
            </w:pPr>
          </w:p>
          <w:p>
            <w:pPr>
              <w:pStyle w:val="TableParagraph"/>
              <w:ind w:left="132"/>
              <w:rPr>
                <w:sz w:val="11"/>
              </w:rPr>
            </w:pPr>
            <w:r>
              <w:rPr>
                <w:w w:val="105"/>
                <w:sz w:val="11"/>
              </w:rPr>
              <w:t>Autofertilización</w:t>
            </w:r>
          </w:p>
        </w:tc>
      </w:tr>
      <w:tr>
        <w:trPr>
          <w:trHeight w:val="383" w:hRule="exact"/>
        </w:trPr>
        <w:tc>
          <w:tcPr>
            <w:tcW w:w="1228" w:type="dxa"/>
            <w:vMerge/>
            <w:tcBorders>
              <w:left w:val="nil"/>
            </w:tcBorders>
          </w:tcPr>
          <w:p>
            <w:pPr/>
          </w:p>
        </w:tc>
        <w:tc>
          <w:tcPr>
            <w:tcW w:w="1381" w:type="dxa"/>
            <w:tcBorders>
              <w:right w:val="nil"/>
            </w:tcBorders>
          </w:tcPr>
          <w:p>
            <w:pPr>
              <w:pStyle w:val="TableParagraph"/>
              <w:tabs>
                <w:tab w:pos="817" w:val="left" w:leader="none"/>
              </w:tabs>
              <w:spacing w:line="163" w:lineRule="exact"/>
              <w:ind w:left="179"/>
              <w:rPr>
                <w:sz w:val="9"/>
              </w:rPr>
            </w:pPr>
            <w:r>
              <w:rPr>
                <w:w w:val="105"/>
                <w:sz w:val="14"/>
              </w:rPr>
              <w:t>J104</w:t>
            </w:r>
            <w:r>
              <w:rPr>
                <w:w w:val="105"/>
                <w:position w:val="7"/>
                <w:sz w:val="9"/>
              </w:rPr>
              <w:t>*</w:t>
              <w:tab/>
            </w:r>
            <w:r>
              <w:rPr>
                <w:w w:val="105"/>
                <w:sz w:val="14"/>
              </w:rPr>
              <w:t>BV2</w:t>
            </w:r>
            <w:r>
              <w:rPr>
                <w:w w:val="105"/>
                <w:position w:val="7"/>
                <w:sz w:val="9"/>
              </w:rPr>
              <w:t>**</w:t>
            </w:r>
          </w:p>
        </w:tc>
        <w:tc>
          <w:tcPr>
            <w:tcW w:w="1465" w:type="dxa"/>
            <w:tcBorders>
              <w:left w:val="nil"/>
              <w:right w:val="nil"/>
            </w:tcBorders>
          </w:tcPr>
          <w:p>
            <w:pPr>
              <w:pStyle w:val="TableParagraph"/>
              <w:tabs>
                <w:tab w:pos="907" w:val="left" w:leader="none"/>
              </w:tabs>
              <w:spacing w:line="163" w:lineRule="exact"/>
              <w:ind w:left="191"/>
              <w:rPr>
                <w:sz w:val="9"/>
              </w:rPr>
            </w:pPr>
            <w:r>
              <w:rPr>
                <w:w w:val="105"/>
                <w:sz w:val="14"/>
              </w:rPr>
              <w:t>J204</w:t>
            </w:r>
            <w:r>
              <w:rPr>
                <w:w w:val="105"/>
                <w:position w:val="7"/>
                <w:sz w:val="9"/>
              </w:rPr>
              <w:t>*</w:t>
              <w:tab/>
            </w:r>
            <w:r>
              <w:rPr>
                <w:w w:val="105"/>
                <w:sz w:val="14"/>
              </w:rPr>
              <w:t>LPT5</w:t>
            </w:r>
            <w:r>
              <w:rPr>
                <w:w w:val="105"/>
                <w:position w:val="7"/>
                <w:sz w:val="9"/>
              </w:rPr>
              <w:t>**</w:t>
            </w:r>
          </w:p>
        </w:tc>
        <w:tc>
          <w:tcPr>
            <w:tcW w:w="1040" w:type="dxa"/>
            <w:tcBorders>
              <w:left w:val="nil"/>
              <w:right w:val="nil"/>
            </w:tcBorders>
          </w:tcPr>
          <w:p>
            <w:pPr/>
          </w:p>
        </w:tc>
      </w:tr>
    </w:tbl>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27"/>
        </w:rPr>
      </w:pPr>
      <w:r>
        <w:rPr/>
        <w:pict>
          <v:line style="position:absolute;mso-position-horizontal-relative:page;mso-position-vertical-relative:paragraph;z-index:2944;mso-wrap-distance-left:0;mso-wrap-distance-right:0" from="170.188293pt,17.805857pt" to="174.625993pt,17.805857pt" stroked="true" strokeweight=".3807pt" strokecolor="#000000">
            <w10:wrap type="topAndBottom"/>
          </v:line>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12"/>
        </w:rPr>
      </w:pPr>
      <w:r>
        <w:rPr/>
        <w:pict>
          <v:line style="position:absolute;mso-position-horizontal-relative:page;mso-position-vertical-relative:paragraph;z-index:2968;mso-wrap-distance-left:0;mso-wrap-distance-right:0" from="170.188293pt,9.198012pt" to="174.625993pt,9.198012pt" stroked="true" strokeweight=".3807pt" strokecolor="#000000">
            <w10:wrap type="topAndBottom"/>
          </v:line>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9"/>
        <w:rPr>
          <w:rFonts w:ascii="Times New Roman"/>
          <w:sz w:val="20"/>
        </w:rPr>
      </w:pPr>
      <w:r>
        <w:rPr/>
        <w:pict>
          <v:line style="position:absolute;mso-position-horizontal-relative:page;mso-position-vertical-relative:paragraph;z-index:2992;mso-wrap-distance-left:0;mso-wrap-distance-right:0" from="170.188293pt,14.127606pt" to="174.625993pt,14.127606pt" stroked="true" strokeweight=".3807pt" strokecolor="#000000">
            <w10:wrap type="topAndBottom"/>
          </v:line>
        </w:pict>
      </w:r>
    </w:p>
    <w:p>
      <w:pPr>
        <w:pStyle w:val="ListParagraph"/>
        <w:numPr>
          <w:ilvl w:val="0"/>
          <w:numId w:val="28"/>
        </w:numPr>
        <w:tabs>
          <w:tab w:pos="1453" w:val="left" w:leader="none"/>
          <w:tab w:pos="1454" w:val="left" w:leader="none"/>
        </w:tabs>
        <w:spacing w:line="166" w:lineRule="exact" w:before="81" w:after="0"/>
        <w:ind w:left="1453" w:right="0" w:hanging="550"/>
        <w:jc w:val="left"/>
        <w:rPr>
          <w:sz w:val="11"/>
        </w:rPr>
      </w:pPr>
      <w:r>
        <w:rPr>
          <w:w w:val="105"/>
          <w:sz w:val="11"/>
        </w:rPr>
        <w:t>* : Aislados de referencia proporcionados por la Universidad Michoacana de San Nicolás de</w:t>
      </w:r>
      <w:r>
        <w:rPr>
          <w:spacing w:val="-19"/>
          <w:w w:val="105"/>
          <w:sz w:val="11"/>
        </w:rPr>
        <w:t> </w:t>
      </w:r>
      <w:r>
        <w:rPr>
          <w:w w:val="105"/>
          <w:sz w:val="11"/>
        </w:rPr>
        <w:t>Hidalgo</w:t>
      </w:r>
    </w:p>
    <w:p>
      <w:pPr>
        <w:pStyle w:val="ListParagraph"/>
        <w:numPr>
          <w:ilvl w:val="0"/>
          <w:numId w:val="28"/>
        </w:numPr>
        <w:tabs>
          <w:tab w:pos="1453" w:val="left" w:leader="none"/>
          <w:tab w:pos="1454" w:val="left" w:leader="none"/>
        </w:tabs>
        <w:spacing w:line="132" w:lineRule="exact" w:before="0" w:after="0"/>
        <w:ind w:left="1453" w:right="0" w:hanging="550"/>
        <w:jc w:val="left"/>
        <w:rPr>
          <w:sz w:val="11"/>
        </w:rPr>
      </w:pPr>
      <w:r>
        <w:rPr/>
        <w:pict>
          <v:shape style="position:absolute;margin-left:145.571518pt;margin-top:-60.669231pt;width:23.6pt;height:37.15pt;mso-position-horizontal-relative:page;mso-position-vertical-relative:paragraph;z-index:3040" type="#_x0000_t202" filled="false" stroked="false">
            <v:textbox inset="0,0,0,0" style="layout-flow:vertical;mso-layout-flow-alt:bottom-to-top">
              <w:txbxContent>
                <w:p>
                  <w:pPr>
                    <w:spacing w:line="242" w:lineRule="auto" w:before="2"/>
                    <w:ind w:left="20" w:right="18" w:firstLine="0"/>
                    <w:jc w:val="center"/>
                    <w:rPr>
                      <w:rFonts w:ascii="Times New Roman"/>
                      <w:sz w:val="13"/>
                    </w:rPr>
                  </w:pPr>
                  <w:r>
                    <w:rPr>
                      <w:rFonts w:ascii="Times New Roman"/>
                      <w:spacing w:val="1"/>
                      <w:w w:val="99"/>
                      <w:sz w:val="13"/>
                    </w:rPr>
                    <w:t>T</w:t>
                  </w:r>
                  <w:r>
                    <w:rPr>
                      <w:rFonts w:ascii="Times New Roman"/>
                      <w:w w:val="99"/>
                      <w:sz w:val="13"/>
                    </w:rPr>
                    <w:t>ipo</w:t>
                  </w:r>
                  <w:r>
                    <w:rPr>
                      <w:rFonts w:ascii="Times New Roman"/>
                      <w:spacing w:val="1"/>
                      <w:sz w:val="13"/>
                    </w:rPr>
                    <w:t> </w:t>
                  </w:r>
                  <w:r>
                    <w:rPr>
                      <w:rFonts w:ascii="Times New Roman"/>
                      <w:w w:val="99"/>
                      <w:sz w:val="13"/>
                    </w:rPr>
                    <w:t>de aparea</w:t>
                  </w:r>
                  <w:r>
                    <w:rPr>
                      <w:rFonts w:ascii="Times New Roman"/>
                      <w:spacing w:val="1"/>
                      <w:w w:val="99"/>
                      <w:sz w:val="13"/>
                    </w:rPr>
                    <w:t>m</w:t>
                  </w:r>
                  <w:r>
                    <w:rPr>
                      <w:rFonts w:ascii="Times New Roman"/>
                      <w:w w:val="99"/>
                      <w:sz w:val="13"/>
                    </w:rPr>
                    <w:t>iento </w:t>
                  </w:r>
                  <w:r>
                    <w:rPr>
                      <w:rFonts w:ascii="Times New Roman"/>
                      <w:spacing w:val="1"/>
                      <w:w w:val="99"/>
                      <w:sz w:val="13"/>
                    </w:rPr>
                    <w:t>A2</w:t>
                  </w:r>
                </w:p>
              </w:txbxContent>
            </v:textbox>
            <w10:wrap type="none"/>
          </v:shape>
        </w:pict>
      </w:r>
      <w:r>
        <w:rPr/>
        <w:pict>
          <v:shape style="position:absolute;margin-left:153.398911pt;margin-top:-158.703873pt;width:8.450pt;height:68.5pt;mso-position-horizontal-relative:page;mso-position-vertical-relative:paragraph;z-index:3064" type="#_x0000_t202" filled="false" stroked="false">
            <v:textbox inset="0,0,0,0" style="layout-flow:vertical;mso-layout-flow-alt:bottom-to-top">
              <w:txbxContent>
                <w:p>
                  <w:pPr>
                    <w:spacing w:before="2"/>
                    <w:ind w:left="20" w:right="0" w:firstLine="0"/>
                    <w:jc w:val="left"/>
                    <w:rPr>
                      <w:rFonts w:ascii="Times New Roman"/>
                      <w:sz w:val="13"/>
                    </w:rPr>
                  </w:pPr>
                  <w:r>
                    <w:rPr>
                      <w:rFonts w:ascii="Times New Roman"/>
                      <w:spacing w:val="1"/>
                      <w:w w:val="99"/>
                      <w:sz w:val="13"/>
                    </w:rPr>
                    <w:t>T</w:t>
                  </w:r>
                  <w:r>
                    <w:rPr>
                      <w:rFonts w:ascii="Times New Roman"/>
                      <w:w w:val="99"/>
                      <w:sz w:val="13"/>
                    </w:rPr>
                    <w:t>ipo</w:t>
                  </w:r>
                  <w:r>
                    <w:rPr>
                      <w:rFonts w:ascii="Times New Roman"/>
                      <w:spacing w:val="1"/>
                      <w:sz w:val="13"/>
                    </w:rPr>
                    <w:t> </w:t>
                  </w:r>
                  <w:r>
                    <w:rPr>
                      <w:rFonts w:ascii="Times New Roman"/>
                      <w:w w:val="99"/>
                      <w:sz w:val="13"/>
                    </w:rPr>
                    <w:t>de</w:t>
                  </w:r>
                  <w:r>
                    <w:rPr>
                      <w:rFonts w:ascii="Times New Roman"/>
                      <w:sz w:val="13"/>
                    </w:rPr>
                    <w:t> </w:t>
                  </w:r>
                  <w:r>
                    <w:rPr>
                      <w:rFonts w:ascii="Times New Roman"/>
                      <w:w w:val="99"/>
                      <w:sz w:val="13"/>
                    </w:rPr>
                    <w:t>aparea</w:t>
                  </w:r>
                  <w:r>
                    <w:rPr>
                      <w:rFonts w:ascii="Times New Roman"/>
                      <w:spacing w:val="1"/>
                      <w:w w:val="99"/>
                      <w:sz w:val="13"/>
                    </w:rPr>
                    <w:t>m</w:t>
                  </w:r>
                  <w:r>
                    <w:rPr>
                      <w:rFonts w:ascii="Times New Roman"/>
                      <w:w w:val="99"/>
                      <w:sz w:val="13"/>
                    </w:rPr>
                    <w:t>iento</w:t>
                  </w:r>
                  <w:r>
                    <w:rPr>
                      <w:rFonts w:ascii="Times New Roman"/>
                      <w:spacing w:val="1"/>
                      <w:sz w:val="13"/>
                    </w:rPr>
                    <w:t> </w:t>
                  </w:r>
                  <w:r>
                    <w:rPr>
                      <w:rFonts w:ascii="Times New Roman"/>
                      <w:spacing w:val="1"/>
                      <w:w w:val="99"/>
                      <w:sz w:val="13"/>
                    </w:rPr>
                    <w:t>A</w:t>
                  </w:r>
                  <w:r>
                    <w:rPr>
                      <w:rFonts w:ascii="Times New Roman"/>
                      <w:w w:val="99"/>
                      <w:sz w:val="13"/>
                    </w:rPr>
                    <w:t>1</w:t>
                  </w:r>
                </w:p>
              </w:txbxContent>
            </v:textbox>
            <w10:wrap type="none"/>
          </v:shape>
        </w:pict>
      </w:r>
      <w:r>
        <w:rPr/>
        <w:pict>
          <v:shape style="position:absolute;margin-left:141.661606pt;margin-top:-295.507782pt;width:255.7pt;height:290.1pt;mso-position-horizontal-relative:page;mso-position-vertical-relative:paragraph;z-index:311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76"/>
                    <w:gridCol w:w="552"/>
                    <w:gridCol w:w="675"/>
                    <w:gridCol w:w="694"/>
                    <w:gridCol w:w="749"/>
                    <w:gridCol w:w="823"/>
                    <w:gridCol w:w="945"/>
                  </w:tblGrid>
                  <w:tr>
                    <w:trPr>
                      <w:trHeight w:val="675" w:hRule="exact"/>
                    </w:trPr>
                    <w:tc>
                      <w:tcPr>
                        <w:tcW w:w="676" w:type="dxa"/>
                        <w:vMerge w:val="restart"/>
                      </w:tcPr>
                      <w:p>
                        <w:pPr/>
                      </w:p>
                    </w:tc>
                    <w:tc>
                      <w:tcPr>
                        <w:tcW w:w="552" w:type="dxa"/>
                      </w:tcPr>
                      <w:p>
                        <w:pPr/>
                      </w:p>
                    </w:tc>
                    <w:tc>
                      <w:tcPr>
                        <w:tcW w:w="675" w:type="dxa"/>
                      </w:tcPr>
                      <w:p>
                        <w:pPr/>
                      </w:p>
                    </w:tc>
                    <w:tc>
                      <w:tcPr>
                        <w:tcW w:w="694" w:type="dxa"/>
                      </w:tcPr>
                      <w:p>
                        <w:pPr/>
                      </w:p>
                    </w:tc>
                    <w:tc>
                      <w:tcPr>
                        <w:tcW w:w="749" w:type="dxa"/>
                      </w:tcPr>
                      <w:p>
                        <w:pPr/>
                      </w:p>
                    </w:tc>
                    <w:tc>
                      <w:tcPr>
                        <w:tcW w:w="823" w:type="dxa"/>
                      </w:tcPr>
                      <w:p>
                        <w:pPr/>
                      </w:p>
                    </w:tc>
                    <w:tc>
                      <w:tcPr>
                        <w:tcW w:w="945" w:type="dxa"/>
                        <w:vMerge w:val="restart"/>
                      </w:tcPr>
                      <w:p>
                        <w:pPr/>
                      </w:p>
                    </w:tc>
                  </w:tr>
                  <w:tr>
                    <w:trPr>
                      <w:trHeight w:val="383" w:hRule="exact"/>
                    </w:trPr>
                    <w:tc>
                      <w:tcPr>
                        <w:tcW w:w="676" w:type="dxa"/>
                        <w:vMerge/>
                      </w:tcPr>
                      <w:p>
                        <w:pPr/>
                      </w:p>
                    </w:tc>
                    <w:tc>
                      <w:tcPr>
                        <w:tcW w:w="552" w:type="dxa"/>
                      </w:tcPr>
                      <w:p>
                        <w:pPr/>
                      </w:p>
                    </w:tc>
                    <w:tc>
                      <w:tcPr>
                        <w:tcW w:w="675" w:type="dxa"/>
                      </w:tcPr>
                      <w:p>
                        <w:pPr/>
                      </w:p>
                    </w:tc>
                    <w:tc>
                      <w:tcPr>
                        <w:tcW w:w="694" w:type="dxa"/>
                      </w:tcPr>
                      <w:p>
                        <w:pPr/>
                      </w:p>
                    </w:tc>
                    <w:tc>
                      <w:tcPr>
                        <w:tcW w:w="749" w:type="dxa"/>
                      </w:tcPr>
                      <w:p>
                        <w:pPr/>
                      </w:p>
                    </w:tc>
                    <w:tc>
                      <w:tcPr>
                        <w:tcW w:w="823" w:type="dxa"/>
                      </w:tcPr>
                      <w:p>
                        <w:pPr/>
                      </w:p>
                    </w:tc>
                    <w:tc>
                      <w:tcPr>
                        <w:tcW w:w="945" w:type="dxa"/>
                        <w:vMerge/>
                      </w:tcPr>
                      <w:p>
                        <w:pPr/>
                      </w:p>
                    </w:tc>
                  </w:tr>
                  <w:tr>
                    <w:trPr>
                      <w:trHeight w:val="195" w:hRule="exact"/>
                    </w:trPr>
                    <w:tc>
                      <w:tcPr>
                        <w:tcW w:w="676" w:type="dxa"/>
                        <w:vMerge/>
                      </w:tcPr>
                      <w:p>
                        <w:pPr/>
                      </w:p>
                    </w:tc>
                    <w:tc>
                      <w:tcPr>
                        <w:tcW w:w="552" w:type="dxa"/>
                      </w:tcPr>
                      <w:p>
                        <w:pPr>
                          <w:pStyle w:val="TableParagraph"/>
                          <w:spacing w:before="5"/>
                          <w:ind w:left="16"/>
                          <w:rPr>
                            <w:sz w:val="14"/>
                          </w:rPr>
                        </w:pPr>
                        <w:r>
                          <w:rPr>
                            <w:sz w:val="14"/>
                          </w:rPr>
                          <w:t>RT1</w:t>
                        </w:r>
                      </w:p>
                    </w:tc>
                    <w:tc>
                      <w:tcPr>
                        <w:tcW w:w="675" w:type="dxa"/>
                      </w:tcPr>
                      <w:p>
                        <w:pPr>
                          <w:pStyle w:val="TableParagraph"/>
                          <w:spacing w:before="4"/>
                          <w:ind w:left="278"/>
                          <w:rPr>
                            <w:sz w:val="13"/>
                          </w:rPr>
                        </w:pPr>
                        <w:r>
                          <w:rPr>
                            <w:sz w:val="13"/>
                          </w:rPr>
                          <w:t>48</w:t>
                        </w:r>
                      </w:p>
                    </w:tc>
                    <w:tc>
                      <w:tcPr>
                        <w:tcW w:w="694" w:type="dxa"/>
                      </w:tcPr>
                      <w:p>
                        <w:pPr>
                          <w:pStyle w:val="TableParagraph"/>
                          <w:spacing w:before="4"/>
                          <w:ind w:left="144" w:right="175"/>
                          <w:jc w:val="center"/>
                          <w:rPr>
                            <w:sz w:val="13"/>
                          </w:rPr>
                        </w:pPr>
                        <w:r>
                          <w:rPr>
                            <w:sz w:val="13"/>
                          </w:rPr>
                          <w:t>50</w:t>
                        </w:r>
                      </w:p>
                    </w:tc>
                    <w:tc>
                      <w:tcPr>
                        <w:tcW w:w="749" w:type="dxa"/>
                      </w:tcPr>
                      <w:p>
                        <w:pPr>
                          <w:pStyle w:val="TableParagraph"/>
                          <w:spacing w:before="4"/>
                          <w:ind w:left="178" w:right="194"/>
                          <w:jc w:val="center"/>
                          <w:rPr>
                            <w:sz w:val="13"/>
                          </w:rPr>
                        </w:pPr>
                        <w:r>
                          <w:rPr>
                            <w:sz w:val="13"/>
                          </w:rPr>
                          <w:t>35</w:t>
                        </w:r>
                      </w:p>
                    </w:tc>
                    <w:tc>
                      <w:tcPr>
                        <w:tcW w:w="823" w:type="dxa"/>
                      </w:tcPr>
                      <w:p>
                        <w:pPr>
                          <w:pStyle w:val="TableParagraph"/>
                          <w:spacing w:before="4"/>
                          <w:ind w:left="318"/>
                          <w:rPr>
                            <w:sz w:val="13"/>
                          </w:rPr>
                        </w:pPr>
                        <w:r>
                          <w:rPr>
                            <w:sz w:val="13"/>
                          </w:rPr>
                          <w:t>36</w:t>
                        </w:r>
                      </w:p>
                    </w:tc>
                    <w:tc>
                      <w:tcPr>
                        <w:tcW w:w="945" w:type="dxa"/>
                      </w:tcPr>
                      <w:p>
                        <w:pPr>
                          <w:pStyle w:val="TableParagraph"/>
                          <w:spacing w:before="4"/>
                          <w:ind w:left="369"/>
                          <w:rPr>
                            <w:sz w:val="13"/>
                          </w:rPr>
                        </w:pPr>
                        <w:r>
                          <w:rPr>
                            <w:sz w:val="13"/>
                          </w:rPr>
                          <w:t>28</w:t>
                        </w:r>
                      </w:p>
                    </w:tc>
                  </w:tr>
                  <w:tr>
                    <w:trPr>
                      <w:trHeight w:val="205" w:hRule="exact"/>
                    </w:trPr>
                    <w:tc>
                      <w:tcPr>
                        <w:tcW w:w="676" w:type="dxa"/>
                        <w:vMerge/>
                      </w:tcPr>
                      <w:p>
                        <w:pPr/>
                      </w:p>
                    </w:tc>
                    <w:tc>
                      <w:tcPr>
                        <w:tcW w:w="552" w:type="dxa"/>
                      </w:tcPr>
                      <w:p>
                        <w:pPr>
                          <w:pStyle w:val="TableParagraph"/>
                          <w:spacing w:before="15"/>
                          <w:ind w:left="16"/>
                          <w:rPr>
                            <w:sz w:val="14"/>
                          </w:rPr>
                        </w:pPr>
                        <w:r>
                          <w:rPr>
                            <w:sz w:val="14"/>
                          </w:rPr>
                          <w:t>LPT3</w:t>
                        </w:r>
                      </w:p>
                    </w:tc>
                    <w:tc>
                      <w:tcPr>
                        <w:tcW w:w="675" w:type="dxa"/>
                      </w:tcPr>
                      <w:p>
                        <w:pPr>
                          <w:pStyle w:val="TableParagraph"/>
                          <w:spacing w:before="14"/>
                          <w:ind w:left="278"/>
                          <w:rPr>
                            <w:sz w:val="13"/>
                          </w:rPr>
                        </w:pPr>
                        <w:r>
                          <w:rPr>
                            <w:sz w:val="13"/>
                          </w:rPr>
                          <w:t>49</w:t>
                        </w:r>
                      </w:p>
                    </w:tc>
                    <w:tc>
                      <w:tcPr>
                        <w:tcW w:w="694" w:type="dxa"/>
                      </w:tcPr>
                      <w:p>
                        <w:pPr>
                          <w:pStyle w:val="TableParagraph"/>
                          <w:spacing w:before="14"/>
                          <w:ind w:left="144" w:right="175"/>
                          <w:jc w:val="center"/>
                          <w:rPr>
                            <w:sz w:val="13"/>
                          </w:rPr>
                        </w:pPr>
                        <w:r>
                          <w:rPr>
                            <w:sz w:val="13"/>
                          </w:rPr>
                          <w:t>48</w:t>
                        </w:r>
                      </w:p>
                    </w:tc>
                    <w:tc>
                      <w:tcPr>
                        <w:tcW w:w="749" w:type="dxa"/>
                      </w:tcPr>
                      <w:p>
                        <w:pPr>
                          <w:pStyle w:val="TableParagraph"/>
                          <w:spacing w:before="14"/>
                          <w:ind w:left="178" w:right="194"/>
                          <w:jc w:val="center"/>
                          <w:rPr>
                            <w:sz w:val="13"/>
                          </w:rPr>
                        </w:pPr>
                        <w:r>
                          <w:rPr>
                            <w:sz w:val="13"/>
                          </w:rPr>
                          <w:t>36</w:t>
                        </w:r>
                      </w:p>
                    </w:tc>
                    <w:tc>
                      <w:tcPr>
                        <w:tcW w:w="823" w:type="dxa"/>
                      </w:tcPr>
                      <w:p>
                        <w:pPr>
                          <w:pStyle w:val="TableParagraph"/>
                          <w:spacing w:before="14"/>
                          <w:ind w:left="318"/>
                          <w:rPr>
                            <w:sz w:val="13"/>
                          </w:rPr>
                        </w:pPr>
                        <w:r>
                          <w:rPr>
                            <w:sz w:val="13"/>
                          </w:rPr>
                          <w:t>37</w:t>
                        </w:r>
                      </w:p>
                    </w:tc>
                    <w:tc>
                      <w:tcPr>
                        <w:tcW w:w="945" w:type="dxa"/>
                      </w:tcPr>
                      <w:p>
                        <w:pPr>
                          <w:pStyle w:val="TableParagraph"/>
                          <w:spacing w:before="14"/>
                          <w:ind w:left="369"/>
                          <w:rPr>
                            <w:sz w:val="13"/>
                          </w:rPr>
                        </w:pPr>
                        <w:r>
                          <w:rPr>
                            <w:sz w:val="13"/>
                          </w:rPr>
                          <w:t>28</w:t>
                        </w:r>
                      </w:p>
                    </w:tc>
                  </w:tr>
                  <w:tr>
                    <w:trPr>
                      <w:trHeight w:val="205" w:hRule="exact"/>
                    </w:trPr>
                    <w:tc>
                      <w:tcPr>
                        <w:tcW w:w="676" w:type="dxa"/>
                        <w:vMerge/>
                      </w:tcPr>
                      <w:p>
                        <w:pPr/>
                      </w:p>
                    </w:tc>
                    <w:tc>
                      <w:tcPr>
                        <w:tcW w:w="552" w:type="dxa"/>
                      </w:tcPr>
                      <w:p>
                        <w:pPr>
                          <w:pStyle w:val="TableParagraph"/>
                          <w:spacing w:before="15"/>
                          <w:ind w:left="16"/>
                          <w:rPr>
                            <w:sz w:val="14"/>
                          </w:rPr>
                        </w:pPr>
                        <w:r>
                          <w:rPr>
                            <w:sz w:val="14"/>
                          </w:rPr>
                          <w:t>RR1</w:t>
                        </w:r>
                      </w:p>
                    </w:tc>
                    <w:tc>
                      <w:tcPr>
                        <w:tcW w:w="675" w:type="dxa"/>
                      </w:tcPr>
                      <w:p>
                        <w:pPr>
                          <w:pStyle w:val="TableParagraph"/>
                          <w:spacing w:before="14"/>
                          <w:ind w:left="278"/>
                          <w:rPr>
                            <w:sz w:val="13"/>
                          </w:rPr>
                        </w:pPr>
                        <w:r>
                          <w:rPr>
                            <w:sz w:val="13"/>
                          </w:rPr>
                          <w:t>49</w:t>
                        </w:r>
                      </w:p>
                    </w:tc>
                    <w:tc>
                      <w:tcPr>
                        <w:tcW w:w="694" w:type="dxa"/>
                      </w:tcPr>
                      <w:p>
                        <w:pPr>
                          <w:pStyle w:val="TableParagraph"/>
                          <w:spacing w:before="14"/>
                          <w:ind w:left="144" w:right="175"/>
                          <w:jc w:val="center"/>
                          <w:rPr>
                            <w:sz w:val="13"/>
                          </w:rPr>
                        </w:pPr>
                        <w:r>
                          <w:rPr>
                            <w:sz w:val="13"/>
                          </w:rPr>
                          <w:t>47</w:t>
                        </w:r>
                      </w:p>
                    </w:tc>
                    <w:tc>
                      <w:tcPr>
                        <w:tcW w:w="749" w:type="dxa"/>
                      </w:tcPr>
                      <w:p>
                        <w:pPr>
                          <w:pStyle w:val="TableParagraph"/>
                          <w:spacing w:before="14"/>
                          <w:ind w:left="178" w:right="194"/>
                          <w:jc w:val="center"/>
                          <w:rPr>
                            <w:sz w:val="13"/>
                          </w:rPr>
                        </w:pPr>
                        <w:r>
                          <w:rPr>
                            <w:sz w:val="13"/>
                          </w:rPr>
                          <w:t>37</w:t>
                        </w:r>
                      </w:p>
                    </w:tc>
                    <w:tc>
                      <w:tcPr>
                        <w:tcW w:w="823" w:type="dxa"/>
                      </w:tcPr>
                      <w:p>
                        <w:pPr>
                          <w:pStyle w:val="TableParagraph"/>
                          <w:spacing w:before="14"/>
                          <w:ind w:left="318"/>
                          <w:rPr>
                            <w:sz w:val="13"/>
                          </w:rPr>
                        </w:pPr>
                        <w:r>
                          <w:rPr>
                            <w:sz w:val="13"/>
                          </w:rPr>
                          <w:t>34</w:t>
                        </w:r>
                      </w:p>
                    </w:tc>
                    <w:tc>
                      <w:tcPr>
                        <w:tcW w:w="945" w:type="dxa"/>
                      </w:tcPr>
                      <w:p>
                        <w:pPr>
                          <w:pStyle w:val="TableParagraph"/>
                          <w:spacing w:before="14"/>
                          <w:ind w:left="369"/>
                          <w:rPr>
                            <w:sz w:val="13"/>
                          </w:rPr>
                        </w:pPr>
                        <w:r>
                          <w:rPr>
                            <w:sz w:val="13"/>
                          </w:rPr>
                          <w:t>28</w:t>
                        </w:r>
                      </w:p>
                    </w:tc>
                  </w:tr>
                  <w:tr>
                    <w:trPr>
                      <w:trHeight w:val="205" w:hRule="exact"/>
                    </w:trPr>
                    <w:tc>
                      <w:tcPr>
                        <w:tcW w:w="676" w:type="dxa"/>
                        <w:vMerge/>
                      </w:tcPr>
                      <w:p>
                        <w:pPr/>
                      </w:p>
                    </w:tc>
                    <w:tc>
                      <w:tcPr>
                        <w:tcW w:w="552" w:type="dxa"/>
                      </w:tcPr>
                      <w:p>
                        <w:pPr>
                          <w:pStyle w:val="TableParagraph"/>
                          <w:spacing w:before="15"/>
                          <w:ind w:left="16"/>
                          <w:rPr>
                            <w:sz w:val="14"/>
                          </w:rPr>
                        </w:pPr>
                        <w:r>
                          <w:rPr>
                            <w:sz w:val="14"/>
                          </w:rPr>
                          <w:t>LPT2</w:t>
                        </w:r>
                      </w:p>
                    </w:tc>
                    <w:tc>
                      <w:tcPr>
                        <w:tcW w:w="675" w:type="dxa"/>
                      </w:tcPr>
                      <w:p>
                        <w:pPr>
                          <w:pStyle w:val="TableParagraph"/>
                          <w:spacing w:before="14"/>
                          <w:ind w:left="278"/>
                          <w:rPr>
                            <w:sz w:val="13"/>
                          </w:rPr>
                        </w:pPr>
                        <w:r>
                          <w:rPr>
                            <w:sz w:val="13"/>
                          </w:rPr>
                          <w:t>50</w:t>
                        </w:r>
                      </w:p>
                    </w:tc>
                    <w:tc>
                      <w:tcPr>
                        <w:tcW w:w="694" w:type="dxa"/>
                      </w:tcPr>
                      <w:p>
                        <w:pPr>
                          <w:pStyle w:val="TableParagraph"/>
                          <w:spacing w:before="14"/>
                          <w:ind w:left="144" w:right="175"/>
                          <w:jc w:val="center"/>
                          <w:rPr>
                            <w:sz w:val="13"/>
                          </w:rPr>
                        </w:pPr>
                        <w:r>
                          <w:rPr>
                            <w:sz w:val="13"/>
                          </w:rPr>
                          <w:t>49</w:t>
                        </w:r>
                      </w:p>
                    </w:tc>
                    <w:tc>
                      <w:tcPr>
                        <w:tcW w:w="749" w:type="dxa"/>
                      </w:tcPr>
                      <w:p>
                        <w:pPr>
                          <w:pStyle w:val="TableParagraph"/>
                          <w:spacing w:before="14"/>
                          <w:ind w:left="178" w:right="194"/>
                          <w:jc w:val="center"/>
                          <w:rPr>
                            <w:sz w:val="13"/>
                          </w:rPr>
                        </w:pPr>
                        <w:r>
                          <w:rPr>
                            <w:sz w:val="13"/>
                          </w:rPr>
                          <w:t>34</w:t>
                        </w:r>
                      </w:p>
                    </w:tc>
                    <w:tc>
                      <w:tcPr>
                        <w:tcW w:w="823" w:type="dxa"/>
                      </w:tcPr>
                      <w:p>
                        <w:pPr>
                          <w:pStyle w:val="TableParagraph"/>
                          <w:spacing w:before="14"/>
                          <w:ind w:left="318"/>
                          <w:rPr>
                            <w:sz w:val="13"/>
                          </w:rPr>
                        </w:pPr>
                        <w:r>
                          <w:rPr>
                            <w:sz w:val="13"/>
                          </w:rPr>
                          <w:t>35</w:t>
                        </w:r>
                      </w:p>
                    </w:tc>
                    <w:tc>
                      <w:tcPr>
                        <w:tcW w:w="945" w:type="dxa"/>
                      </w:tcPr>
                      <w:p>
                        <w:pPr>
                          <w:pStyle w:val="TableParagraph"/>
                          <w:spacing w:before="14"/>
                          <w:ind w:left="369"/>
                          <w:rPr>
                            <w:sz w:val="13"/>
                          </w:rPr>
                        </w:pPr>
                        <w:r>
                          <w:rPr>
                            <w:sz w:val="13"/>
                          </w:rPr>
                          <w:t>29</w:t>
                        </w:r>
                      </w:p>
                    </w:tc>
                  </w:tr>
                  <w:tr>
                    <w:trPr>
                      <w:trHeight w:val="207" w:hRule="exact"/>
                    </w:trPr>
                    <w:tc>
                      <w:tcPr>
                        <w:tcW w:w="676" w:type="dxa"/>
                        <w:vMerge/>
                      </w:tcPr>
                      <w:p>
                        <w:pPr/>
                      </w:p>
                    </w:tc>
                    <w:tc>
                      <w:tcPr>
                        <w:tcW w:w="552" w:type="dxa"/>
                      </w:tcPr>
                      <w:p>
                        <w:pPr>
                          <w:pStyle w:val="TableParagraph"/>
                          <w:spacing w:before="15"/>
                          <w:ind w:left="16"/>
                          <w:rPr>
                            <w:sz w:val="14"/>
                          </w:rPr>
                        </w:pPr>
                        <w:r>
                          <w:rPr>
                            <w:sz w:val="14"/>
                          </w:rPr>
                          <w:t>LP5</w:t>
                        </w:r>
                      </w:p>
                    </w:tc>
                    <w:tc>
                      <w:tcPr>
                        <w:tcW w:w="675" w:type="dxa"/>
                      </w:tcPr>
                      <w:p>
                        <w:pPr>
                          <w:pStyle w:val="TableParagraph"/>
                          <w:spacing w:before="14"/>
                          <w:ind w:left="278"/>
                          <w:rPr>
                            <w:sz w:val="13"/>
                          </w:rPr>
                        </w:pPr>
                        <w:r>
                          <w:rPr>
                            <w:sz w:val="13"/>
                          </w:rPr>
                          <w:t>51</w:t>
                        </w:r>
                      </w:p>
                    </w:tc>
                    <w:tc>
                      <w:tcPr>
                        <w:tcW w:w="694" w:type="dxa"/>
                      </w:tcPr>
                      <w:p>
                        <w:pPr>
                          <w:pStyle w:val="TableParagraph"/>
                          <w:spacing w:before="14"/>
                          <w:ind w:left="144" w:right="175"/>
                          <w:jc w:val="center"/>
                          <w:rPr>
                            <w:sz w:val="13"/>
                          </w:rPr>
                        </w:pPr>
                        <w:r>
                          <w:rPr>
                            <w:sz w:val="13"/>
                          </w:rPr>
                          <w:t>50</w:t>
                        </w:r>
                      </w:p>
                    </w:tc>
                    <w:tc>
                      <w:tcPr>
                        <w:tcW w:w="749" w:type="dxa"/>
                      </w:tcPr>
                      <w:p>
                        <w:pPr>
                          <w:pStyle w:val="TableParagraph"/>
                          <w:spacing w:before="14"/>
                          <w:ind w:left="178" w:right="194"/>
                          <w:jc w:val="center"/>
                          <w:rPr>
                            <w:sz w:val="13"/>
                          </w:rPr>
                        </w:pPr>
                        <w:r>
                          <w:rPr>
                            <w:sz w:val="13"/>
                          </w:rPr>
                          <w:t>36</w:t>
                        </w:r>
                      </w:p>
                    </w:tc>
                    <w:tc>
                      <w:tcPr>
                        <w:tcW w:w="823" w:type="dxa"/>
                      </w:tcPr>
                      <w:p>
                        <w:pPr>
                          <w:pStyle w:val="TableParagraph"/>
                          <w:spacing w:before="14"/>
                          <w:ind w:left="318"/>
                          <w:rPr>
                            <w:sz w:val="13"/>
                          </w:rPr>
                        </w:pPr>
                        <w:r>
                          <w:rPr>
                            <w:sz w:val="13"/>
                          </w:rPr>
                          <w:t>36</w:t>
                        </w:r>
                      </w:p>
                    </w:tc>
                    <w:tc>
                      <w:tcPr>
                        <w:tcW w:w="945" w:type="dxa"/>
                      </w:tcPr>
                      <w:p>
                        <w:pPr>
                          <w:pStyle w:val="TableParagraph"/>
                          <w:spacing w:before="14"/>
                          <w:ind w:left="369"/>
                          <w:rPr>
                            <w:sz w:val="13"/>
                          </w:rPr>
                        </w:pPr>
                        <w:r>
                          <w:rPr>
                            <w:sz w:val="13"/>
                          </w:rPr>
                          <w:t>28</w:t>
                        </w:r>
                      </w:p>
                    </w:tc>
                  </w:tr>
                  <w:tr>
                    <w:trPr>
                      <w:trHeight w:val="415" w:hRule="exact"/>
                    </w:trPr>
                    <w:tc>
                      <w:tcPr>
                        <w:tcW w:w="676" w:type="dxa"/>
                      </w:tcPr>
                      <w:p>
                        <w:pPr>
                          <w:pStyle w:val="TableParagraph"/>
                          <w:spacing w:before="10"/>
                          <w:rPr>
                            <w:rFonts w:ascii="Cambria"/>
                            <w:sz w:val="18"/>
                          </w:rPr>
                        </w:pPr>
                      </w:p>
                      <w:p>
                        <w:pPr>
                          <w:pStyle w:val="TableParagraph"/>
                          <w:ind w:right="14"/>
                          <w:jc w:val="right"/>
                          <w:rPr>
                            <w:rFonts w:ascii="Cambria Math"/>
                            <w:sz w:val="15"/>
                          </w:rPr>
                        </w:pPr>
                        <w:r>
                          <w:rPr>
                            <w:rFonts w:ascii="Cambria Math"/>
                            <w:w w:val="210"/>
                            <w:sz w:val="15"/>
                          </w:rPr>
                          <w:t>!</w:t>
                        </w:r>
                      </w:p>
                    </w:tc>
                    <w:tc>
                      <w:tcPr>
                        <w:tcW w:w="552" w:type="dxa"/>
                      </w:tcPr>
                      <w:p>
                        <w:pPr>
                          <w:pStyle w:val="TableParagraph"/>
                          <w:spacing w:before="17"/>
                          <w:ind w:left="16"/>
                          <w:rPr>
                            <w:sz w:val="14"/>
                          </w:rPr>
                        </w:pPr>
                        <w:r>
                          <w:rPr>
                            <w:sz w:val="14"/>
                          </w:rPr>
                          <w:t>LP2</w:t>
                        </w:r>
                      </w:p>
                    </w:tc>
                    <w:tc>
                      <w:tcPr>
                        <w:tcW w:w="675" w:type="dxa"/>
                      </w:tcPr>
                      <w:p>
                        <w:pPr>
                          <w:pStyle w:val="TableParagraph"/>
                          <w:spacing w:before="16"/>
                          <w:ind w:left="157" w:right="144"/>
                          <w:jc w:val="center"/>
                          <w:rPr>
                            <w:sz w:val="13"/>
                          </w:rPr>
                        </w:pPr>
                        <w:r>
                          <w:rPr>
                            <w:sz w:val="13"/>
                          </w:rPr>
                          <w:t>47</w:t>
                        </w:r>
                      </w:p>
                      <w:p>
                        <w:pPr>
                          <w:pStyle w:val="TableParagraph"/>
                          <w:spacing w:before="35"/>
                          <w:ind w:left="157" w:right="144"/>
                          <w:jc w:val="center"/>
                          <w:rPr>
                            <w:b/>
                            <w:sz w:val="8"/>
                          </w:rPr>
                        </w:pPr>
                        <w:r>
                          <w:rPr>
                            <w:b/>
                            <w:sz w:val="13"/>
                          </w:rPr>
                          <w:t>49.00</w:t>
                        </w:r>
                        <w:r>
                          <w:rPr>
                            <w:b/>
                            <w:position w:val="6"/>
                            <w:sz w:val="8"/>
                          </w:rPr>
                          <w:t>a</w:t>
                        </w:r>
                      </w:p>
                    </w:tc>
                    <w:tc>
                      <w:tcPr>
                        <w:tcW w:w="694" w:type="dxa"/>
                      </w:tcPr>
                      <w:p>
                        <w:pPr>
                          <w:pStyle w:val="TableParagraph"/>
                          <w:spacing w:before="16"/>
                          <w:ind w:left="144" w:right="175"/>
                          <w:jc w:val="center"/>
                          <w:rPr>
                            <w:sz w:val="13"/>
                          </w:rPr>
                        </w:pPr>
                        <w:r>
                          <w:rPr>
                            <w:sz w:val="13"/>
                          </w:rPr>
                          <w:t>49</w:t>
                        </w:r>
                      </w:p>
                      <w:p>
                        <w:pPr>
                          <w:pStyle w:val="TableParagraph"/>
                          <w:spacing w:before="35"/>
                          <w:ind w:left="145" w:right="175"/>
                          <w:jc w:val="center"/>
                          <w:rPr>
                            <w:b/>
                            <w:sz w:val="8"/>
                          </w:rPr>
                        </w:pPr>
                        <w:r>
                          <w:rPr>
                            <w:b/>
                            <w:sz w:val="13"/>
                          </w:rPr>
                          <w:t>48.83</w:t>
                        </w:r>
                        <w:r>
                          <w:rPr>
                            <w:b/>
                            <w:position w:val="6"/>
                            <w:sz w:val="8"/>
                          </w:rPr>
                          <w:t>a</w:t>
                        </w:r>
                      </w:p>
                    </w:tc>
                    <w:tc>
                      <w:tcPr>
                        <w:tcW w:w="749" w:type="dxa"/>
                      </w:tcPr>
                      <w:p>
                        <w:pPr>
                          <w:pStyle w:val="TableParagraph"/>
                          <w:spacing w:before="16"/>
                          <w:ind w:left="178" w:right="194"/>
                          <w:jc w:val="center"/>
                          <w:rPr>
                            <w:sz w:val="13"/>
                          </w:rPr>
                        </w:pPr>
                        <w:r>
                          <w:rPr>
                            <w:sz w:val="13"/>
                          </w:rPr>
                          <w:t>37</w:t>
                        </w:r>
                      </w:p>
                      <w:p>
                        <w:pPr>
                          <w:pStyle w:val="TableParagraph"/>
                          <w:spacing w:before="35"/>
                          <w:ind w:left="178" w:right="194"/>
                          <w:jc w:val="center"/>
                          <w:rPr>
                            <w:b/>
                            <w:sz w:val="8"/>
                          </w:rPr>
                        </w:pPr>
                        <w:r>
                          <w:rPr>
                            <w:b/>
                            <w:sz w:val="13"/>
                          </w:rPr>
                          <w:t>35.83</w:t>
                        </w:r>
                        <w:r>
                          <w:rPr>
                            <w:b/>
                            <w:position w:val="6"/>
                            <w:sz w:val="8"/>
                          </w:rPr>
                          <w:t>b</w:t>
                        </w:r>
                      </w:p>
                    </w:tc>
                    <w:tc>
                      <w:tcPr>
                        <w:tcW w:w="823" w:type="dxa"/>
                      </w:tcPr>
                      <w:p>
                        <w:pPr>
                          <w:pStyle w:val="TableParagraph"/>
                          <w:spacing w:before="16"/>
                          <w:ind w:left="196" w:right="249"/>
                          <w:jc w:val="center"/>
                          <w:rPr>
                            <w:sz w:val="13"/>
                          </w:rPr>
                        </w:pPr>
                        <w:r>
                          <w:rPr>
                            <w:sz w:val="13"/>
                          </w:rPr>
                          <w:t>38</w:t>
                        </w:r>
                      </w:p>
                      <w:p>
                        <w:pPr>
                          <w:pStyle w:val="TableParagraph"/>
                          <w:spacing w:before="35"/>
                          <w:ind w:left="196" w:right="249"/>
                          <w:jc w:val="center"/>
                          <w:rPr>
                            <w:b/>
                            <w:sz w:val="8"/>
                          </w:rPr>
                        </w:pPr>
                        <w:r>
                          <w:rPr>
                            <w:b/>
                            <w:sz w:val="13"/>
                          </w:rPr>
                          <w:t>36.00</w:t>
                        </w:r>
                        <w:r>
                          <w:rPr>
                            <w:b/>
                            <w:position w:val="6"/>
                            <w:sz w:val="8"/>
                          </w:rPr>
                          <w:t>b</w:t>
                        </w:r>
                      </w:p>
                    </w:tc>
                    <w:tc>
                      <w:tcPr>
                        <w:tcW w:w="945" w:type="dxa"/>
                      </w:tcPr>
                      <w:p>
                        <w:pPr>
                          <w:pStyle w:val="TableParagraph"/>
                          <w:spacing w:before="16"/>
                          <w:ind w:left="251" w:right="325"/>
                          <w:jc w:val="center"/>
                          <w:rPr>
                            <w:sz w:val="13"/>
                          </w:rPr>
                        </w:pPr>
                        <w:r>
                          <w:rPr>
                            <w:sz w:val="13"/>
                          </w:rPr>
                          <w:t>29</w:t>
                        </w:r>
                      </w:p>
                      <w:p>
                        <w:pPr>
                          <w:pStyle w:val="TableParagraph"/>
                          <w:spacing w:before="35"/>
                          <w:ind w:left="251" w:right="325"/>
                          <w:jc w:val="center"/>
                          <w:rPr>
                            <w:b/>
                            <w:sz w:val="8"/>
                          </w:rPr>
                        </w:pPr>
                        <w:r>
                          <w:rPr>
                            <w:b/>
                            <w:sz w:val="13"/>
                          </w:rPr>
                          <w:t>28.33</w:t>
                        </w:r>
                        <w:r>
                          <w:rPr>
                            <w:b/>
                            <w:position w:val="6"/>
                            <w:sz w:val="8"/>
                          </w:rPr>
                          <w:t>c</w:t>
                        </w:r>
                      </w:p>
                    </w:tc>
                  </w:tr>
                  <w:tr>
                    <w:trPr>
                      <w:trHeight w:val="199" w:hRule="exact"/>
                    </w:trPr>
                    <w:tc>
                      <w:tcPr>
                        <w:tcW w:w="676" w:type="dxa"/>
                      </w:tcPr>
                      <w:p>
                        <w:pPr/>
                      </w:p>
                    </w:tc>
                    <w:tc>
                      <w:tcPr>
                        <w:tcW w:w="552" w:type="dxa"/>
                      </w:tcPr>
                      <w:p>
                        <w:pPr>
                          <w:pStyle w:val="TableParagraph"/>
                          <w:spacing w:before="6"/>
                          <w:ind w:left="79"/>
                          <w:rPr>
                            <w:sz w:val="14"/>
                          </w:rPr>
                        </w:pPr>
                        <w:r>
                          <w:rPr>
                            <w:sz w:val="14"/>
                          </w:rPr>
                          <w:t>LPT6</w:t>
                        </w:r>
                      </w:p>
                    </w:tc>
                    <w:tc>
                      <w:tcPr>
                        <w:tcW w:w="675" w:type="dxa"/>
                      </w:tcPr>
                      <w:p>
                        <w:pPr>
                          <w:pStyle w:val="TableParagraph"/>
                          <w:spacing w:before="4"/>
                          <w:ind w:left="322"/>
                          <w:rPr>
                            <w:sz w:val="13"/>
                          </w:rPr>
                        </w:pPr>
                        <w:r>
                          <w:rPr>
                            <w:w w:val="99"/>
                            <w:sz w:val="13"/>
                          </w:rPr>
                          <w:t>-</w:t>
                        </w:r>
                      </w:p>
                    </w:tc>
                    <w:tc>
                      <w:tcPr>
                        <w:tcW w:w="694" w:type="dxa"/>
                      </w:tcPr>
                      <w:p>
                        <w:pPr>
                          <w:pStyle w:val="TableParagraph"/>
                          <w:spacing w:before="4"/>
                          <w:ind w:right="30"/>
                          <w:jc w:val="center"/>
                          <w:rPr>
                            <w:sz w:val="13"/>
                          </w:rPr>
                        </w:pPr>
                        <w:r>
                          <w:rPr>
                            <w:w w:val="99"/>
                            <w:sz w:val="13"/>
                          </w:rPr>
                          <w:t>-</w:t>
                        </w:r>
                      </w:p>
                    </w:tc>
                    <w:tc>
                      <w:tcPr>
                        <w:tcW w:w="749" w:type="dxa"/>
                      </w:tcPr>
                      <w:p>
                        <w:pPr>
                          <w:pStyle w:val="TableParagraph"/>
                          <w:spacing w:before="4"/>
                          <w:ind w:left="178" w:right="194"/>
                          <w:jc w:val="center"/>
                          <w:rPr>
                            <w:sz w:val="13"/>
                          </w:rPr>
                        </w:pPr>
                        <w:r>
                          <w:rPr>
                            <w:sz w:val="13"/>
                          </w:rPr>
                          <w:t>27</w:t>
                        </w:r>
                      </w:p>
                    </w:tc>
                    <w:tc>
                      <w:tcPr>
                        <w:tcW w:w="823" w:type="dxa"/>
                      </w:tcPr>
                      <w:p>
                        <w:pPr>
                          <w:pStyle w:val="TableParagraph"/>
                          <w:spacing w:before="4"/>
                          <w:ind w:left="318"/>
                          <w:rPr>
                            <w:sz w:val="13"/>
                          </w:rPr>
                        </w:pPr>
                        <w:r>
                          <w:rPr>
                            <w:sz w:val="13"/>
                          </w:rPr>
                          <w:t>28</w:t>
                        </w:r>
                      </w:p>
                    </w:tc>
                    <w:tc>
                      <w:tcPr>
                        <w:tcW w:w="945" w:type="dxa"/>
                      </w:tcPr>
                      <w:p>
                        <w:pPr>
                          <w:pStyle w:val="TableParagraph"/>
                          <w:spacing w:before="4"/>
                          <w:ind w:left="412"/>
                          <w:rPr>
                            <w:sz w:val="13"/>
                          </w:rPr>
                        </w:pPr>
                        <w:r>
                          <w:rPr>
                            <w:w w:val="99"/>
                            <w:sz w:val="13"/>
                          </w:rPr>
                          <w:t>-</w:t>
                        </w:r>
                      </w:p>
                    </w:tc>
                  </w:tr>
                  <w:tr>
                    <w:trPr>
                      <w:trHeight w:val="209" w:hRule="exact"/>
                    </w:trPr>
                    <w:tc>
                      <w:tcPr>
                        <w:tcW w:w="676" w:type="dxa"/>
                      </w:tcPr>
                      <w:p>
                        <w:pPr/>
                      </w:p>
                    </w:tc>
                    <w:tc>
                      <w:tcPr>
                        <w:tcW w:w="552" w:type="dxa"/>
                      </w:tcPr>
                      <w:p>
                        <w:pPr>
                          <w:pStyle w:val="TableParagraph"/>
                          <w:spacing w:before="19"/>
                          <w:ind w:left="108"/>
                          <w:rPr>
                            <w:sz w:val="14"/>
                          </w:rPr>
                        </w:pPr>
                        <w:r>
                          <w:rPr>
                            <w:sz w:val="14"/>
                          </w:rPr>
                          <w:t>BV2</w:t>
                        </w:r>
                      </w:p>
                    </w:tc>
                    <w:tc>
                      <w:tcPr>
                        <w:tcW w:w="675" w:type="dxa"/>
                      </w:tcPr>
                      <w:p>
                        <w:pPr>
                          <w:pStyle w:val="TableParagraph"/>
                          <w:spacing w:before="18"/>
                          <w:ind w:left="322"/>
                          <w:rPr>
                            <w:sz w:val="13"/>
                          </w:rPr>
                        </w:pPr>
                        <w:r>
                          <w:rPr>
                            <w:w w:val="99"/>
                            <w:sz w:val="13"/>
                          </w:rPr>
                          <w:t>-</w:t>
                        </w:r>
                      </w:p>
                    </w:tc>
                    <w:tc>
                      <w:tcPr>
                        <w:tcW w:w="694" w:type="dxa"/>
                      </w:tcPr>
                      <w:p>
                        <w:pPr>
                          <w:pStyle w:val="TableParagraph"/>
                          <w:spacing w:before="18"/>
                          <w:ind w:right="30"/>
                          <w:jc w:val="center"/>
                          <w:rPr>
                            <w:sz w:val="13"/>
                          </w:rPr>
                        </w:pPr>
                        <w:r>
                          <w:rPr>
                            <w:w w:val="99"/>
                            <w:sz w:val="13"/>
                          </w:rPr>
                          <w:t>-</w:t>
                        </w:r>
                      </w:p>
                    </w:tc>
                    <w:tc>
                      <w:tcPr>
                        <w:tcW w:w="749" w:type="dxa"/>
                      </w:tcPr>
                      <w:p>
                        <w:pPr>
                          <w:pStyle w:val="TableParagraph"/>
                          <w:spacing w:before="18"/>
                          <w:ind w:left="178" w:right="194"/>
                          <w:jc w:val="center"/>
                          <w:rPr>
                            <w:sz w:val="13"/>
                          </w:rPr>
                        </w:pPr>
                        <w:r>
                          <w:rPr>
                            <w:sz w:val="13"/>
                          </w:rPr>
                          <w:t>28</w:t>
                        </w:r>
                      </w:p>
                    </w:tc>
                    <w:tc>
                      <w:tcPr>
                        <w:tcW w:w="823" w:type="dxa"/>
                      </w:tcPr>
                      <w:p>
                        <w:pPr>
                          <w:pStyle w:val="TableParagraph"/>
                          <w:spacing w:before="18"/>
                          <w:ind w:left="318"/>
                          <w:rPr>
                            <w:sz w:val="13"/>
                          </w:rPr>
                        </w:pPr>
                        <w:r>
                          <w:rPr>
                            <w:sz w:val="13"/>
                          </w:rPr>
                          <w:t>28</w:t>
                        </w:r>
                      </w:p>
                    </w:tc>
                    <w:tc>
                      <w:tcPr>
                        <w:tcW w:w="945" w:type="dxa"/>
                      </w:tcPr>
                      <w:p>
                        <w:pPr>
                          <w:pStyle w:val="TableParagraph"/>
                          <w:spacing w:before="18"/>
                          <w:ind w:left="412"/>
                          <w:rPr>
                            <w:sz w:val="13"/>
                          </w:rPr>
                        </w:pPr>
                        <w:r>
                          <w:rPr>
                            <w:w w:val="99"/>
                            <w:sz w:val="13"/>
                          </w:rPr>
                          <w:t>-</w:t>
                        </w:r>
                      </w:p>
                    </w:tc>
                  </w:tr>
                  <w:tr>
                    <w:trPr>
                      <w:trHeight w:val="205" w:hRule="exact"/>
                    </w:trPr>
                    <w:tc>
                      <w:tcPr>
                        <w:tcW w:w="676" w:type="dxa"/>
                      </w:tcPr>
                      <w:p>
                        <w:pPr/>
                      </w:p>
                    </w:tc>
                    <w:tc>
                      <w:tcPr>
                        <w:tcW w:w="552" w:type="dxa"/>
                      </w:tcPr>
                      <w:p>
                        <w:pPr>
                          <w:pStyle w:val="TableParagraph"/>
                          <w:spacing w:before="15"/>
                          <w:ind w:left="124"/>
                          <w:rPr>
                            <w:sz w:val="14"/>
                          </w:rPr>
                        </w:pPr>
                        <w:r>
                          <w:rPr>
                            <w:sz w:val="14"/>
                          </w:rPr>
                          <w:t>LP4</w:t>
                        </w:r>
                      </w:p>
                    </w:tc>
                    <w:tc>
                      <w:tcPr>
                        <w:tcW w:w="675" w:type="dxa"/>
                      </w:tcPr>
                      <w:p>
                        <w:pPr>
                          <w:pStyle w:val="TableParagraph"/>
                          <w:spacing w:before="14"/>
                          <w:ind w:left="322"/>
                          <w:rPr>
                            <w:sz w:val="13"/>
                          </w:rPr>
                        </w:pPr>
                        <w:r>
                          <w:rPr>
                            <w:w w:val="99"/>
                            <w:sz w:val="13"/>
                          </w:rPr>
                          <w:t>-</w:t>
                        </w:r>
                      </w:p>
                    </w:tc>
                    <w:tc>
                      <w:tcPr>
                        <w:tcW w:w="694" w:type="dxa"/>
                      </w:tcPr>
                      <w:p>
                        <w:pPr>
                          <w:pStyle w:val="TableParagraph"/>
                          <w:spacing w:before="14"/>
                          <w:ind w:right="30"/>
                          <w:jc w:val="center"/>
                          <w:rPr>
                            <w:sz w:val="13"/>
                          </w:rPr>
                        </w:pPr>
                        <w:r>
                          <w:rPr>
                            <w:w w:val="99"/>
                            <w:sz w:val="13"/>
                          </w:rPr>
                          <w:t>-</w:t>
                        </w:r>
                      </w:p>
                    </w:tc>
                    <w:tc>
                      <w:tcPr>
                        <w:tcW w:w="749" w:type="dxa"/>
                      </w:tcPr>
                      <w:p>
                        <w:pPr>
                          <w:pStyle w:val="TableParagraph"/>
                          <w:spacing w:before="14"/>
                          <w:ind w:left="178" w:right="194"/>
                          <w:jc w:val="center"/>
                          <w:rPr>
                            <w:sz w:val="13"/>
                          </w:rPr>
                        </w:pPr>
                        <w:r>
                          <w:rPr>
                            <w:sz w:val="13"/>
                          </w:rPr>
                          <w:t>30</w:t>
                        </w:r>
                      </w:p>
                    </w:tc>
                    <w:tc>
                      <w:tcPr>
                        <w:tcW w:w="823" w:type="dxa"/>
                      </w:tcPr>
                      <w:p>
                        <w:pPr>
                          <w:pStyle w:val="TableParagraph"/>
                          <w:spacing w:before="14"/>
                          <w:ind w:left="318"/>
                          <w:rPr>
                            <w:sz w:val="13"/>
                          </w:rPr>
                        </w:pPr>
                        <w:r>
                          <w:rPr>
                            <w:sz w:val="13"/>
                          </w:rPr>
                          <w:t>27</w:t>
                        </w:r>
                      </w:p>
                    </w:tc>
                    <w:tc>
                      <w:tcPr>
                        <w:tcW w:w="945" w:type="dxa"/>
                      </w:tcPr>
                      <w:p>
                        <w:pPr>
                          <w:pStyle w:val="TableParagraph"/>
                          <w:spacing w:before="14"/>
                          <w:ind w:left="412"/>
                          <w:rPr>
                            <w:sz w:val="13"/>
                          </w:rPr>
                        </w:pPr>
                        <w:r>
                          <w:rPr>
                            <w:w w:val="99"/>
                            <w:sz w:val="13"/>
                          </w:rPr>
                          <w:t>-</w:t>
                        </w:r>
                      </w:p>
                    </w:tc>
                  </w:tr>
                  <w:tr>
                    <w:trPr>
                      <w:trHeight w:val="207" w:hRule="exact"/>
                    </w:trPr>
                    <w:tc>
                      <w:tcPr>
                        <w:tcW w:w="676" w:type="dxa"/>
                      </w:tcPr>
                      <w:p>
                        <w:pPr/>
                      </w:p>
                    </w:tc>
                    <w:tc>
                      <w:tcPr>
                        <w:tcW w:w="552" w:type="dxa"/>
                      </w:tcPr>
                      <w:p>
                        <w:pPr>
                          <w:pStyle w:val="TableParagraph"/>
                          <w:spacing w:before="15"/>
                          <w:ind w:left="124"/>
                          <w:rPr>
                            <w:sz w:val="14"/>
                          </w:rPr>
                        </w:pPr>
                        <w:r>
                          <w:rPr>
                            <w:sz w:val="14"/>
                          </w:rPr>
                          <w:t>LP3</w:t>
                        </w:r>
                      </w:p>
                    </w:tc>
                    <w:tc>
                      <w:tcPr>
                        <w:tcW w:w="675" w:type="dxa"/>
                      </w:tcPr>
                      <w:p>
                        <w:pPr>
                          <w:pStyle w:val="TableParagraph"/>
                          <w:spacing w:before="14"/>
                          <w:ind w:left="322"/>
                          <w:rPr>
                            <w:sz w:val="13"/>
                          </w:rPr>
                        </w:pPr>
                        <w:r>
                          <w:rPr>
                            <w:w w:val="99"/>
                            <w:sz w:val="13"/>
                          </w:rPr>
                          <w:t>-</w:t>
                        </w:r>
                      </w:p>
                    </w:tc>
                    <w:tc>
                      <w:tcPr>
                        <w:tcW w:w="694" w:type="dxa"/>
                      </w:tcPr>
                      <w:p>
                        <w:pPr>
                          <w:pStyle w:val="TableParagraph"/>
                          <w:spacing w:before="14"/>
                          <w:ind w:right="30"/>
                          <w:jc w:val="center"/>
                          <w:rPr>
                            <w:sz w:val="13"/>
                          </w:rPr>
                        </w:pPr>
                        <w:r>
                          <w:rPr>
                            <w:w w:val="99"/>
                            <w:sz w:val="13"/>
                          </w:rPr>
                          <w:t>-</w:t>
                        </w:r>
                      </w:p>
                    </w:tc>
                    <w:tc>
                      <w:tcPr>
                        <w:tcW w:w="749" w:type="dxa"/>
                      </w:tcPr>
                      <w:p>
                        <w:pPr>
                          <w:pStyle w:val="TableParagraph"/>
                          <w:spacing w:before="14"/>
                          <w:ind w:left="178" w:right="194"/>
                          <w:jc w:val="center"/>
                          <w:rPr>
                            <w:sz w:val="13"/>
                          </w:rPr>
                        </w:pPr>
                        <w:r>
                          <w:rPr>
                            <w:sz w:val="13"/>
                          </w:rPr>
                          <w:t>28</w:t>
                        </w:r>
                      </w:p>
                    </w:tc>
                    <w:tc>
                      <w:tcPr>
                        <w:tcW w:w="823" w:type="dxa"/>
                      </w:tcPr>
                      <w:p>
                        <w:pPr>
                          <w:pStyle w:val="TableParagraph"/>
                          <w:spacing w:before="14"/>
                          <w:ind w:left="318"/>
                          <w:rPr>
                            <w:sz w:val="13"/>
                          </w:rPr>
                        </w:pPr>
                        <w:r>
                          <w:rPr>
                            <w:sz w:val="13"/>
                          </w:rPr>
                          <w:t>27</w:t>
                        </w:r>
                      </w:p>
                    </w:tc>
                    <w:tc>
                      <w:tcPr>
                        <w:tcW w:w="945" w:type="dxa"/>
                      </w:tcPr>
                      <w:p>
                        <w:pPr>
                          <w:pStyle w:val="TableParagraph"/>
                          <w:spacing w:before="14"/>
                          <w:ind w:left="412"/>
                          <w:rPr>
                            <w:sz w:val="13"/>
                          </w:rPr>
                        </w:pPr>
                        <w:r>
                          <w:rPr>
                            <w:w w:val="99"/>
                            <w:sz w:val="13"/>
                          </w:rPr>
                          <w:t>-</w:t>
                        </w:r>
                      </w:p>
                    </w:tc>
                  </w:tr>
                  <w:tr>
                    <w:trPr>
                      <w:trHeight w:val="207" w:hRule="exact"/>
                    </w:trPr>
                    <w:tc>
                      <w:tcPr>
                        <w:tcW w:w="676" w:type="dxa"/>
                      </w:tcPr>
                      <w:p>
                        <w:pPr/>
                      </w:p>
                    </w:tc>
                    <w:tc>
                      <w:tcPr>
                        <w:tcW w:w="552" w:type="dxa"/>
                      </w:tcPr>
                      <w:p>
                        <w:pPr>
                          <w:pStyle w:val="TableParagraph"/>
                          <w:spacing w:before="17"/>
                          <w:ind w:left="112"/>
                          <w:rPr>
                            <w:sz w:val="14"/>
                          </w:rPr>
                        </w:pPr>
                        <w:r>
                          <w:rPr>
                            <w:sz w:val="14"/>
                          </w:rPr>
                          <w:t>RR2</w:t>
                        </w:r>
                      </w:p>
                    </w:tc>
                    <w:tc>
                      <w:tcPr>
                        <w:tcW w:w="675" w:type="dxa"/>
                      </w:tcPr>
                      <w:p>
                        <w:pPr>
                          <w:pStyle w:val="TableParagraph"/>
                          <w:spacing w:before="16"/>
                          <w:ind w:left="322"/>
                          <w:rPr>
                            <w:sz w:val="13"/>
                          </w:rPr>
                        </w:pPr>
                        <w:r>
                          <w:rPr>
                            <w:w w:val="99"/>
                            <w:sz w:val="13"/>
                          </w:rPr>
                          <w:t>-</w:t>
                        </w:r>
                      </w:p>
                    </w:tc>
                    <w:tc>
                      <w:tcPr>
                        <w:tcW w:w="694" w:type="dxa"/>
                      </w:tcPr>
                      <w:p>
                        <w:pPr>
                          <w:pStyle w:val="TableParagraph"/>
                          <w:spacing w:before="16"/>
                          <w:ind w:right="30"/>
                          <w:jc w:val="center"/>
                          <w:rPr>
                            <w:sz w:val="13"/>
                          </w:rPr>
                        </w:pPr>
                        <w:r>
                          <w:rPr>
                            <w:w w:val="99"/>
                            <w:sz w:val="13"/>
                          </w:rPr>
                          <w:t>-</w:t>
                        </w:r>
                      </w:p>
                    </w:tc>
                    <w:tc>
                      <w:tcPr>
                        <w:tcW w:w="749" w:type="dxa"/>
                      </w:tcPr>
                      <w:p>
                        <w:pPr>
                          <w:pStyle w:val="TableParagraph"/>
                          <w:spacing w:before="16"/>
                          <w:ind w:left="178" w:right="194"/>
                          <w:jc w:val="center"/>
                          <w:rPr>
                            <w:sz w:val="13"/>
                          </w:rPr>
                        </w:pPr>
                        <w:r>
                          <w:rPr>
                            <w:sz w:val="13"/>
                          </w:rPr>
                          <w:t>25</w:t>
                        </w:r>
                      </w:p>
                    </w:tc>
                    <w:tc>
                      <w:tcPr>
                        <w:tcW w:w="823" w:type="dxa"/>
                      </w:tcPr>
                      <w:p>
                        <w:pPr>
                          <w:pStyle w:val="TableParagraph"/>
                          <w:spacing w:before="16"/>
                          <w:ind w:left="318"/>
                          <w:rPr>
                            <w:sz w:val="13"/>
                          </w:rPr>
                        </w:pPr>
                        <w:r>
                          <w:rPr>
                            <w:sz w:val="13"/>
                          </w:rPr>
                          <w:t>26</w:t>
                        </w:r>
                      </w:p>
                    </w:tc>
                    <w:tc>
                      <w:tcPr>
                        <w:tcW w:w="945" w:type="dxa"/>
                      </w:tcPr>
                      <w:p>
                        <w:pPr>
                          <w:pStyle w:val="TableParagraph"/>
                          <w:spacing w:before="16"/>
                          <w:ind w:left="412"/>
                          <w:rPr>
                            <w:sz w:val="13"/>
                          </w:rPr>
                        </w:pPr>
                        <w:r>
                          <w:rPr>
                            <w:w w:val="99"/>
                            <w:sz w:val="13"/>
                          </w:rPr>
                          <w:t>-</w:t>
                        </w:r>
                      </w:p>
                    </w:tc>
                  </w:tr>
                  <w:tr>
                    <w:trPr>
                      <w:trHeight w:val="205" w:hRule="exact"/>
                    </w:trPr>
                    <w:tc>
                      <w:tcPr>
                        <w:tcW w:w="676" w:type="dxa"/>
                      </w:tcPr>
                      <w:p>
                        <w:pPr/>
                      </w:p>
                    </w:tc>
                    <w:tc>
                      <w:tcPr>
                        <w:tcW w:w="552" w:type="dxa"/>
                      </w:tcPr>
                      <w:p>
                        <w:pPr>
                          <w:pStyle w:val="TableParagraph"/>
                          <w:spacing w:before="15"/>
                          <w:ind w:left="79"/>
                          <w:rPr>
                            <w:sz w:val="14"/>
                          </w:rPr>
                        </w:pPr>
                        <w:r>
                          <w:rPr>
                            <w:sz w:val="14"/>
                          </w:rPr>
                          <w:t>LPT4</w:t>
                        </w:r>
                      </w:p>
                    </w:tc>
                    <w:tc>
                      <w:tcPr>
                        <w:tcW w:w="675" w:type="dxa"/>
                      </w:tcPr>
                      <w:p>
                        <w:pPr>
                          <w:pStyle w:val="TableParagraph"/>
                          <w:spacing w:before="14"/>
                          <w:ind w:left="322"/>
                          <w:rPr>
                            <w:sz w:val="13"/>
                          </w:rPr>
                        </w:pPr>
                        <w:r>
                          <w:rPr>
                            <w:w w:val="99"/>
                            <w:sz w:val="13"/>
                          </w:rPr>
                          <w:t>-</w:t>
                        </w:r>
                      </w:p>
                    </w:tc>
                    <w:tc>
                      <w:tcPr>
                        <w:tcW w:w="694" w:type="dxa"/>
                      </w:tcPr>
                      <w:p>
                        <w:pPr>
                          <w:pStyle w:val="TableParagraph"/>
                          <w:spacing w:before="14"/>
                          <w:ind w:right="30"/>
                          <w:jc w:val="center"/>
                          <w:rPr>
                            <w:sz w:val="13"/>
                          </w:rPr>
                        </w:pPr>
                        <w:r>
                          <w:rPr>
                            <w:w w:val="99"/>
                            <w:sz w:val="13"/>
                          </w:rPr>
                          <w:t>-</w:t>
                        </w:r>
                      </w:p>
                    </w:tc>
                    <w:tc>
                      <w:tcPr>
                        <w:tcW w:w="749" w:type="dxa"/>
                      </w:tcPr>
                      <w:p>
                        <w:pPr>
                          <w:pStyle w:val="TableParagraph"/>
                          <w:spacing w:before="14"/>
                          <w:ind w:left="178" w:right="194"/>
                          <w:jc w:val="center"/>
                          <w:rPr>
                            <w:sz w:val="13"/>
                          </w:rPr>
                        </w:pPr>
                        <w:r>
                          <w:rPr>
                            <w:sz w:val="13"/>
                          </w:rPr>
                          <w:t>26</w:t>
                        </w:r>
                      </w:p>
                    </w:tc>
                    <w:tc>
                      <w:tcPr>
                        <w:tcW w:w="823" w:type="dxa"/>
                      </w:tcPr>
                      <w:p>
                        <w:pPr>
                          <w:pStyle w:val="TableParagraph"/>
                          <w:spacing w:before="14"/>
                          <w:ind w:left="318"/>
                          <w:rPr>
                            <w:sz w:val="13"/>
                          </w:rPr>
                        </w:pPr>
                        <w:r>
                          <w:rPr>
                            <w:sz w:val="13"/>
                          </w:rPr>
                          <w:t>27</w:t>
                        </w:r>
                      </w:p>
                    </w:tc>
                    <w:tc>
                      <w:tcPr>
                        <w:tcW w:w="945" w:type="dxa"/>
                      </w:tcPr>
                      <w:p>
                        <w:pPr>
                          <w:pStyle w:val="TableParagraph"/>
                          <w:spacing w:before="14"/>
                          <w:ind w:left="412"/>
                          <w:rPr>
                            <w:sz w:val="13"/>
                          </w:rPr>
                        </w:pPr>
                        <w:r>
                          <w:rPr>
                            <w:w w:val="99"/>
                            <w:sz w:val="13"/>
                          </w:rPr>
                          <w:t>-</w:t>
                        </w:r>
                      </w:p>
                    </w:tc>
                  </w:tr>
                  <w:tr>
                    <w:trPr>
                      <w:trHeight w:val="205" w:hRule="exact"/>
                    </w:trPr>
                    <w:tc>
                      <w:tcPr>
                        <w:tcW w:w="676" w:type="dxa"/>
                      </w:tcPr>
                      <w:p>
                        <w:pPr/>
                      </w:p>
                    </w:tc>
                    <w:tc>
                      <w:tcPr>
                        <w:tcW w:w="552" w:type="dxa"/>
                      </w:tcPr>
                      <w:p>
                        <w:pPr>
                          <w:pStyle w:val="TableParagraph"/>
                          <w:spacing w:before="15"/>
                          <w:ind w:left="124"/>
                          <w:rPr>
                            <w:sz w:val="14"/>
                          </w:rPr>
                        </w:pPr>
                        <w:r>
                          <w:rPr>
                            <w:sz w:val="14"/>
                          </w:rPr>
                          <w:t>LP1</w:t>
                        </w:r>
                      </w:p>
                    </w:tc>
                    <w:tc>
                      <w:tcPr>
                        <w:tcW w:w="675" w:type="dxa"/>
                      </w:tcPr>
                      <w:p>
                        <w:pPr>
                          <w:pStyle w:val="TableParagraph"/>
                          <w:spacing w:before="14"/>
                          <w:ind w:left="322"/>
                          <w:rPr>
                            <w:sz w:val="13"/>
                          </w:rPr>
                        </w:pPr>
                        <w:r>
                          <w:rPr>
                            <w:w w:val="99"/>
                            <w:sz w:val="13"/>
                          </w:rPr>
                          <w:t>-</w:t>
                        </w:r>
                      </w:p>
                    </w:tc>
                    <w:tc>
                      <w:tcPr>
                        <w:tcW w:w="694" w:type="dxa"/>
                      </w:tcPr>
                      <w:p>
                        <w:pPr>
                          <w:pStyle w:val="TableParagraph"/>
                          <w:spacing w:before="14"/>
                          <w:ind w:right="30"/>
                          <w:jc w:val="center"/>
                          <w:rPr>
                            <w:sz w:val="13"/>
                          </w:rPr>
                        </w:pPr>
                        <w:r>
                          <w:rPr>
                            <w:w w:val="99"/>
                            <w:sz w:val="13"/>
                          </w:rPr>
                          <w:t>-</w:t>
                        </w:r>
                      </w:p>
                    </w:tc>
                    <w:tc>
                      <w:tcPr>
                        <w:tcW w:w="749" w:type="dxa"/>
                      </w:tcPr>
                      <w:p>
                        <w:pPr>
                          <w:pStyle w:val="TableParagraph"/>
                          <w:spacing w:before="14"/>
                          <w:ind w:left="178" w:right="194"/>
                          <w:jc w:val="center"/>
                          <w:rPr>
                            <w:sz w:val="13"/>
                          </w:rPr>
                        </w:pPr>
                        <w:r>
                          <w:rPr>
                            <w:sz w:val="13"/>
                          </w:rPr>
                          <w:t>27</w:t>
                        </w:r>
                      </w:p>
                    </w:tc>
                    <w:tc>
                      <w:tcPr>
                        <w:tcW w:w="823" w:type="dxa"/>
                      </w:tcPr>
                      <w:p>
                        <w:pPr>
                          <w:pStyle w:val="TableParagraph"/>
                          <w:spacing w:before="14"/>
                          <w:ind w:left="318"/>
                          <w:rPr>
                            <w:sz w:val="13"/>
                          </w:rPr>
                        </w:pPr>
                        <w:r>
                          <w:rPr>
                            <w:sz w:val="13"/>
                          </w:rPr>
                          <w:t>26</w:t>
                        </w:r>
                      </w:p>
                    </w:tc>
                    <w:tc>
                      <w:tcPr>
                        <w:tcW w:w="945" w:type="dxa"/>
                      </w:tcPr>
                      <w:p>
                        <w:pPr>
                          <w:pStyle w:val="TableParagraph"/>
                          <w:spacing w:before="14"/>
                          <w:ind w:left="412"/>
                          <w:rPr>
                            <w:sz w:val="13"/>
                          </w:rPr>
                        </w:pPr>
                        <w:r>
                          <w:rPr>
                            <w:w w:val="99"/>
                            <w:sz w:val="13"/>
                          </w:rPr>
                          <w:t>-</w:t>
                        </w:r>
                      </w:p>
                    </w:tc>
                  </w:tr>
                  <w:tr>
                    <w:trPr>
                      <w:trHeight w:val="205" w:hRule="exact"/>
                    </w:trPr>
                    <w:tc>
                      <w:tcPr>
                        <w:tcW w:w="676" w:type="dxa"/>
                      </w:tcPr>
                      <w:p>
                        <w:pPr/>
                      </w:p>
                    </w:tc>
                    <w:tc>
                      <w:tcPr>
                        <w:tcW w:w="552" w:type="dxa"/>
                      </w:tcPr>
                      <w:p>
                        <w:pPr>
                          <w:pStyle w:val="TableParagraph"/>
                          <w:spacing w:before="15"/>
                          <w:ind w:left="108"/>
                          <w:rPr>
                            <w:sz w:val="14"/>
                          </w:rPr>
                        </w:pPr>
                        <w:r>
                          <w:rPr>
                            <w:sz w:val="14"/>
                          </w:rPr>
                          <w:t>BV1</w:t>
                        </w:r>
                      </w:p>
                    </w:tc>
                    <w:tc>
                      <w:tcPr>
                        <w:tcW w:w="675" w:type="dxa"/>
                      </w:tcPr>
                      <w:p>
                        <w:pPr>
                          <w:pStyle w:val="TableParagraph"/>
                          <w:spacing w:before="14"/>
                          <w:ind w:left="322"/>
                          <w:rPr>
                            <w:sz w:val="13"/>
                          </w:rPr>
                        </w:pPr>
                        <w:r>
                          <w:rPr>
                            <w:w w:val="99"/>
                            <w:sz w:val="13"/>
                          </w:rPr>
                          <w:t>-</w:t>
                        </w:r>
                      </w:p>
                    </w:tc>
                    <w:tc>
                      <w:tcPr>
                        <w:tcW w:w="694" w:type="dxa"/>
                      </w:tcPr>
                      <w:p>
                        <w:pPr>
                          <w:pStyle w:val="TableParagraph"/>
                          <w:spacing w:before="14"/>
                          <w:ind w:right="30"/>
                          <w:jc w:val="center"/>
                          <w:rPr>
                            <w:sz w:val="13"/>
                          </w:rPr>
                        </w:pPr>
                        <w:r>
                          <w:rPr>
                            <w:w w:val="99"/>
                            <w:sz w:val="13"/>
                          </w:rPr>
                          <w:t>-</w:t>
                        </w:r>
                      </w:p>
                    </w:tc>
                    <w:tc>
                      <w:tcPr>
                        <w:tcW w:w="749" w:type="dxa"/>
                      </w:tcPr>
                      <w:p>
                        <w:pPr>
                          <w:pStyle w:val="TableParagraph"/>
                          <w:spacing w:before="14"/>
                          <w:ind w:left="178" w:right="194"/>
                          <w:jc w:val="center"/>
                          <w:rPr>
                            <w:sz w:val="13"/>
                          </w:rPr>
                        </w:pPr>
                        <w:r>
                          <w:rPr>
                            <w:sz w:val="13"/>
                          </w:rPr>
                          <w:t>28</w:t>
                        </w:r>
                      </w:p>
                    </w:tc>
                    <w:tc>
                      <w:tcPr>
                        <w:tcW w:w="823" w:type="dxa"/>
                      </w:tcPr>
                      <w:p>
                        <w:pPr>
                          <w:pStyle w:val="TableParagraph"/>
                          <w:spacing w:before="14"/>
                          <w:ind w:left="318"/>
                          <w:rPr>
                            <w:sz w:val="13"/>
                          </w:rPr>
                        </w:pPr>
                        <w:r>
                          <w:rPr>
                            <w:sz w:val="13"/>
                          </w:rPr>
                          <w:t>27</w:t>
                        </w:r>
                      </w:p>
                    </w:tc>
                    <w:tc>
                      <w:tcPr>
                        <w:tcW w:w="945" w:type="dxa"/>
                      </w:tcPr>
                      <w:p>
                        <w:pPr>
                          <w:pStyle w:val="TableParagraph"/>
                          <w:spacing w:before="14"/>
                          <w:ind w:left="412"/>
                          <w:rPr>
                            <w:sz w:val="13"/>
                          </w:rPr>
                        </w:pPr>
                        <w:r>
                          <w:rPr>
                            <w:w w:val="99"/>
                            <w:sz w:val="13"/>
                          </w:rPr>
                          <w:t>-</w:t>
                        </w:r>
                      </w:p>
                    </w:tc>
                  </w:tr>
                  <w:tr>
                    <w:trPr>
                      <w:trHeight w:val="415" w:hRule="exact"/>
                    </w:trPr>
                    <w:tc>
                      <w:tcPr>
                        <w:tcW w:w="676" w:type="dxa"/>
                      </w:tcPr>
                      <w:p>
                        <w:pPr>
                          <w:pStyle w:val="TableParagraph"/>
                          <w:spacing w:before="8"/>
                          <w:rPr>
                            <w:rFonts w:ascii="Cambria"/>
                            <w:sz w:val="18"/>
                          </w:rPr>
                        </w:pPr>
                      </w:p>
                      <w:p>
                        <w:pPr>
                          <w:pStyle w:val="TableParagraph"/>
                          <w:ind w:right="14"/>
                          <w:jc w:val="right"/>
                          <w:rPr>
                            <w:rFonts w:ascii="Cambria Math"/>
                            <w:sz w:val="15"/>
                          </w:rPr>
                        </w:pPr>
                        <w:r>
                          <w:rPr>
                            <w:rFonts w:ascii="Cambria Math"/>
                            <w:w w:val="210"/>
                            <w:sz w:val="15"/>
                          </w:rPr>
                          <w:t>!</w:t>
                        </w:r>
                      </w:p>
                    </w:tc>
                    <w:tc>
                      <w:tcPr>
                        <w:tcW w:w="552" w:type="dxa"/>
                      </w:tcPr>
                      <w:p>
                        <w:pPr>
                          <w:pStyle w:val="TableParagraph"/>
                          <w:spacing w:before="15"/>
                          <w:ind w:right="125"/>
                          <w:jc w:val="right"/>
                          <w:rPr>
                            <w:sz w:val="14"/>
                          </w:rPr>
                        </w:pPr>
                        <w:r>
                          <w:rPr>
                            <w:sz w:val="14"/>
                          </w:rPr>
                          <w:t>BVT2</w:t>
                        </w:r>
                      </w:p>
                    </w:tc>
                    <w:tc>
                      <w:tcPr>
                        <w:tcW w:w="675" w:type="dxa"/>
                      </w:tcPr>
                      <w:p>
                        <w:pPr>
                          <w:pStyle w:val="TableParagraph"/>
                          <w:spacing w:before="14"/>
                          <w:ind w:left="322"/>
                          <w:rPr>
                            <w:sz w:val="13"/>
                          </w:rPr>
                        </w:pPr>
                        <w:r>
                          <w:rPr>
                            <w:w w:val="99"/>
                            <w:sz w:val="13"/>
                          </w:rPr>
                          <w:t>-</w:t>
                        </w:r>
                      </w:p>
                    </w:tc>
                    <w:tc>
                      <w:tcPr>
                        <w:tcW w:w="694" w:type="dxa"/>
                      </w:tcPr>
                      <w:p>
                        <w:pPr>
                          <w:pStyle w:val="TableParagraph"/>
                          <w:spacing w:before="14"/>
                          <w:ind w:right="30"/>
                          <w:jc w:val="center"/>
                          <w:rPr>
                            <w:sz w:val="13"/>
                          </w:rPr>
                        </w:pPr>
                        <w:r>
                          <w:rPr>
                            <w:w w:val="99"/>
                            <w:sz w:val="13"/>
                          </w:rPr>
                          <w:t>-</w:t>
                        </w:r>
                      </w:p>
                    </w:tc>
                    <w:tc>
                      <w:tcPr>
                        <w:tcW w:w="749" w:type="dxa"/>
                      </w:tcPr>
                      <w:p>
                        <w:pPr>
                          <w:pStyle w:val="TableParagraph"/>
                          <w:spacing w:before="14"/>
                          <w:ind w:left="178" w:right="194"/>
                          <w:jc w:val="center"/>
                          <w:rPr>
                            <w:sz w:val="13"/>
                          </w:rPr>
                        </w:pPr>
                        <w:r>
                          <w:rPr>
                            <w:sz w:val="13"/>
                          </w:rPr>
                          <w:t>29</w:t>
                        </w:r>
                      </w:p>
                      <w:p>
                        <w:pPr>
                          <w:pStyle w:val="TableParagraph"/>
                          <w:spacing w:before="35"/>
                          <w:ind w:left="178" w:right="194"/>
                          <w:jc w:val="center"/>
                          <w:rPr>
                            <w:b/>
                            <w:sz w:val="8"/>
                          </w:rPr>
                        </w:pPr>
                        <w:r>
                          <w:rPr>
                            <w:b/>
                            <w:sz w:val="13"/>
                          </w:rPr>
                          <w:t>27.55</w:t>
                        </w:r>
                        <w:r>
                          <w:rPr>
                            <w:b/>
                            <w:position w:val="6"/>
                            <w:sz w:val="8"/>
                          </w:rPr>
                          <w:t>c</w:t>
                        </w:r>
                      </w:p>
                    </w:tc>
                    <w:tc>
                      <w:tcPr>
                        <w:tcW w:w="823" w:type="dxa"/>
                      </w:tcPr>
                      <w:p>
                        <w:pPr>
                          <w:pStyle w:val="TableParagraph"/>
                          <w:spacing w:before="14"/>
                          <w:ind w:left="196" w:right="249"/>
                          <w:jc w:val="center"/>
                          <w:rPr>
                            <w:sz w:val="13"/>
                          </w:rPr>
                        </w:pPr>
                        <w:r>
                          <w:rPr>
                            <w:sz w:val="13"/>
                          </w:rPr>
                          <w:t>29</w:t>
                        </w:r>
                      </w:p>
                      <w:p>
                        <w:pPr>
                          <w:pStyle w:val="TableParagraph"/>
                          <w:spacing w:before="35"/>
                          <w:ind w:left="196" w:right="249"/>
                          <w:jc w:val="center"/>
                          <w:rPr>
                            <w:b/>
                            <w:sz w:val="8"/>
                          </w:rPr>
                        </w:pPr>
                        <w:r>
                          <w:rPr>
                            <w:b/>
                            <w:sz w:val="13"/>
                          </w:rPr>
                          <w:t>27.22</w:t>
                        </w:r>
                        <w:r>
                          <w:rPr>
                            <w:b/>
                            <w:position w:val="6"/>
                            <w:sz w:val="8"/>
                          </w:rPr>
                          <w:t>c</w:t>
                        </w:r>
                      </w:p>
                    </w:tc>
                    <w:tc>
                      <w:tcPr>
                        <w:tcW w:w="945" w:type="dxa"/>
                      </w:tcPr>
                      <w:p>
                        <w:pPr>
                          <w:pStyle w:val="TableParagraph"/>
                          <w:spacing w:before="14"/>
                          <w:ind w:left="412"/>
                          <w:rPr>
                            <w:sz w:val="13"/>
                          </w:rPr>
                        </w:pPr>
                        <w:r>
                          <w:rPr>
                            <w:w w:val="99"/>
                            <w:sz w:val="13"/>
                          </w:rPr>
                          <w:t>-</w:t>
                        </w:r>
                      </w:p>
                    </w:tc>
                  </w:tr>
                  <w:tr>
                    <w:trPr>
                      <w:trHeight w:val="201" w:hRule="exact"/>
                    </w:trPr>
                    <w:tc>
                      <w:tcPr>
                        <w:tcW w:w="676" w:type="dxa"/>
                      </w:tcPr>
                      <w:p>
                        <w:pPr/>
                      </w:p>
                    </w:tc>
                    <w:tc>
                      <w:tcPr>
                        <w:tcW w:w="552" w:type="dxa"/>
                      </w:tcPr>
                      <w:p>
                        <w:pPr>
                          <w:pStyle w:val="TableParagraph"/>
                          <w:spacing w:before="7"/>
                          <w:ind w:left="79"/>
                          <w:rPr>
                            <w:sz w:val="14"/>
                          </w:rPr>
                        </w:pPr>
                        <w:r>
                          <w:rPr>
                            <w:sz w:val="14"/>
                          </w:rPr>
                          <w:t>LPT1</w:t>
                        </w:r>
                      </w:p>
                    </w:tc>
                    <w:tc>
                      <w:tcPr>
                        <w:tcW w:w="675" w:type="dxa"/>
                      </w:tcPr>
                      <w:p>
                        <w:pPr>
                          <w:pStyle w:val="TableParagraph"/>
                          <w:spacing w:before="6"/>
                          <w:ind w:left="278"/>
                          <w:rPr>
                            <w:sz w:val="13"/>
                          </w:rPr>
                        </w:pPr>
                        <w:r>
                          <w:rPr>
                            <w:sz w:val="13"/>
                          </w:rPr>
                          <w:t>28</w:t>
                        </w:r>
                      </w:p>
                    </w:tc>
                    <w:tc>
                      <w:tcPr>
                        <w:tcW w:w="694" w:type="dxa"/>
                      </w:tcPr>
                      <w:p>
                        <w:pPr>
                          <w:pStyle w:val="TableParagraph"/>
                          <w:spacing w:before="6"/>
                          <w:ind w:left="144" w:right="175"/>
                          <w:jc w:val="center"/>
                          <w:rPr>
                            <w:sz w:val="13"/>
                          </w:rPr>
                        </w:pPr>
                        <w:r>
                          <w:rPr>
                            <w:sz w:val="13"/>
                          </w:rPr>
                          <w:t>28</w:t>
                        </w:r>
                      </w:p>
                    </w:tc>
                    <w:tc>
                      <w:tcPr>
                        <w:tcW w:w="749" w:type="dxa"/>
                      </w:tcPr>
                      <w:p>
                        <w:pPr>
                          <w:pStyle w:val="TableParagraph"/>
                          <w:spacing w:before="6"/>
                          <w:ind w:right="17"/>
                          <w:jc w:val="center"/>
                          <w:rPr>
                            <w:sz w:val="13"/>
                          </w:rPr>
                        </w:pPr>
                        <w:r>
                          <w:rPr>
                            <w:w w:val="99"/>
                            <w:sz w:val="13"/>
                          </w:rPr>
                          <w:t>-</w:t>
                        </w:r>
                      </w:p>
                    </w:tc>
                    <w:tc>
                      <w:tcPr>
                        <w:tcW w:w="823" w:type="dxa"/>
                      </w:tcPr>
                      <w:p>
                        <w:pPr>
                          <w:pStyle w:val="TableParagraph"/>
                          <w:spacing w:before="6"/>
                          <w:ind w:left="362"/>
                          <w:rPr>
                            <w:sz w:val="13"/>
                          </w:rPr>
                        </w:pPr>
                        <w:r>
                          <w:rPr>
                            <w:w w:val="99"/>
                            <w:sz w:val="13"/>
                          </w:rPr>
                          <w:t>-</w:t>
                        </w:r>
                      </w:p>
                    </w:tc>
                    <w:tc>
                      <w:tcPr>
                        <w:tcW w:w="945" w:type="dxa"/>
                      </w:tcPr>
                      <w:p>
                        <w:pPr>
                          <w:pStyle w:val="TableParagraph"/>
                          <w:spacing w:before="6"/>
                          <w:ind w:left="412"/>
                          <w:rPr>
                            <w:sz w:val="13"/>
                          </w:rPr>
                        </w:pPr>
                        <w:r>
                          <w:rPr>
                            <w:w w:val="99"/>
                            <w:sz w:val="13"/>
                          </w:rPr>
                          <w:t>-</w:t>
                        </w:r>
                      </w:p>
                    </w:tc>
                  </w:tr>
                  <w:tr>
                    <w:trPr>
                      <w:trHeight w:val="209" w:hRule="exact"/>
                    </w:trPr>
                    <w:tc>
                      <w:tcPr>
                        <w:tcW w:w="676" w:type="dxa"/>
                      </w:tcPr>
                      <w:p>
                        <w:pPr/>
                      </w:p>
                    </w:tc>
                    <w:tc>
                      <w:tcPr>
                        <w:tcW w:w="552" w:type="dxa"/>
                      </w:tcPr>
                      <w:p>
                        <w:pPr>
                          <w:pStyle w:val="TableParagraph"/>
                          <w:spacing w:before="19"/>
                          <w:ind w:left="79"/>
                          <w:rPr>
                            <w:sz w:val="14"/>
                          </w:rPr>
                        </w:pPr>
                        <w:r>
                          <w:rPr>
                            <w:sz w:val="14"/>
                          </w:rPr>
                          <w:t>LPT5</w:t>
                        </w:r>
                      </w:p>
                    </w:tc>
                    <w:tc>
                      <w:tcPr>
                        <w:tcW w:w="675" w:type="dxa"/>
                      </w:tcPr>
                      <w:p>
                        <w:pPr>
                          <w:pStyle w:val="TableParagraph"/>
                          <w:spacing w:before="18"/>
                          <w:ind w:left="278"/>
                          <w:rPr>
                            <w:sz w:val="13"/>
                          </w:rPr>
                        </w:pPr>
                        <w:r>
                          <w:rPr>
                            <w:sz w:val="13"/>
                          </w:rPr>
                          <w:t>28</w:t>
                        </w:r>
                      </w:p>
                    </w:tc>
                    <w:tc>
                      <w:tcPr>
                        <w:tcW w:w="694" w:type="dxa"/>
                      </w:tcPr>
                      <w:p>
                        <w:pPr>
                          <w:pStyle w:val="TableParagraph"/>
                          <w:spacing w:before="18"/>
                          <w:ind w:left="144" w:right="175"/>
                          <w:jc w:val="center"/>
                          <w:rPr>
                            <w:sz w:val="13"/>
                          </w:rPr>
                        </w:pPr>
                        <w:r>
                          <w:rPr>
                            <w:sz w:val="13"/>
                          </w:rPr>
                          <w:t>27</w:t>
                        </w:r>
                      </w:p>
                    </w:tc>
                    <w:tc>
                      <w:tcPr>
                        <w:tcW w:w="749" w:type="dxa"/>
                      </w:tcPr>
                      <w:p>
                        <w:pPr>
                          <w:pStyle w:val="TableParagraph"/>
                          <w:spacing w:before="18"/>
                          <w:ind w:right="17"/>
                          <w:jc w:val="center"/>
                          <w:rPr>
                            <w:sz w:val="13"/>
                          </w:rPr>
                        </w:pPr>
                        <w:r>
                          <w:rPr>
                            <w:w w:val="99"/>
                            <w:sz w:val="13"/>
                          </w:rPr>
                          <w:t>-</w:t>
                        </w:r>
                      </w:p>
                    </w:tc>
                    <w:tc>
                      <w:tcPr>
                        <w:tcW w:w="823" w:type="dxa"/>
                      </w:tcPr>
                      <w:p>
                        <w:pPr>
                          <w:pStyle w:val="TableParagraph"/>
                          <w:spacing w:before="18"/>
                          <w:ind w:left="362"/>
                          <w:rPr>
                            <w:sz w:val="13"/>
                          </w:rPr>
                        </w:pPr>
                        <w:r>
                          <w:rPr>
                            <w:w w:val="99"/>
                            <w:sz w:val="13"/>
                          </w:rPr>
                          <w:t>-</w:t>
                        </w:r>
                      </w:p>
                    </w:tc>
                    <w:tc>
                      <w:tcPr>
                        <w:tcW w:w="945" w:type="dxa"/>
                      </w:tcPr>
                      <w:p>
                        <w:pPr>
                          <w:pStyle w:val="TableParagraph"/>
                          <w:spacing w:before="18"/>
                          <w:ind w:left="412"/>
                          <w:rPr>
                            <w:sz w:val="13"/>
                          </w:rPr>
                        </w:pPr>
                        <w:r>
                          <w:rPr>
                            <w:w w:val="99"/>
                            <w:sz w:val="13"/>
                          </w:rPr>
                          <w:t>-</w:t>
                        </w:r>
                      </w:p>
                    </w:tc>
                  </w:tr>
                  <w:tr>
                    <w:trPr>
                      <w:trHeight w:val="205" w:hRule="exact"/>
                    </w:trPr>
                    <w:tc>
                      <w:tcPr>
                        <w:tcW w:w="676" w:type="dxa"/>
                      </w:tcPr>
                      <w:p>
                        <w:pPr/>
                      </w:p>
                    </w:tc>
                    <w:tc>
                      <w:tcPr>
                        <w:tcW w:w="552" w:type="dxa"/>
                      </w:tcPr>
                      <w:p>
                        <w:pPr>
                          <w:pStyle w:val="TableParagraph"/>
                          <w:spacing w:before="15"/>
                          <w:ind w:right="125"/>
                          <w:jc w:val="right"/>
                          <w:rPr>
                            <w:sz w:val="14"/>
                          </w:rPr>
                        </w:pPr>
                        <w:r>
                          <w:rPr>
                            <w:sz w:val="14"/>
                          </w:rPr>
                          <w:t>BVT3</w:t>
                        </w:r>
                      </w:p>
                    </w:tc>
                    <w:tc>
                      <w:tcPr>
                        <w:tcW w:w="675" w:type="dxa"/>
                      </w:tcPr>
                      <w:p>
                        <w:pPr>
                          <w:pStyle w:val="TableParagraph"/>
                          <w:spacing w:before="14"/>
                          <w:ind w:left="278"/>
                          <w:rPr>
                            <w:sz w:val="13"/>
                          </w:rPr>
                        </w:pPr>
                        <w:r>
                          <w:rPr>
                            <w:sz w:val="13"/>
                          </w:rPr>
                          <w:t>27</w:t>
                        </w:r>
                      </w:p>
                    </w:tc>
                    <w:tc>
                      <w:tcPr>
                        <w:tcW w:w="694" w:type="dxa"/>
                      </w:tcPr>
                      <w:p>
                        <w:pPr>
                          <w:pStyle w:val="TableParagraph"/>
                          <w:spacing w:before="14"/>
                          <w:ind w:left="144" w:right="175"/>
                          <w:jc w:val="center"/>
                          <w:rPr>
                            <w:sz w:val="13"/>
                          </w:rPr>
                        </w:pPr>
                        <w:r>
                          <w:rPr>
                            <w:sz w:val="13"/>
                          </w:rPr>
                          <w:t>27</w:t>
                        </w:r>
                      </w:p>
                    </w:tc>
                    <w:tc>
                      <w:tcPr>
                        <w:tcW w:w="749" w:type="dxa"/>
                      </w:tcPr>
                      <w:p>
                        <w:pPr>
                          <w:pStyle w:val="TableParagraph"/>
                          <w:spacing w:before="14"/>
                          <w:ind w:right="17"/>
                          <w:jc w:val="center"/>
                          <w:rPr>
                            <w:sz w:val="13"/>
                          </w:rPr>
                        </w:pPr>
                        <w:r>
                          <w:rPr>
                            <w:w w:val="99"/>
                            <w:sz w:val="13"/>
                          </w:rPr>
                          <w:t>-</w:t>
                        </w:r>
                      </w:p>
                    </w:tc>
                    <w:tc>
                      <w:tcPr>
                        <w:tcW w:w="823" w:type="dxa"/>
                      </w:tcPr>
                      <w:p>
                        <w:pPr>
                          <w:pStyle w:val="TableParagraph"/>
                          <w:spacing w:before="14"/>
                          <w:ind w:left="362"/>
                          <w:rPr>
                            <w:sz w:val="13"/>
                          </w:rPr>
                        </w:pPr>
                        <w:r>
                          <w:rPr>
                            <w:w w:val="99"/>
                            <w:sz w:val="13"/>
                          </w:rPr>
                          <w:t>-</w:t>
                        </w:r>
                      </w:p>
                    </w:tc>
                    <w:tc>
                      <w:tcPr>
                        <w:tcW w:w="945" w:type="dxa"/>
                      </w:tcPr>
                      <w:p>
                        <w:pPr>
                          <w:pStyle w:val="TableParagraph"/>
                          <w:spacing w:before="14"/>
                          <w:ind w:left="412"/>
                          <w:rPr>
                            <w:sz w:val="13"/>
                          </w:rPr>
                        </w:pPr>
                        <w:r>
                          <w:rPr>
                            <w:w w:val="99"/>
                            <w:sz w:val="13"/>
                          </w:rPr>
                          <w:t>-</w:t>
                        </w:r>
                      </w:p>
                    </w:tc>
                  </w:tr>
                  <w:tr>
                    <w:trPr>
                      <w:trHeight w:val="205" w:hRule="exact"/>
                    </w:trPr>
                    <w:tc>
                      <w:tcPr>
                        <w:tcW w:w="676" w:type="dxa"/>
                      </w:tcPr>
                      <w:p>
                        <w:pPr/>
                      </w:p>
                    </w:tc>
                    <w:tc>
                      <w:tcPr>
                        <w:tcW w:w="552" w:type="dxa"/>
                      </w:tcPr>
                      <w:p>
                        <w:pPr>
                          <w:pStyle w:val="TableParagraph"/>
                          <w:spacing w:before="15"/>
                          <w:ind w:right="125"/>
                          <w:jc w:val="right"/>
                          <w:rPr>
                            <w:sz w:val="14"/>
                          </w:rPr>
                        </w:pPr>
                        <w:r>
                          <w:rPr>
                            <w:sz w:val="14"/>
                          </w:rPr>
                          <w:t>BVT1</w:t>
                        </w:r>
                      </w:p>
                    </w:tc>
                    <w:tc>
                      <w:tcPr>
                        <w:tcW w:w="675" w:type="dxa"/>
                      </w:tcPr>
                      <w:p>
                        <w:pPr>
                          <w:pStyle w:val="TableParagraph"/>
                          <w:spacing w:before="14"/>
                          <w:ind w:left="278"/>
                          <w:rPr>
                            <w:sz w:val="13"/>
                          </w:rPr>
                        </w:pPr>
                        <w:r>
                          <w:rPr>
                            <w:sz w:val="13"/>
                          </w:rPr>
                          <w:t>29</w:t>
                        </w:r>
                      </w:p>
                    </w:tc>
                    <w:tc>
                      <w:tcPr>
                        <w:tcW w:w="694" w:type="dxa"/>
                      </w:tcPr>
                      <w:p>
                        <w:pPr>
                          <w:pStyle w:val="TableParagraph"/>
                          <w:spacing w:before="14"/>
                          <w:ind w:left="144" w:right="175"/>
                          <w:jc w:val="center"/>
                          <w:rPr>
                            <w:sz w:val="13"/>
                          </w:rPr>
                        </w:pPr>
                        <w:r>
                          <w:rPr>
                            <w:sz w:val="13"/>
                          </w:rPr>
                          <w:t>28</w:t>
                        </w:r>
                      </w:p>
                    </w:tc>
                    <w:tc>
                      <w:tcPr>
                        <w:tcW w:w="749" w:type="dxa"/>
                      </w:tcPr>
                      <w:p>
                        <w:pPr>
                          <w:pStyle w:val="TableParagraph"/>
                          <w:spacing w:before="14"/>
                          <w:ind w:right="17"/>
                          <w:jc w:val="center"/>
                          <w:rPr>
                            <w:sz w:val="13"/>
                          </w:rPr>
                        </w:pPr>
                        <w:r>
                          <w:rPr>
                            <w:w w:val="99"/>
                            <w:sz w:val="13"/>
                          </w:rPr>
                          <w:t>-</w:t>
                        </w:r>
                      </w:p>
                    </w:tc>
                    <w:tc>
                      <w:tcPr>
                        <w:tcW w:w="823" w:type="dxa"/>
                      </w:tcPr>
                      <w:p>
                        <w:pPr>
                          <w:pStyle w:val="TableParagraph"/>
                          <w:spacing w:before="14"/>
                          <w:ind w:left="362"/>
                          <w:rPr>
                            <w:sz w:val="13"/>
                          </w:rPr>
                        </w:pPr>
                        <w:r>
                          <w:rPr>
                            <w:w w:val="99"/>
                            <w:sz w:val="13"/>
                          </w:rPr>
                          <w:t>-</w:t>
                        </w:r>
                      </w:p>
                    </w:tc>
                    <w:tc>
                      <w:tcPr>
                        <w:tcW w:w="945" w:type="dxa"/>
                      </w:tcPr>
                      <w:p>
                        <w:pPr>
                          <w:pStyle w:val="TableParagraph"/>
                          <w:spacing w:before="14"/>
                          <w:ind w:left="412"/>
                          <w:rPr>
                            <w:sz w:val="13"/>
                          </w:rPr>
                        </w:pPr>
                        <w:r>
                          <w:rPr>
                            <w:w w:val="99"/>
                            <w:sz w:val="13"/>
                          </w:rPr>
                          <w:t>-</w:t>
                        </w:r>
                      </w:p>
                    </w:tc>
                  </w:tr>
                  <w:tr>
                    <w:trPr>
                      <w:trHeight w:val="425" w:hRule="exact"/>
                    </w:trPr>
                    <w:tc>
                      <w:tcPr>
                        <w:tcW w:w="676" w:type="dxa"/>
                        <w:tcBorders>
                          <w:bottom w:val="single" w:sz="3" w:space="0" w:color="000000"/>
                        </w:tcBorders>
                      </w:tcPr>
                      <w:p>
                        <w:pPr>
                          <w:pStyle w:val="TableParagraph"/>
                          <w:spacing w:before="8"/>
                          <w:rPr>
                            <w:rFonts w:ascii="Cambria"/>
                            <w:sz w:val="18"/>
                          </w:rPr>
                        </w:pPr>
                      </w:p>
                      <w:p>
                        <w:pPr>
                          <w:pStyle w:val="TableParagraph"/>
                          <w:ind w:right="14"/>
                          <w:jc w:val="right"/>
                          <w:rPr>
                            <w:rFonts w:ascii="Cambria Math"/>
                            <w:sz w:val="15"/>
                          </w:rPr>
                        </w:pPr>
                        <w:r>
                          <w:rPr>
                            <w:rFonts w:ascii="Cambria Math"/>
                            <w:w w:val="210"/>
                            <w:sz w:val="15"/>
                          </w:rPr>
                          <w:t>!</w:t>
                        </w:r>
                      </w:p>
                    </w:tc>
                    <w:tc>
                      <w:tcPr>
                        <w:tcW w:w="552" w:type="dxa"/>
                        <w:tcBorders>
                          <w:bottom w:val="single" w:sz="3" w:space="0" w:color="000000"/>
                        </w:tcBorders>
                      </w:tcPr>
                      <w:p>
                        <w:pPr>
                          <w:pStyle w:val="TableParagraph"/>
                          <w:spacing w:before="15"/>
                          <w:ind w:left="116"/>
                          <w:rPr>
                            <w:sz w:val="14"/>
                          </w:rPr>
                        </w:pPr>
                        <w:r>
                          <w:rPr>
                            <w:sz w:val="14"/>
                          </w:rPr>
                          <w:t>RT2</w:t>
                        </w:r>
                      </w:p>
                    </w:tc>
                    <w:tc>
                      <w:tcPr>
                        <w:tcW w:w="675" w:type="dxa"/>
                        <w:tcBorders>
                          <w:bottom w:val="single" w:sz="3" w:space="0" w:color="000000"/>
                        </w:tcBorders>
                      </w:tcPr>
                      <w:p>
                        <w:pPr>
                          <w:pStyle w:val="TableParagraph"/>
                          <w:spacing w:before="14"/>
                          <w:ind w:left="157" w:right="144"/>
                          <w:jc w:val="center"/>
                          <w:rPr>
                            <w:sz w:val="13"/>
                          </w:rPr>
                        </w:pPr>
                        <w:r>
                          <w:rPr>
                            <w:sz w:val="13"/>
                          </w:rPr>
                          <w:t>27</w:t>
                        </w:r>
                      </w:p>
                      <w:p>
                        <w:pPr>
                          <w:pStyle w:val="TableParagraph"/>
                          <w:spacing w:before="35"/>
                          <w:ind w:left="157" w:right="144"/>
                          <w:jc w:val="center"/>
                          <w:rPr>
                            <w:b/>
                            <w:sz w:val="8"/>
                          </w:rPr>
                        </w:pPr>
                        <w:r>
                          <w:rPr>
                            <w:b/>
                            <w:sz w:val="13"/>
                          </w:rPr>
                          <w:t>27.80</w:t>
                        </w:r>
                        <w:r>
                          <w:rPr>
                            <w:b/>
                            <w:position w:val="6"/>
                            <w:sz w:val="8"/>
                          </w:rPr>
                          <w:t>c</w:t>
                        </w:r>
                      </w:p>
                    </w:tc>
                    <w:tc>
                      <w:tcPr>
                        <w:tcW w:w="694" w:type="dxa"/>
                        <w:tcBorders>
                          <w:bottom w:val="single" w:sz="3" w:space="0" w:color="000000"/>
                        </w:tcBorders>
                      </w:tcPr>
                      <w:p>
                        <w:pPr>
                          <w:pStyle w:val="TableParagraph"/>
                          <w:spacing w:before="14"/>
                          <w:ind w:left="144" w:right="175"/>
                          <w:jc w:val="center"/>
                          <w:rPr>
                            <w:sz w:val="13"/>
                          </w:rPr>
                        </w:pPr>
                        <w:r>
                          <w:rPr>
                            <w:sz w:val="13"/>
                          </w:rPr>
                          <w:t>28</w:t>
                        </w:r>
                      </w:p>
                      <w:p>
                        <w:pPr>
                          <w:pStyle w:val="TableParagraph"/>
                          <w:spacing w:before="35"/>
                          <w:ind w:left="145" w:right="175"/>
                          <w:jc w:val="center"/>
                          <w:rPr>
                            <w:b/>
                            <w:sz w:val="8"/>
                          </w:rPr>
                        </w:pPr>
                        <w:r>
                          <w:rPr>
                            <w:b/>
                            <w:sz w:val="13"/>
                          </w:rPr>
                          <w:t>27.60</w:t>
                        </w:r>
                        <w:r>
                          <w:rPr>
                            <w:b/>
                            <w:position w:val="6"/>
                            <w:sz w:val="8"/>
                          </w:rPr>
                          <w:t>c</w:t>
                        </w:r>
                      </w:p>
                    </w:tc>
                    <w:tc>
                      <w:tcPr>
                        <w:tcW w:w="749" w:type="dxa"/>
                        <w:tcBorders>
                          <w:bottom w:val="single" w:sz="3" w:space="0" w:color="000000"/>
                        </w:tcBorders>
                      </w:tcPr>
                      <w:p>
                        <w:pPr>
                          <w:pStyle w:val="TableParagraph"/>
                          <w:spacing w:before="14"/>
                          <w:ind w:right="17"/>
                          <w:jc w:val="center"/>
                          <w:rPr>
                            <w:sz w:val="13"/>
                          </w:rPr>
                        </w:pPr>
                        <w:r>
                          <w:rPr>
                            <w:w w:val="99"/>
                            <w:sz w:val="13"/>
                          </w:rPr>
                          <w:t>-</w:t>
                        </w:r>
                      </w:p>
                    </w:tc>
                    <w:tc>
                      <w:tcPr>
                        <w:tcW w:w="823" w:type="dxa"/>
                        <w:tcBorders>
                          <w:bottom w:val="single" w:sz="3" w:space="0" w:color="000000"/>
                        </w:tcBorders>
                      </w:tcPr>
                      <w:p>
                        <w:pPr>
                          <w:pStyle w:val="TableParagraph"/>
                          <w:spacing w:before="14"/>
                          <w:ind w:left="362"/>
                          <w:rPr>
                            <w:sz w:val="13"/>
                          </w:rPr>
                        </w:pPr>
                        <w:r>
                          <w:rPr>
                            <w:w w:val="99"/>
                            <w:sz w:val="13"/>
                          </w:rPr>
                          <w:t>-</w:t>
                        </w:r>
                      </w:p>
                    </w:tc>
                    <w:tc>
                      <w:tcPr>
                        <w:tcW w:w="945" w:type="dxa"/>
                        <w:tcBorders>
                          <w:bottom w:val="single" w:sz="3" w:space="0" w:color="000000"/>
                        </w:tcBorders>
                      </w:tcPr>
                      <w:p>
                        <w:pPr>
                          <w:pStyle w:val="TableParagraph"/>
                          <w:spacing w:before="14"/>
                          <w:ind w:left="412"/>
                          <w:rPr>
                            <w:sz w:val="13"/>
                          </w:rPr>
                        </w:pPr>
                        <w:r>
                          <w:rPr>
                            <w:w w:val="99"/>
                            <w:sz w:val="13"/>
                          </w:rPr>
                          <w:t>-</w:t>
                        </w:r>
                      </w:p>
                    </w:tc>
                  </w:tr>
                </w:tbl>
                <w:p>
                  <w:pPr>
                    <w:pStyle w:val="BodyText"/>
                  </w:pPr>
                </w:p>
              </w:txbxContent>
            </v:textbox>
            <w10:wrap type="none"/>
          </v:shape>
        </w:pict>
      </w:r>
      <w:r>
        <w:rPr>
          <w:w w:val="105"/>
          <w:sz w:val="11"/>
        </w:rPr>
        <w:t>** : Aislados obtenidos de follaje infectado de papa. Su tipo de compatibilidad fue determinado</w:t>
      </w:r>
      <w:r>
        <w:rPr>
          <w:spacing w:val="-18"/>
          <w:w w:val="105"/>
          <w:sz w:val="11"/>
        </w:rPr>
        <w:t> </w:t>
      </w:r>
      <w:r>
        <w:rPr>
          <w:w w:val="105"/>
          <w:sz w:val="11"/>
        </w:rPr>
        <w:t>al</w:t>
      </w:r>
    </w:p>
    <w:p>
      <w:pPr>
        <w:pStyle w:val="ListParagraph"/>
        <w:numPr>
          <w:ilvl w:val="0"/>
          <w:numId w:val="28"/>
        </w:numPr>
        <w:tabs>
          <w:tab w:pos="1598" w:val="left" w:leader="none"/>
          <w:tab w:pos="1599" w:val="left" w:leader="none"/>
        </w:tabs>
        <w:spacing w:line="134" w:lineRule="exact" w:before="0" w:after="0"/>
        <w:ind w:left="1598" w:right="0" w:hanging="695"/>
        <w:jc w:val="left"/>
        <w:rPr>
          <w:sz w:val="11"/>
        </w:rPr>
      </w:pPr>
      <w:r>
        <w:rPr>
          <w:w w:val="105"/>
          <w:sz w:val="11"/>
        </w:rPr>
        <w:t>enfrentarlos con los aislados de referencia J104 y</w:t>
      </w:r>
      <w:r>
        <w:rPr>
          <w:spacing w:val="-14"/>
          <w:w w:val="105"/>
          <w:sz w:val="11"/>
        </w:rPr>
        <w:t> </w:t>
      </w:r>
      <w:r>
        <w:rPr>
          <w:w w:val="105"/>
          <w:sz w:val="11"/>
        </w:rPr>
        <w:t>J204</w:t>
      </w:r>
    </w:p>
    <w:p>
      <w:pPr>
        <w:pStyle w:val="ListParagraph"/>
        <w:numPr>
          <w:ilvl w:val="0"/>
          <w:numId w:val="28"/>
        </w:numPr>
        <w:tabs>
          <w:tab w:pos="1453" w:val="left" w:leader="none"/>
          <w:tab w:pos="1454" w:val="left" w:leader="none"/>
        </w:tabs>
        <w:spacing w:line="134" w:lineRule="exact" w:before="0" w:after="0"/>
        <w:ind w:left="1453" w:right="0" w:hanging="550"/>
        <w:jc w:val="left"/>
        <w:rPr>
          <w:sz w:val="11"/>
        </w:rPr>
      </w:pPr>
      <w:r>
        <w:rPr>
          <w:w w:val="105"/>
          <w:sz w:val="11"/>
        </w:rPr>
        <w:t>-  : Sin producción de</w:t>
      </w:r>
      <w:r>
        <w:rPr>
          <w:spacing w:val="-6"/>
          <w:w w:val="105"/>
          <w:sz w:val="11"/>
        </w:rPr>
        <w:t> </w:t>
      </w:r>
      <w:r>
        <w:rPr>
          <w:w w:val="105"/>
          <w:sz w:val="11"/>
        </w:rPr>
        <w:t>oosporas</w:t>
      </w:r>
    </w:p>
    <w:p>
      <w:pPr>
        <w:pStyle w:val="ListParagraph"/>
        <w:numPr>
          <w:ilvl w:val="0"/>
          <w:numId w:val="28"/>
        </w:numPr>
        <w:tabs>
          <w:tab w:pos="1453" w:val="left" w:leader="none"/>
          <w:tab w:pos="1454" w:val="left" w:leader="none"/>
        </w:tabs>
        <w:spacing w:line="166" w:lineRule="exact" w:before="0" w:after="0"/>
        <w:ind w:left="1453" w:right="0" w:hanging="550"/>
        <w:jc w:val="left"/>
        <w:rPr>
          <w:sz w:val="11"/>
        </w:rPr>
      </w:pPr>
      <w:r>
        <w:rPr>
          <w:w w:val="105"/>
          <w:sz w:val="11"/>
        </w:rPr>
        <w:t>Grupo Tukey: </w:t>
      </w:r>
      <w:r>
        <w:rPr>
          <w:w w:val="105"/>
          <w:position w:val="5"/>
          <w:sz w:val="7"/>
        </w:rPr>
        <w:t>a, b, c </w:t>
      </w:r>
      <w:r>
        <w:rPr>
          <w:w w:val="105"/>
          <w:sz w:val="11"/>
        </w:rPr>
        <w:t>Nivel de significancia de</w:t>
      </w:r>
      <w:r>
        <w:rPr>
          <w:spacing w:val="-15"/>
          <w:w w:val="105"/>
          <w:sz w:val="11"/>
        </w:rPr>
        <w:t> </w:t>
      </w:r>
      <w:r>
        <w:rPr>
          <w:w w:val="105"/>
          <w:sz w:val="11"/>
        </w:rPr>
        <w:t>0.05</w:t>
      </w:r>
    </w:p>
    <w:p>
      <w:pPr>
        <w:pStyle w:val="ListParagraph"/>
        <w:numPr>
          <w:ilvl w:val="0"/>
          <w:numId w:val="28"/>
        </w:numPr>
        <w:tabs>
          <w:tab w:pos="1196" w:val="left" w:leader="none"/>
        </w:tabs>
        <w:spacing w:line="240" w:lineRule="auto" w:before="121" w:after="0"/>
        <w:ind w:left="1195" w:right="0" w:hanging="292"/>
        <w:jc w:val="left"/>
        <w:rPr>
          <w:rFonts w:ascii="Cambria"/>
          <w:sz w:val="17"/>
        </w:rPr>
      </w:pPr>
    </w:p>
    <w:p>
      <w:pPr>
        <w:pStyle w:val="BodyText"/>
        <w:spacing w:before="4"/>
        <w:rPr>
          <w:rFonts w:ascii="Cambria"/>
          <w:sz w:val="23"/>
        </w:rPr>
      </w:pPr>
    </w:p>
    <w:p>
      <w:pPr>
        <w:pStyle w:val="ListParagraph"/>
        <w:numPr>
          <w:ilvl w:val="0"/>
          <w:numId w:val="28"/>
        </w:numPr>
        <w:tabs>
          <w:tab w:pos="1196" w:val="left" w:leader="none"/>
        </w:tabs>
        <w:spacing w:line="240" w:lineRule="auto" w:before="0" w:after="0"/>
        <w:ind w:left="1195" w:right="0" w:hanging="292"/>
        <w:jc w:val="left"/>
        <w:rPr>
          <w:rFonts w:ascii="Cambria"/>
          <w:sz w:val="17"/>
        </w:rPr>
      </w:pPr>
    </w:p>
    <w:p>
      <w:pPr>
        <w:pStyle w:val="BodyText"/>
        <w:spacing w:before="4"/>
        <w:rPr>
          <w:rFonts w:ascii="Cambria"/>
          <w:sz w:val="23"/>
        </w:rPr>
      </w:pPr>
    </w:p>
    <w:p>
      <w:pPr>
        <w:pStyle w:val="ListParagraph"/>
        <w:numPr>
          <w:ilvl w:val="0"/>
          <w:numId w:val="28"/>
        </w:numPr>
        <w:tabs>
          <w:tab w:pos="1196" w:val="left" w:leader="none"/>
        </w:tabs>
        <w:spacing w:line="240" w:lineRule="auto" w:before="0" w:after="0"/>
        <w:ind w:left="1195" w:right="0" w:hanging="292"/>
        <w:jc w:val="left"/>
        <w:rPr>
          <w:rFonts w:ascii="Cambria"/>
          <w:sz w:val="17"/>
        </w:rPr>
      </w:pPr>
    </w:p>
    <w:p>
      <w:pPr>
        <w:spacing w:after="0" w:line="240" w:lineRule="auto"/>
        <w:jc w:val="left"/>
        <w:rPr>
          <w:rFonts w:ascii="Cambria"/>
          <w:sz w:val="17"/>
        </w:rPr>
        <w:sectPr>
          <w:footerReference w:type="default" r:id="rId59"/>
          <w:pgSz w:w="12240" w:h="15840"/>
          <w:pgMar w:footer="740" w:header="719" w:top="1260" w:bottom="920" w:left="1460" w:right="1440"/>
        </w:sectPr>
      </w:pPr>
    </w:p>
    <w:p>
      <w:pPr>
        <w:pStyle w:val="BodyText"/>
        <w:spacing w:before="9"/>
        <w:rPr>
          <w:rFonts w:ascii="Cambria"/>
          <w:sz w:val="13"/>
        </w:rPr>
      </w:pPr>
    </w:p>
    <w:p>
      <w:pPr>
        <w:pStyle w:val="ListParagraph"/>
        <w:numPr>
          <w:ilvl w:val="1"/>
          <w:numId w:val="16"/>
        </w:numPr>
        <w:tabs>
          <w:tab w:pos="707" w:val="left" w:leader="none"/>
        </w:tabs>
        <w:spacing w:line="480" w:lineRule="auto" w:before="69" w:after="0"/>
        <w:ind w:left="239" w:right="589" w:firstLine="0"/>
        <w:jc w:val="left"/>
        <w:rPr>
          <w:rFonts w:ascii="Arial" w:hAnsi="Arial"/>
          <w:b/>
          <w:i/>
          <w:sz w:val="24"/>
        </w:rPr>
      </w:pPr>
      <w:r>
        <w:rPr>
          <w:rFonts w:ascii="Arial" w:hAnsi="Arial"/>
          <w:b/>
          <w:sz w:val="24"/>
        </w:rPr>
        <w:t>Evaluación del efecto fungistático del metalaxil sobre los aislamientos de </w:t>
      </w:r>
      <w:r>
        <w:rPr>
          <w:rFonts w:ascii="Arial" w:hAnsi="Arial"/>
          <w:b/>
          <w:i/>
          <w:sz w:val="24"/>
        </w:rPr>
        <w:t>Phytophthora</w:t>
      </w:r>
      <w:r>
        <w:rPr>
          <w:rFonts w:ascii="Arial" w:hAnsi="Arial"/>
          <w:b/>
          <w:i/>
          <w:spacing w:val="-1"/>
          <w:sz w:val="24"/>
        </w:rPr>
        <w:t> </w:t>
      </w:r>
      <w:r>
        <w:rPr>
          <w:rFonts w:ascii="Arial" w:hAnsi="Arial"/>
          <w:b/>
          <w:i/>
          <w:sz w:val="24"/>
        </w:rPr>
        <w:t>infestans</w:t>
      </w:r>
    </w:p>
    <w:p>
      <w:pPr>
        <w:pStyle w:val="BodyText"/>
        <w:rPr>
          <w:b/>
          <w:i/>
        </w:rPr>
      </w:pPr>
    </w:p>
    <w:p>
      <w:pPr>
        <w:pStyle w:val="BodyText"/>
        <w:spacing w:before="7"/>
        <w:rPr>
          <w:b/>
          <w:i/>
        </w:rPr>
      </w:pPr>
    </w:p>
    <w:p>
      <w:pPr>
        <w:pStyle w:val="BodyText"/>
        <w:spacing w:line="480" w:lineRule="auto" w:before="1"/>
        <w:ind w:left="239" w:right="260"/>
        <w:jc w:val="both"/>
      </w:pPr>
      <w:r>
        <w:rPr/>
        <w:t>Metalaxil mostró un efecto fungistático en el total de aislamientos de </w:t>
      </w:r>
      <w:r>
        <w:rPr>
          <w:i/>
        </w:rPr>
        <w:t>Phytophthora </w:t>
      </w:r>
      <w:r>
        <w:rPr>
          <w:i/>
        </w:rPr>
        <w:t>infestans</w:t>
      </w:r>
      <w:r>
        <w:rPr/>
        <w:t>. Los veinte aislamientos crecieron en medio de cultivo agar-jugo V8 sin fungicida después de haber sido sometidos a dosis de 100 y 300 µl de metalaxil por ml de medio de cultivo agar-jugo V8 durante una semana. Lo que demuestra que el compuesto químico no tiene un efecto fungicida sobre los aislamientos estudiados.</w:t>
      </w:r>
    </w:p>
    <w:p>
      <w:pPr>
        <w:spacing w:after="0" w:line="480" w:lineRule="auto"/>
        <w:jc w:val="both"/>
        <w:sectPr>
          <w:footerReference w:type="default" r:id="rId60"/>
          <w:pgSz w:w="12240" w:h="15840"/>
          <w:pgMar w:footer="740" w:header="719" w:top="1260" w:bottom="920" w:left="1460" w:right="1440"/>
          <w:pgNumType w:start="61"/>
        </w:sectPr>
      </w:pPr>
    </w:p>
    <w:p>
      <w:pPr>
        <w:pStyle w:val="BodyText"/>
        <w:spacing w:before="3"/>
        <w:rPr>
          <w:sz w:val="15"/>
        </w:rPr>
      </w:pPr>
    </w:p>
    <w:p>
      <w:pPr>
        <w:pStyle w:val="Heading1"/>
        <w:numPr>
          <w:ilvl w:val="1"/>
          <w:numId w:val="1"/>
        </w:numPr>
        <w:tabs>
          <w:tab w:pos="3272" w:val="left" w:leader="none"/>
        </w:tabs>
        <w:spacing w:line="240" w:lineRule="auto" w:before="66" w:after="0"/>
        <w:ind w:left="3271" w:right="0" w:hanging="658"/>
        <w:jc w:val="left"/>
      </w:pPr>
      <w:bookmarkStart w:name="_TOC_250002" w:id="40"/>
      <w:r>
        <w:rPr/>
        <w:t>DISCUSIÓN </w:t>
      </w:r>
      <w:r>
        <w:rPr>
          <w:spacing w:val="13"/>
        </w:rPr>
        <w:t> </w:t>
      </w:r>
      <w:bookmarkEnd w:id="40"/>
      <w:r>
        <w:rPr/>
        <w:t>GENERAL</w:t>
      </w:r>
    </w:p>
    <w:p>
      <w:pPr>
        <w:pStyle w:val="BodyText"/>
        <w:rPr>
          <w:b/>
          <w:sz w:val="32"/>
        </w:rPr>
      </w:pPr>
    </w:p>
    <w:p>
      <w:pPr>
        <w:pStyle w:val="BodyText"/>
        <w:spacing w:line="480" w:lineRule="auto" w:before="186"/>
        <w:ind w:left="239" w:right="260"/>
        <w:jc w:val="both"/>
      </w:pPr>
      <w:r>
        <w:rPr/>
        <w:t>El principal método de control de </w:t>
      </w:r>
      <w:r>
        <w:rPr>
          <w:i/>
        </w:rPr>
        <w:t>Phytophthora infestans </w:t>
      </w:r>
      <w:r>
        <w:rPr/>
        <w:t>ha sido el químico, se ha tratado con productos químicos que fueron diseñados para hongos y no para oomicetes. El desarrollo del metalaxil fue un avance importante en la historia del control de </w:t>
      </w:r>
      <w:r>
        <w:rPr>
          <w:i/>
        </w:rPr>
        <w:t>P. infestans </w:t>
      </w:r>
      <w:r>
        <w:rPr/>
        <w:t>al encontrarse que era tóxico al oomicete a bajas concentraciones (&lt;1ppm), por lo cual este compuesto químico fue ampliamente usado. Sin embargo, en 1980 en Irlanda y los Países Bajos se reportaron las primeras cepas de </w:t>
      </w:r>
      <w:r>
        <w:rPr>
          <w:i/>
        </w:rPr>
        <w:t>P. infestans </w:t>
      </w:r>
      <w:r>
        <w:rPr/>
        <w:t>resistentes al metalaxil (Davidse </w:t>
      </w:r>
      <w:r>
        <w:rPr>
          <w:i/>
        </w:rPr>
        <w:t>et al</w:t>
      </w:r>
      <w:r>
        <w:rPr/>
        <w:t>, 1981; Dowley y O'Sullivan, 1981).</w:t>
      </w:r>
    </w:p>
    <w:p>
      <w:pPr>
        <w:pStyle w:val="BodyText"/>
      </w:pPr>
    </w:p>
    <w:p>
      <w:pPr>
        <w:pStyle w:val="BodyText"/>
        <w:spacing w:before="3"/>
      </w:pPr>
    </w:p>
    <w:p>
      <w:pPr>
        <w:pStyle w:val="BodyText"/>
        <w:spacing w:line="480" w:lineRule="auto"/>
        <w:ind w:left="239" w:right="260"/>
        <w:jc w:val="both"/>
      </w:pPr>
      <w:r>
        <w:rPr/>
        <w:t>El Valle de Toluca no fue la excepción de presencia de cepas resistentes al metalaxil. Grünwald </w:t>
      </w:r>
      <w:r>
        <w:rPr>
          <w:i/>
        </w:rPr>
        <w:t>et al</w:t>
      </w:r>
      <w:r>
        <w:rPr/>
        <w:t>. (2001) en los años 1997 y 1998 estudiaron una población de 71 aislamientos de </w:t>
      </w:r>
      <w:r>
        <w:rPr>
          <w:i/>
        </w:rPr>
        <w:t>P. infestans </w:t>
      </w:r>
      <w:r>
        <w:rPr/>
        <w:t>colectados de parcelas localizadas entre los 3000 y 3500 msnm, ellos observaron que el 16.9% de los aislamientos</w:t>
      </w:r>
      <w:r>
        <w:rPr>
          <w:spacing w:val="-1"/>
        </w:rPr>
        <w:t> </w:t>
      </w:r>
      <w:r>
        <w:rPr/>
        <w:t>de</w:t>
      </w:r>
    </w:p>
    <w:p>
      <w:pPr>
        <w:pStyle w:val="BodyText"/>
        <w:spacing w:line="480" w:lineRule="auto" w:before="8"/>
        <w:ind w:left="239" w:right="260"/>
        <w:jc w:val="both"/>
      </w:pPr>
      <w:r>
        <w:rPr>
          <w:i/>
        </w:rPr>
        <w:t>P. infestans </w:t>
      </w:r>
      <w:r>
        <w:rPr/>
        <w:t>fueron resistentes al metalaxil bajo el criterio de Goodwin </w:t>
      </w:r>
      <w:r>
        <w:rPr>
          <w:i/>
        </w:rPr>
        <w:t>et al</w:t>
      </w:r>
      <w:r>
        <w:rPr/>
        <w:t>. (1996) al mostrar un crecimiento relativo al testigo mayor del 40% en presencia de 5.0</w:t>
      </w:r>
    </w:p>
    <w:p>
      <w:pPr>
        <w:pStyle w:val="BodyText"/>
        <w:spacing w:line="480" w:lineRule="auto" w:before="8"/>
        <w:ind w:left="239" w:right="260"/>
        <w:jc w:val="both"/>
      </w:pPr>
      <w:r>
        <w:rPr/>
        <w:t>µg/ml (ingrediente activo) de metalaxil. En el presente estudio se observó que el 80% de los aislamientos colectados en parcelas ubicadas a la misma altitud durante los años 2011 y 2012, fueron resistentes a 5 ppm de metalaxil,.</w:t>
      </w:r>
    </w:p>
    <w:p>
      <w:pPr>
        <w:pStyle w:val="BodyText"/>
      </w:pPr>
    </w:p>
    <w:p>
      <w:pPr>
        <w:pStyle w:val="BodyText"/>
        <w:spacing w:before="7"/>
      </w:pPr>
    </w:p>
    <w:p>
      <w:pPr>
        <w:pStyle w:val="BodyText"/>
        <w:spacing w:line="480" w:lineRule="auto" w:before="1"/>
        <w:ind w:left="239" w:right="260"/>
        <w:jc w:val="both"/>
      </w:pPr>
      <w:r>
        <w:rPr>
          <w:color w:val="141413"/>
        </w:rPr>
        <w:t>En los años 1997 y 1998 </w:t>
      </w:r>
      <w:r>
        <w:rPr/>
        <w:t>Grünwald </w:t>
      </w:r>
      <w:r>
        <w:rPr>
          <w:i/>
        </w:rPr>
        <w:t>et al. </w:t>
      </w:r>
      <w:r>
        <w:rPr/>
        <w:t>(2001), o</w:t>
      </w:r>
      <w:r>
        <w:rPr>
          <w:color w:val="141413"/>
        </w:rPr>
        <w:t>bservaron para la misma zona de estudio (3000-3500msnm), </w:t>
      </w:r>
      <w:r>
        <w:rPr/>
        <w:t>variaciones que van de dos a tres aplicaciones de fungicidas por temporada a una aplicación por semana y para la zona    productora</w:t>
      </w:r>
    </w:p>
    <w:p>
      <w:pPr>
        <w:spacing w:after="0" w:line="480" w:lineRule="auto"/>
        <w:jc w:val="both"/>
        <w:sectPr>
          <w:pgSz w:w="12240" w:h="15840"/>
          <w:pgMar w:header="719" w:footer="740" w:top="1260" w:bottom="920" w:left="1460" w:right="1440"/>
        </w:sectPr>
      </w:pPr>
    </w:p>
    <w:p>
      <w:pPr>
        <w:pStyle w:val="BodyText"/>
        <w:rPr>
          <w:sz w:val="14"/>
        </w:rPr>
      </w:pPr>
    </w:p>
    <w:p>
      <w:pPr>
        <w:pStyle w:val="BodyText"/>
        <w:spacing w:line="480" w:lineRule="auto" w:before="70"/>
        <w:ind w:left="239" w:right="260"/>
        <w:jc w:val="both"/>
      </w:pPr>
      <w:r>
        <w:rPr/>
        <w:t>de papa del Valle de Toluca ubicada entre los 2600 y 2900 msnm observaron, que se realizaban de 2 a 3 aplicaciones de fungicidas por semana, además encontraron que el 34.1% de los aislamientos de esta zona presentaron resistencia a 5 ppm de metalaxil. Por otra parte se encontró que en las parcelas donde fue más intensificado el uso de fungicidas, fue mayor el porcentaje de aislamientos resistentes al metalaxil.</w:t>
      </w:r>
    </w:p>
    <w:p>
      <w:pPr>
        <w:pStyle w:val="BodyText"/>
      </w:pPr>
    </w:p>
    <w:p>
      <w:pPr>
        <w:pStyle w:val="BodyText"/>
        <w:spacing w:before="7"/>
      </w:pPr>
    </w:p>
    <w:p>
      <w:pPr>
        <w:pStyle w:val="BodyText"/>
        <w:spacing w:line="480" w:lineRule="auto" w:before="1"/>
        <w:ind w:left="239" w:right="260"/>
        <w:jc w:val="both"/>
      </w:pPr>
      <w:r>
        <w:rPr>
          <w:color w:val="141413"/>
        </w:rPr>
        <w:t>En el presente trabajo se evidenció un cambio en la frecuencia de la aplicación de metalaxil. </w:t>
      </w:r>
      <w:r>
        <w:rPr/>
        <w:t>Las aplicaciones de fungicidas en follaje, se realizaron en intervalos de siete días en riego y cuatro en temporal con más de cuatro aplicaciones al año sin rotación del ingrediente activo, lo cual supera las recomendaciones del FRAC que sugiere intervalos mínimos de diez días y no más de dos aplicaciones al año. Lo anterior demuestra que el patrón de uso de los fungicidas se ha intensificado, siendo más notable en los predios de temporal, esto probablemente ha sido la causa del incremento en la proporción de aislamientos de P. </w:t>
      </w:r>
      <w:r>
        <w:rPr>
          <w:i/>
        </w:rPr>
        <w:t>infestans </w:t>
      </w:r>
      <w:r>
        <w:rPr/>
        <w:t>resistentes al metalaxil.</w:t>
      </w:r>
    </w:p>
    <w:p>
      <w:pPr>
        <w:pStyle w:val="BodyText"/>
      </w:pPr>
    </w:p>
    <w:p>
      <w:pPr>
        <w:pStyle w:val="BodyText"/>
        <w:spacing w:before="7"/>
      </w:pPr>
    </w:p>
    <w:p>
      <w:pPr>
        <w:pStyle w:val="BodyText"/>
        <w:spacing w:line="480" w:lineRule="auto" w:before="1"/>
        <w:ind w:left="239" w:right="260"/>
        <w:jc w:val="both"/>
      </w:pPr>
      <w:r>
        <w:rPr/>
        <w:t>Los veinte aislamientos de </w:t>
      </w:r>
      <w:r>
        <w:rPr>
          <w:i/>
        </w:rPr>
        <w:t>P. infestans </w:t>
      </w:r>
      <w:r>
        <w:rPr/>
        <w:t>crecieron en medio de cultivo agar-jugo V8 sin fungicida después de haber sido sometidos durante una semana a dosis de  100 y 300 ppm de metalaxil, lo que demuestra que su efecto es sólo</w:t>
      </w:r>
      <w:r>
        <w:rPr>
          <w:spacing w:val="-12"/>
        </w:rPr>
        <w:t> </w:t>
      </w:r>
      <w:r>
        <w:rPr/>
        <w:t>fungistático.</w:t>
      </w:r>
    </w:p>
    <w:p>
      <w:pPr>
        <w:pStyle w:val="BodyText"/>
      </w:pPr>
    </w:p>
    <w:p>
      <w:pPr>
        <w:pStyle w:val="BodyText"/>
        <w:spacing w:before="7"/>
      </w:pPr>
    </w:p>
    <w:p>
      <w:pPr>
        <w:pStyle w:val="BodyText"/>
        <w:spacing w:line="480" w:lineRule="auto" w:before="1"/>
        <w:ind w:left="239" w:right="260"/>
        <w:jc w:val="both"/>
      </w:pPr>
      <w:r>
        <w:rPr>
          <w:color w:val="141413"/>
        </w:rPr>
        <w:t>Pese a lo anterior, actualmente metalaxil sigue siendo utilizado ampliamente para controlar </w:t>
      </w:r>
      <w:r>
        <w:rPr>
          <w:i/>
          <w:color w:val="141413"/>
        </w:rPr>
        <w:t>P. infestans </w:t>
      </w:r>
      <w:r>
        <w:rPr>
          <w:color w:val="141413"/>
        </w:rPr>
        <w:t>en los cultivos comerciales de papa, de hecho su uso, así</w:t>
      </w:r>
    </w:p>
    <w:p>
      <w:pPr>
        <w:spacing w:after="0" w:line="480" w:lineRule="auto"/>
        <w:jc w:val="both"/>
        <w:sectPr>
          <w:pgSz w:w="12240" w:h="15840"/>
          <w:pgMar w:header="719" w:footer="740" w:top="1260" w:bottom="920" w:left="1460" w:right="1440"/>
        </w:sectPr>
      </w:pPr>
    </w:p>
    <w:p>
      <w:pPr>
        <w:pStyle w:val="BodyText"/>
        <w:rPr>
          <w:sz w:val="14"/>
        </w:rPr>
      </w:pPr>
    </w:p>
    <w:p>
      <w:pPr>
        <w:pStyle w:val="BodyText"/>
        <w:spacing w:line="480" w:lineRule="auto" w:before="70"/>
        <w:ind w:left="239" w:right="260"/>
        <w:jc w:val="both"/>
      </w:pPr>
      <w:r>
        <w:rPr>
          <w:color w:val="141413"/>
        </w:rPr>
        <w:t>como el de otros fungicidas se ha intensificado. </w:t>
      </w:r>
      <w:r>
        <w:rPr/>
        <w:t>Los predios de temporal se ubican en las partes más altas de las zonas productoras de papa, por lo que se puede presentar contaminación difusa, ya que dadas las propiedades químicas del metalaxil, es fácil su lixiviación y arrastre desde las partes altas hasta los cuerpos de agua.</w:t>
      </w:r>
    </w:p>
    <w:p>
      <w:pPr>
        <w:pStyle w:val="BodyText"/>
      </w:pPr>
    </w:p>
    <w:p>
      <w:pPr>
        <w:pStyle w:val="BodyText"/>
        <w:spacing w:before="7"/>
      </w:pPr>
    </w:p>
    <w:p>
      <w:pPr>
        <w:pStyle w:val="BodyText"/>
        <w:spacing w:line="480" w:lineRule="auto" w:before="1"/>
        <w:ind w:left="239" w:right="260"/>
        <w:jc w:val="both"/>
      </w:pPr>
      <w:r>
        <w:rPr>
          <w:color w:val="141413"/>
        </w:rPr>
        <w:t>El presente trabajo demostró que el patrón de uso de fungicidas utilizados en el cultivo de la papa (</w:t>
      </w:r>
      <w:r>
        <w:rPr>
          <w:i/>
          <w:color w:val="141413"/>
        </w:rPr>
        <w:t>Solanum tuberosum</w:t>
      </w:r>
      <w:r>
        <w:rPr>
          <w:color w:val="141413"/>
        </w:rPr>
        <w:t>) para controlar </w:t>
      </w:r>
      <w:r>
        <w:rPr>
          <w:i/>
          <w:color w:val="141413"/>
        </w:rPr>
        <w:t>Phytophthora infestans </w:t>
      </w:r>
      <w:r>
        <w:rPr>
          <w:color w:val="141413"/>
        </w:rPr>
        <w:t>es insostenible. Los costos de remoción de los excedentes de fungicidas aplicados rebasan las ganancias que se obtienen durante el tiempo de vida productiva de los sistemas que aplican dosis superiores a lo recomendado. </w:t>
      </w:r>
      <w:r>
        <w:rPr/>
        <w:t>En Finlandia no se permite el uso de productos con metalaxil para la producción de semilla de papa, y en Noruega y Dinamarca sólo se permite una sola aplicación de metalaxil por temporada en la producción de papa (Cooke, 2011).</w:t>
      </w:r>
    </w:p>
    <w:p>
      <w:pPr>
        <w:pStyle w:val="BodyText"/>
      </w:pPr>
    </w:p>
    <w:p>
      <w:pPr>
        <w:pStyle w:val="BodyText"/>
        <w:spacing w:before="7"/>
      </w:pPr>
    </w:p>
    <w:p>
      <w:pPr>
        <w:pStyle w:val="BodyText"/>
        <w:spacing w:line="480" w:lineRule="auto" w:before="1"/>
        <w:ind w:left="239" w:right="260"/>
        <w:jc w:val="both"/>
      </w:pPr>
      <w:r>
        <w:rPr/>
        <w:t>El uso de fungicidas no solo representa un peligro a la salud pública, también contribuye a cambios en la biología de reproducción de </w:t>
      </w:r>
      <w:r>
        <w:rPr>
          <w:i/>
        </w:rPr>
        <w:t>P. infestans</w:t>
      </w:r>
      <w:r>
        <w:rPr/>
        <w:t>. Groves y Ristaino (2000) demostraron que ciertos aislamientos heterotálicos fueron capaces de producir oosporas al ser expuestos a diversos fungicidas, encontraron que los aislamientos resistentes a metalaxil produjeron mayor número de oosporas que los sensibles a metalaxil.</w:t>
      </w:r>
    </w:p>
    <w:p>
      <w:pPr>
        <w:spacing w:after="0" w:line="480" w:lineRule="auto"/>
        <w:jc w:val="both"/>
        <w:sectPr>
          <w:pgSz w:w="12240" w:h="15840"/>
          <w:pgMar w:header="719" w:footer="740" w:top="1260" w:bottom="920" w:left="1460" w:right="1440"/>
        </w:sectPr>
      </w:pPr>
    </w:p>
    <w:p>
      <w:pPr>
        <w:pStyle w:val="BodyText"/>
        <w:rPr>
          <w:sz w:val="14"/>
        </w:rPr>
      </w:pPr>
    </w:p>
    <w:p>
      <w:pPr>
        <w:pStyle w:val="BodyText"/>
        <w:spacing w:line="480" w:lineRule="auto" w:before="70"/>
        <w:ind w:left="239" w:right="260"/>
        <w:jc w:val="both"/>
      </w:pPr>
      <w:r>
        <w:rPr/>
        <w:t>Las oosporas tienen dos funciones principales en el ciclo de vida de </w:t>
      </w:r>
      <w:r>
        <w:rPr>
          <w:i/>
        </w:rPr>
        <w:t>P. infestans</w:t>
      </w:r>
      <w:r>
        <w:rPr/>
        <w:t>, en primer lugar, son las estructuras de resistencia del patógeno, las cuales pueden sobrevivir en el suelo por muchos años resistiendo ambientes adversos y aplicaciones de agroquímicos, y por lo tanto, son el inóculo inicial para las epidemias en los siguientes ciclos de cultivo (Grünwald y Flier, 2005), en segundo lugar, proporcionan un medio para la recombinación sexual, lo que permite el desarrollo de nuevos genotipos recombinantes que pueden ser más patogénicos, virulentos y resistentes  a los fungicidas (Gavino </w:t>
      </w:r>
      <w:r>
        <w:rPr>
          <w:i/>
        </w:rPr>
        <w:t>et al</w:t>
      </w:r>
      <w:r>
        <w:rPr/>
        <w:t>., 2000).</w:t>
      </w:r>
    </w:p>
    <w:p>
      <w:pPr>
        <w:pStyle w:val="BodyText"/>
      </w:pPr>
    </w:p>
    <w:p>
      <w:pPr>
        <w:pStyle w:val="BodyText"/>
        <w:spacing w:before="7"/>
      </w:pPr>
    </w:p>
    <w:p>
      <w:pPr>
        <w:pStyle w:val="BodyText"/>
        <w:spacing w:line="480" w:lineRule="auto" w:before="1"/>
        <w:ind w:left="239" w:right="260"/>
        <w:jc w:val="both"/>
      </w:pPr>
      <w:r>
        <w:rPr/>
        <w:t>De los cultivos comerciales de papa (</w:t>
      </w:r>
      <w:r>
        <w:rPr>
          <w:i/>
        </w:rPr>
        <w:t>Solanum tuberosum</w:t>
      </w:r>
      <w:r>
        <w:rPr/>
        <w:t>) tratados con metalaxil fueron obtenidos aislamientos homótalicos de </w:t>
      </w:r>
      <w:r>
        <w:rPr>
          <w:i/>
        </w:rPr>
        <w:t>Phytophthora infestans </w:t>
      </w:r>
      <w:r>
        <w:rPr/>
        <w:t>que además fueron resistentes al metalaxil. La capacidad que presentan los aislamientos homotálicos de producir de manera asexual descendencia homotálica le permite al patógeno un rápido crecimiento de su población en el tejido de la planta, así como una rápida propagación de aislamientos homotálicos hacia plantas dentro de la misma parcela y parcelas vecinas.</w:t>
      </w:r>
    </w:p>
    <w:p>
      <w:pPr>
        <w:pStyle w:val="BodyText"/>
      </w:pPr>
    </w:p>
    <w:p>
      <w:pPr>
        <w:pStyle w:val="BodyText"/>
        <w:spacing w:before="7"/>
      </w:pPr>
    </w:p>
    <w:p>
      <w:pPr>
        <w:pStyle w:val="BodyText"/>
        <w:spacing w:line="480" w:lineRule="auto" w:before="1"/>
        <w:ind w:left="239" w:right="260"/>
        <w:jc w:val="both"/>
      </w:pPr>
      <w:r>
        <w:rPr/>
        <w:t>Los resultados obtenidos indican que las poblaciones de </w:t>
      </w:r>
      <w:r>
        <w:rPr>
          <w:i/>
        </w:rPr>
        <w:t>P. infestans </w:t>
      </w:r>
      <w:r>
        <w:rPr/>
        <w:t>homotálicas probablemente producen mayor cantidad de oosporas que una población donde solo se encuentran cepas heterotálicas, el uso del metalaxil puede contribuir a un aumento en la producción de oosporas. La presencia de aislamientos homotálicos en campo aumenta la probabilidad de que ocurra la reproducción sexual. El ciclo sexual  mejora  la  aptitud  del  patógeno  mediante  la  generación  de    genotipos</w:t>
      </w:r>
    </w:p>
    <w:p>
      <w:pPr>
        <w:spacing w:after="0" w:line="480" w:lineRule="auto"/>
        <w:jc w:val="both"/>
        <w:sectPr>
          <w:pgSz w:w="12240" w:h="15840"/>
          <w:pgMar w:header="719" w:footer="740" w:top="1260" w:bottom="920" w:left="1460" w:right="1440"/>
        </w:sectPr>
      </w:pPr>
    </w:p>
    <w:p>
      <w:pPr>
        <w:pStyle w:val="BodyText"/>
        <w:rPr>
          <w:sz w:val="14"/>
        </w:rPr>
      </w:pPr>
    </w:p>
    <w:p>
      <w:pPr>
        <w:pStyle w:val="BodyText"/>
        <w:spacing w:line="480" w:lineRule="auto" w:before="70"/>
        <w:ind w:left="239" w:right="260"/>
        <w:jc w:val="both"/>
      </w:pPr>
      <w:r>
        <w:rPr/>
        <w:t>recombinantes que pueden ser más patogénicos, virulentos y resistentes a los productos químicos (Gavino </w:t>
      </w:r>
      <w:r>
        <w:rPr>
          <w:i/>
        </w:rPr>
        <w:t>et al</w:t>
      </w:r>
      <w:r>
        <w:rPr/>
        <w:t>., 2000). Debido a las oosporas, la rotación de cultivos es ahora parte del control integrado del Tizón Tardío en Europa (Cooke, 2011).</w:t>
      </w:r>
    </w:p>
    <w:p>
      <w:pPr>
        <w:pStyle w:val="BodyText"/>
      </w:pPr>
    </w:p>
    <w:p>
      <w:pPr>
        <w:pStyle w:val="BodyText"/>
        <w:spacing w:before="7"/>
      </w:pPr>
    </w:p>
    <w:p>
      <w:pPr>
        <w:pStyle w:val="BodyText"/>
        <w:spacing w:line="480" w:lineRule="auto" w:before="1"/>
        <w:ind w:left="239" w:right="260"/>
        <w:jc w:val="both"/>
      </w:pPr>
      <w:r>
        <w:rPr/>
        <w:t>La presencia de aislamientos homotálicos no se limita al Valle de Toluca, existen trabajos que reportan aislamientos homotálicos, sin embargo, no mencionan el manejo de fungicidas que tenían los cultivos de donde fueron obtenidos los aislamientos. Recientemente, Alarcón </w:t>
      </w:r>
      <w:r>
        <w:rPr>
          <w:i/>
        </w:rPr>
        <w:t>et al. </w:t>
      </w:r>
      <w:r>
        <w:rPr/>
        <w:t>(2013) observaron que predominó la población homotálica en Chapingo, Estado de México (Mx). Han </w:t>
      </w:r>
      <w:r>
        <w:rPr>
          <w:i/>
        </w:rPr>
        <w:t>et al. </w:t>
      </w:r>
      <w:r>
        <w:rPr/>
        <w:t>(2013) estudiaron una población de 85 aislamientos de </w:t>
      </w:r>
      <w:r>
        <w:rPr>
          <w:i/>
        </w:rPr>
        <w:t>P. infestans </w:t>
      </w:r>
      <w:r>
        <w:rPr/>
        <w:t>obtenidos de cultivo de papa en la Provincia de Gansu (China), donde encontraron 15 aislamientos homotálicos y 70 del tipo A1. Fernández </w:t>
      </w:r>
      <w:r>
        <w:rPr>
          <w:i/>
        </w:rPr>
        <w:t>et al</w:t>
      </w:r>
      <w:r>
        <w:rPr/>
        <w:t>. (2005) estudiaron una población de 27 aislamientos obtenidos de cultivo de papa en el Estado de Michoacán (México), donde encontraron 2 aislamientos homotálicos, y una proporción 1:1 en los tipos A1 y A2. Segura </w:t>
      </w:r>
      <w:r>
        <w:rPr>
          <w:i/>
        </w:rPr>
        <w:t>et al</w:t>
      </w:r>
      <w:r>
        <w:rPr/>
        <w:t>. (2007) estudiaron tres aislamientos de </w:t>
      </w:r>
      <w:r>
        <w:rPr>
          <w:i/>
        </w:rPr>
        <w:t>P. infestans </w:t>
      </w:r>
      <w:r>
        <w:rPr/>
        <w:t>obtenidos de cultivo de tomate en Almería y Granada (España), donde encontraron 2 aislamientos homotálicos y uno del tipo</w:t>
      </w:r>
      <w:r>
        <w:rPr>
          <w:spacing w:val="-1"/>
        </w:rPr>
        <w:t> </w:t>
      </w:r>
      <w:r>
        <w:rPr/>
        <w:t>A1A2.</w:t>
      </w:r>
    </w:p>
    <w:p>
      <w:pPr>
        <w:pStyle w:val="BodyText"/>
      </w:pPr>
    </w:p>
    <w:p>
      <w:pPr>
        <w:pStyle w:val="BodyText"/>
        <w:spacing w:before="7"/>
      </w:pPr>
    </w:p>
    <w:p>
      <w:pPr>
        <w:pStyle w:val="BodyText"/>
        <w:spacing w:line="480" w:lineRule="auto" w:before="1"/>
        <w:ind w:left="239" w:right="260"/>
        <w:jc w:val="both"/>
      </w:pPr>
      <w:r>
        <w:rPr/>
        <w:t>De acuerdo con Groves y Ristaino (2000), el metalaxil puede estar influenciando el homotalismo al actuar como imitador de las hormonas del tipo de apareamiento. Por otro lado los fungicidas comerciales pueden inducir la formación de oosporas debido a la inestabilidad del locus de tipo de apareamiento en estas cepas, o los</w:t>
      </w:r>
    </w:p>
    <w:p>
      <w:pPr>
        <w:spacing w:after="0" w:line="480" w:lineRule="auto"/>
        <w:jc w:val="both"/>
        <w:sectPr>
          <w:pgSz w:w="12240" w:h="15840"/>
          <w:pgMar w:header="719" w:footer="740" w:top="1260" w:bottom="920" w:left="1460" w:right="1440"/>
        </w:sectPr>
      </w:pPr>
    </w:p>
    <w:p>
      <w:pPr>
        <w:pStyle w:val="BodyText"/>
        <w:rPr>
          <w:sz w:val="14"/>
        </w:rPr>
      </w:pPr>
    </w:p>
    <w:p>
      <w:pPr>
        <w:pStyle w:val="BodyText"/>
        <w:spacing w:line="480" w:lineRule="auto" w:before="70"/>
        <w:ind w:left="239" w:right="260"/>
        <w:jc w:val="both"/>
      </w:pPr>
      <w:r>
        <w:rPr/>
        <w:t>propios fungicidas comerciales pueden ser la causa de la inestabilidad del locus del tipo de apareamiento ocasionando una trisomía (Groves y Ristaino, 2000; Judelson, 1996). Se necesita un análisis genético utilizando los marcadores moleculares ligados al locus tipo de apareamiento para probar lo</w:t>
      </w:r>
      <w:r>
        <w:rPr>
          <w:spacing w:val="-2"/>
        </w:rPr>
        <w:t> </w:t>
      </w:r>
      <w:r>
        <w:rPr/>
        <w:t>anterior.</w:t>
      </w:r>
    </w:p>
    <w:p>
      <w:pPr>
        <w:pStyle w:val="BodyText"/>
      </w:pPr>
    </w:p>
    <w:p>
      <w:pPr>
        <w:pStyle w:val="BodyText"/>
        <w:spacing w:before="7"/>
      </w:pPr>
    </w:p>
    <w:p>
      <w:pPr>
        <w:pStyle w:val="BodyText"/>
        <w:spacing w:before="1"/>
        <w:ind w:left="239"/>
        <w:jc w:val="both"/>
      </w:pPr>
      <w:r>
        <w:rPr/>
        <w:t>Si se sigue utilizando el control químico como el principal método de control contra</w:t>
      </w:r>
    </w:p>
    <w:p>
      <w:pPr>
        <w:pStyle w:val="BodyText"/>
      </w:pPr>
    </w:p>
    <w:p>
      <w:pPr>
        <w:pStyle w:val="BodyText"/>
        <w:spacing w:line="480" w:lineRule="auto"/>
        <w:ind w:left="239" w:right="260"/>
        <w:jc w:val="both"/>
      </w:pPr>
      <w:r>
        <w:rPr>
          <w:i/>
        </w:rPr>
        <w:t>P. infestans </w:t>
      </w:r>
      <w:r>
        <w:rPr/>
        <w:t>es probable que el Tizón Tardío de la papa continuará siendo un importante problema para la producción de esta hortaliza y un riesgo para la salud pública. En el presente trabajo se demostró que el control químico contra </w:t>
      </w:r>
      <w:r>
        <w:rPr>
          <w:i/>
        </w:rPr>
        <w:t>P. </w:t>
      </w:r>
      <w:r>
        <w:rPr>
          <w:i/>
        </w:rPr>
        <w:t>infestans </w:t>
      </w:r>
      <w:r>
        <w:rPr/>
        <w:t>es insostenible, por lo que debe ser sustituido. El Tizón Tardío puede ser controlado eficazmente aplicando una estrategia de control integrado que incluye el uso de variedades de papa resistentes a </w:t>
      </w:r>
      <w:r>
        <w:rPr>
          <w:i/>
        </w:rPr>
        <w:t>P. infestans</w:t>
      </w:r>
      <w:r>
        <w:rPr/>
        <w:t>, control de la fuente de inóculo primario, semilla libre del patógeno, correctas prácticas culturales como un manejo adecuado del riego y la fertilización correcta del cultivo, así como respetar las fechas óptimas de siembra.</w:t>
      </w:r>
    </w:p>
    <w:p>
      <w:pPr>
        <w:pStyle w:val="BodyText"/>
      </w:pPr>
    </w:p>
    <w:p>
      <w:pPr>
        <w:pStyle w:val="BodyText"/>
        <w:spacing w:before="7"/>
      </w:pPr>
    </w:p>
    <w:p>
      <w:pPr>
        <w:pStyle w:val="BodyText"/>
        <w:spacing w:line="480" w:lineRule="auto" w:before="1"/>
        <w:ind w:left="239" w:right="260"/>
        <w:jc w:val="both"/>
      </w:pPr>
      <w:r>
        <w:rPr/>
        <w:t>El control integrado del Tizón Tardío es una alternativa para disminuir la dependencia de productos químicos, y así mejorar la calidad de vida de los productores y los consumidores, y contribuir con el desarrollo de una agricultura sostenible y poder conservar esta actividad fundamental para la vida del ser humano.</w:t>
      </w:r>
    </w:p>
    <w:p>
      <w:pPr>
        <w:spacing w:after="0" w:line="480" w:lineRule="auto"/>
        <w:jc w:val="both"/>
        <w:sectPr>
          <w:pgSz w:w="12240" w:h="15840"/>
          <w:pgMar w:header="719" w:footer="740" w:top="1260" w:bottom="920" w:left="1460" w:right="1440"/>
        </w:sectPr>
      </w:pPr>
    </w:p>
    <w:p>
      <w:pPr>
        <w:pStyle w:val="BodyText"/>
        <w:rPr>
          <w:sz w:val="20"/>
        </w:rPr>
      </w:pPr>
    </w:p>
    <w:p>
      <w:pPr>
        <w:pStyle w:val="BodyText"/>
        <w:rPr>
          <w:sz w:val="20"/>
        </w:rPr>
      </w:pPr>
    </w:p>
    <w:p>
      <w:pPr>
        <w:pStyle w:val="BodyText"/>
        <w:rPr>
          <w:sz w:val="20"/>
        </w:rPr>
      </w:pPr>
    </w:p>
    <w:p>
      <w:pPr>
        <w:pStyle w:val="BodyText"/>
        <w:rPr>
          <w:sz w:val="20"/>
        </w:rPr>
      </w:pPr>
    </w:p>
    <w:p>
      <w:pPr>
        <w:pStyle w:val="Heading1"/>
        <w:numPr>
          <w:ilvl w:val="1"/>
          <w:numId w:val="1"/>
        </w:numPr>
        <w:tabs>
          <w:tab w:pos="3020" w:val="left" w:leader="none"/>
        </w:tabs>
        <w:spacing w:line="240" w:lineRule="auto" w:before="191" w:after="0"/>
        <w:ind w:left="3019" w:right="0" w:hanging="420"/>
        <w:jc w:val="left"/>
        <w:rPr>
          <w:rFonts w:ascii="Calibri"/>
        </w:rPr>
      </w:pPr>
      <w:bookmarkStart w:name="_TOC_250001" w:id="41"/>
      <w:r>
        <w:rPr>
          <w:rFonts w:ascii="Calibri"/>
        </w:rPr>
        <w:t>CONCLUSIONES </w:t>
      </w:r>
      <w:r>
        <w:rPr>
          <w:rFonts w:ascii="Calibri"/>
          <w:spacing w:val="34"/>
        </w:rPr>
        <w:t> </w:t>
      </w:r>
      <w:bookmarkEnd w:id="41"/>
      <w:r>
        <w:rPr>
          <w:rFonts w:ascii="Calibri"/>
        </w:rPr>
        <w:t>GENERALES</w:t>
      </w:r>
    </w:p>
    <w:p>
      <w:pPr>
        <w:pStyle w:val="BodyText"/>
        <w:spacing w:before="6"/>
        <w:rPr>
          <w:rFonts w:ascii="Calibri"/>
          <w:b/>
          <w:sz w:val="45"/>
        </w:rPr>
      </w:pPr>
    </w:p>
    <w:p>
      <w:pPr>
        <w:pStyle w:val="ListParagraph"/>
        <w:numPr>
          <w:ilvl w:val="0"/>
          <w:numId w:val="29"/>
        </w:numPr>
        <w:tabs>
          <w:tab w:pos="557" w:val="left" w:leader="none"/>
        </w:tabs>
        <w:spacing w:line="480" w:lineRule="auto" w:before="0" w:after="0"/>
        <w:ind w:left="239" w:right="260" w:firstLine="0"/>
        <w:jc w:val="both"/>
        <w:rPr>
          <w:rFonts w:ascii="Arial" w:hAnsi="Arial"/>
          <w:sz w:val="24"/>
        </w:rPr>
      </w:pPr>
      <w:r>
        <w:rPr>
          <w:rFonts w:ascii="Arial" w:hAnsi="Arial"/>
          <w:sz w:val="24"/>
        </w:rPr>
        <w:t>El patrón de uso de fungicidas en dosis superiores a lo recomendado para controlar </w:t>
      </w:r>
      <w:r>
        <w:rPr>
          <w:rFonts w:ascii="Arial" w:hAnsi="Arial"/>
          <w:i/>
          <w:sz w:val="24"/>
        </w:rPr>
        <w:t>P. infestans </w:t>
      </w:r>
      <w:r>
        <w:rPr>
          <w:rFonts w:ascii="Arial" w:hAnsi="Arial"/>
          <w:sz w:val="24"/>
        </w:rPr>
        <w:t>en cultivos comerciales de papa (</w:t>
      </w:r>
      <w:r>
        <w:rPr>
          <w:rFonts w:ascii="Arial" w:hAnsi="Arial"/>
          <w:i/>
          <w:sz w:val="24"/>
        </w:rPr>
        <w:t>Solanum tuberosum</w:t>
      </w:r>
      <w:r>
        <w:rPr>
          <w:rFonts w:ascii="Arial" w:hAnsi="Arial"/>
          <w:sz w:val="24"/>
        </w:rPr>
        <w:t>) es insostenible.</w:t>
      </w:r>
    </w:p>
    <w:p>
      <w:pPr>
        <w:pStyle w:val="BodyText"/>
      </w:pPr>
    </w:p>
    <w:p>
      <w:pPr>
        <w:pStyle w:val="BodyText"/>
        <w:spacing w:before="7"/>
      </w:pPr>
    </w:p>
    <w:p>
      <w:pPr>
        <w:pStyle w:val="ListParagraph"/>
        <w:numPr>
          <w:ilvl w:val="0"/>
          <w:numId w:val="29"/>
        </w:numPr>
        <w:tabs>
          <w:tab w:pos="518" w:val="left" w:leader="none"/>
        </w:tabs>
        <w:spacing w:line="480" w:lineRule="auto" w:before="1" w:after="0"/>
        <w:ind w:left="239" w:right="260" w:firstLine="0"/>
        <w:jc w:val="both"/>
        <w:rPr>
          <w:rFonts w:ascii="Arial" w:hAnsi="Arial"/>
          <w:sz w:val="24"/>
        </w:rPr>
      </w:pPr>
      <w:r>
        <w:rPr>
          <w:rFonts w:ascii="Arial" w:hAnsi="Arial"/>
          <w:sz w:val="24"/>
        </w:rPr>
        <w:t>Los excedentes de fungicidas aplicados en los cultivos de papa representan un riesgo potencial a la salud pública no sólo al consumir directamente el tubérculo contaminado por estos compuestos, sino también por la contaminación difusa que pueda existir en los cuerpos de</w:t>
      </w:r>
      <w:r>
        <w:rPr>
          <w:rFonts w:ascii="Arial" w:hAnsi="Arial"/>
          <w:spacing w:val="-1"/>
          <w:sz w:val="24"/>
        </w:rPr>
        <w:t> </w:t>
      </w:r>
      <w:r>
        <w:rPr>
          <w:rFonts w:ascii="Arial" w:hAnsi="Arial"/>
          <w:sz w:val="24"/>
        </w:rPr>
        <w:t>agua.</w:t>
      </w:r>
    </w:p>
    <w:p>
      <w:pPr>
        <w:pStyle w:val="BodyText"/>
      </w:pPr>
    </w:p>
    <w:p>
      <w:pPr>
        <w:pStyle w:val="BodyText"/>
        <w:spacing w:before="7"/>
      </w:pPr>
    </w:p>
    <w:p>
      <w:pPr>
        <w:pStyle w:val="ListParagraph"/>
        <w:numPr>
          <w:ilvl w:val="0"/>
          <w:numId w:val="29"/>
        </w:numPr>
        <w:tabs>
          <w:tab w:pos="516" w:val="left" w:leader="none"/>
        </w:tabs>
        <w:spacing w:line="480" w:lineRule="auto" w:before="1" w:after="0"/>
        <w:ind w:left="239" w:right="260" w:firstLine="0"/>
        <w:jc w:val="both"/>
        <w:rPr>
          <w:rFonts w:ascii="Arial" w:hAnsi="Arial"/>
          <w:sz w:val="24"/>
        </w:rPr>
      </w:pPr>
      <w:r>
        <w:rPr>
          <w:rFonts w:ascii="Arial" w:hAnsi="Arial"/>
          <w:sz w:val="24"/>
        </w:rPr>
        <w:t>En la zona de estudio se siguen patrones de uso de fungicidas superiores a los de los países desarrollados.</w:t>
      </w:r>
    </w:p>
    <w:p>
      <w:pPr>
        <w:pStyle w:val="BodyText"/>
      </w:pPr>
    </w:p>
    <w:p>
      <w:pPr>
        <w:pStyle w:val="BodyText"/>
        <w:spacing w:before="7"/>
      </w:pPr>
    </w:p>
    <w:p>
      <w:pPr>
        <w:pStyle w:val="BodyText"/>
        <w:spacing w:line="480" w:lineRule="auto" w:before="1"/>
        <w:ind w:left="239" w:right="260"/>
        <w:jc w:val="both"/>
      </w:pPr>
      <w:r>
        <w:rPr/>
        <w:t>4.- El uso de fungicidas no solo representa un peligro a la salud pública, sino que también contribuye a cambios en la biología de reproducción de </w:t>
      </w:r>
      <w:r>
        <w:rPr>
          <w:i/>
        </w:rPr>
        <w:t>P. infestans</w:t>
      </w:r>
      <w:r>
        <w:rPr/>
        <w:t>. Se obtuvieron aislamientos homotálicos de </w:t>
      </w:r>
      <w:r>
        <w:rPr>
          <w:i/>
        </w:rPr>
        <w:t>P. infestans </w:t>
      </w:r>
      <w:r>
        <w:rPr/>
        <w:t>de cultivos comerciales de papa que fueron tratados con metalaxil.</w:t>
      </w:r>
    </w:p>
    <w:p>
      <w:pPr>
        <w:pStyle w:val="BodyText"/>
      </w:pPr>
    </w:p>
    <w:p>
      <w:pPr>
        <w:pStyle w:val="BodyText"/>
        <w:spacing w:before="7"/>
      </w:pPr>
    </w:p>
    <w:p>
      <w:pPr>
        <w:pStyle w:val="ListParagraph"/>
        <w:numPr>
          <w:ilvl w:val="0"/>
          <w:numId w:val="30"/>
        </w:numPr>
        <w:tabs>
          <w:tab w:pos="509" w:val="left" w:leader="none"/>
        </w:tabs>
        <w:spacing w:line="477" w:lineRule="auto" w:before="1" w:after="0"/>
        <w:ind w:left="239" w:right="260" w:firstLine="0"/>
        <w:jc w:val="both"/>
        <w:rPr>
          <w:rFonts w:ascii="Arial" w:hAnsi="Arial"/>
          <w:sz w:val="24"/>
        </w:rPr>
      </w:pPr>
      <w:r>
        <w:rPr>
          <w:rFonts w:ascii="Arial" w:hAnsi="Arial"/>
          <w:sz w:val="24"/>
        </w:rPr>
        <w:t>La presencia de aislamientos homotálicos en campo aumenta la probabilidad de que ocurra la reproducción sexual, debido a que los aislamientos homotálicos tienen  la  capacidad  de  actuar  como  heterotálicos  del  tipo  A1  y  A2  en     </w:t>
      </w:r>
      <w:r>
        <w:rPr>
          <w:rFonts w:ascii="Arial" w:hAnsi="Arial"/>
          <w:spacing w:val="30"/>
          <w:sz w:val="24"/>
        </w:rPr>
        <w:t> </w:t>
      </w:r>
      <w:r>
        <w:rPr>
          <w:rFonts w:ascii="Arial" w:hAnsi="Arial"/>
          <w:sz w:val="24"/>
        </w:rPr>
        <w:t>los</w:t>
      </w:r>
    </w:p>
    <w:p>
      <w:pPr>
        <w:spacing w:after="0" w:line="477" w:lineRule="auto"/>
        <w:jc w:val="both"/>
        <w:rPr>
          <w:rFonts w:ascii="Arial" w:hAnsi="Arial"/>
          <w:sz w:val="24"/>
        </w:rPr>
        <w:sectPr>
          <w:pgSz w:w="12240" w:h="15840"/>
          <w:pgMar w:header="719" w:footer="740" w:top="1260" w:bottom="920" w:left="1460" w:right="1440"/>
        </w:sectPr>
      </w:pPr>
    </w:p>
    <w:p>
      <w:pPr>
        <w:pStyle w:val="BodyText"/>
        <w:rPr>
          <w:sz w:val="14"/>
        </w:rPr>
      </w:pPr>
    </w:p>
    <w:p>
      <w:pPr>
        <w:pStyle w:val="BodyText"/>
        <w:spacing w:line="480" w:lineRule="auto" w:before="70"/>
        <w:ind w:left="239" w:right="260"/>
        <w:jc w:val="both"/>
      </w:pPr>
      <w:r>
        <w:rPr/>
        <w:t>enfrentamientos heterotálicos, y son capaces de reproducir estructuras sexuales (oognonios y anteridios anfiginos) y oosporas por sí solos.</w:t>
      </w:r>
    </w:p>
    <w:p>
      <w:pPr>
        <w:pStyle w:val="BodyText"/>
      </w:pPr>
    </w:p>
    <w:p>
      <w:pPr>
        <w:pStyle w:val="BodyText"/>
        <w:spacing w:before="7"/>
      </w:pPr>
    </w:p>
    <w:p>
      <w:pPr>
        <w:pStyle w:val="ListParagraph"/>
        <w:numPr>
          <w:ilvl w:val="0"/>
          <w:numId w:val="30"/>
        </w:numPr>
        <w:tabs>
          <w:tab w:pos="516" w:val="left" w:leader="none"/>
        </w:tabs>
        <w:spacing w:line="480" w:lineRule="auto" w:before="1" w:after="0"/>
        <w:ind w:left="239" w:right="260" w:firstLine="0"/>
        <w:jc w:val="both"/>
        <w:rPr>
          <w:rFonts w:ascii="Arial" w:hAnsi="Arial"/>
          <w:sz w:val="24"/>
        </w:rPr>
      </w:pPr>
      <w:r>
        <w:rPr>
          <w:rFonts w:ascii="Arial" w:hAnsi="Arial"/>
          <w:sz w:val="24"/>
        </w:rPr>
        <w:t>Se asume que en las poblaciones de </w:t>
      </w:r>
      <w:r>
        <w:rPr>
          <w:rFonts w:ascii="Arial" w:hAnsi="Arial"/>
          <w:i/>
          <w:sz w:val="24"/>
        </w:rPr>
        <w:t>P. infestans </w:t>
      </w:r>
      <w:r>
        <w:rPr>
          <w:rFonts w:ascii="Arial" w:hAnsi="Arial"/>
          <w:sz w:val="24"/>
        </w:rPr>
        <w:t>con homotálicos se producen mayor cantidad de oosporas que una población donde sólo se encuentran cepas heterotálicas, donde el uso del metalaxil puede contribuir en un aumento en la producción de oosporas, aumentando la fuente de inoculo del patógeno en las parcelas.</w:t>
      </w:r>
    </w:p>
    <w:p>
      <w:pPr>
        <w:pStyle w:val="BodyText"/>
      </w:pPr>
    </w:p>
    <w:p>
      <w:pPr>
        <w:pStyle w:val="BodyText"/>
        <w:spacing w:before="7"/>
      </w:pPr>
    </w:p>
    <w:p>
      <w:pPr>
        <w:pStyle w:val="ListParagraph"/>
        <w:numPr>
          <w:ilvl w:val="0"/>
          <w:numId w:val="30"/>
        </w:numPr>
        <w:tabs>
          <w:tab w:pos="562" w:val="left" w:leader="none"/>
        </w:tabs>
        <w:spacing w:line="480" w:lineRule="auto" w:before="1" w:after="0"/>
        <w:ind w:left="239" w:right="260" w:firstLine="0"/>
        <w:jc w:val="both"/>
        <w:rPr>
          <w:rFonts w:ascii="Arial" w:hAnsi="Arial"/>
          <w:sz w:val="24"/>
        </w:rPr>
      </w:pPr>
      <w:r>
        <w:rPr>
          <w:rFonts w:ascii="Arial" w:hAnsi="Arial"/>
          <w:sz w:val="24"/>
        </w:rPr>
        <w:t>El control químico contra </w:t>
      </w:r>
      <w:r>
        <w:rPr>
          <w:rFonts w:ascii="Arial" w:hAnsi="Arial"/>
          <w:i/>
          <w:sz w:val="24"/>
        </w:rPr>
        <w:t>P. infestans </w:t>
      </w:r>
      <w:r>
        <w:rPr>
          <w:rFonts w:ascii="Arial" w:hAnsi="Arial"/>
          <w:sz w:val="24"/>
        </w:rPr>
        <w:t>debe ser sustituido como el principal método de control. El Tizón Tardío puede ser controlado eficazmente aplicando una estrategia de</w:t>
      </w:r>
      <w:r>
        <w:rPr>
          <w:rFonts w:ascii="Arial" w:hAnsi="Arial"/>
          <w:spacing w:val="-2"/>
          <w:sz w:val="24"/>
        </w:rPr>
        <w:t> </w:t>
      </w:r>
      <w:r>
        <w:rPr>
          <w:rFonts w:ascii="Arial" w:hAnsi="Arial"/>
          <w:sz w:val="24"/>
        </w:rPr>
        <w:t>manejo.</w:t>
      </w:r>
    </w:p>
    <w:p>
      <w:pPr>
        <w:spacing w:after="0" w:line="480" w:lineRule="auto"/>
        <w:jc w:val="both"/>
        <w:rPr>
          <w:rFonts w:ascii="Arial" w:hAnsi="Arial"/>
          <w:sz w:val="24"/>
        </w:rPr>
        <w:sectPr>
          <w:pgSz w:w="12240" w:h="15840"/>
          <w:pgMar w:header="719" w:footer="740" w:top="1260" w:bottom="920" w:left="1460" w:right="1440"/>
        </w:sectPr>
      </w:pPr>
    </w:p>
    <w:p>
      <w:pPr>
        <w:pStyle w:val="BodyText"/>
        <w:rPr>
          <w:sz w:val="20"/>
        </w:rPr>
      </w:pPr>
    </w:p>
    <w:p>
      <w:pPr>
        <w:pStyle w:val="BodyText"/>
        <w:rPr>
          <w:sz w:val="20"/>
        </w:rPr>
      </w:pPr>
    </w:p>
    <w:p>
      <w:pPr>
        <w:pStyle w:val="BodyText"/>
        <w:rPr>
          <w:sz w:val="20"/>
        </w:rPr>
      </w:pPr>
    </w:p>
    <w:p>
      <w:pPr>
        <w:pStyle w:val="BodyText"/>
        <w:rPr>
          <w:sz w:val="20"/>
        </w:rPr>
      </w:pPr>
    </w:p>
    <w:p>
      <w:pPr>
        <w:pStyle w:val="Heading1"/>
        <w:numPr>
          <w:ilvl w:val="1"/>
          <w:numId w:val="1"/>
        </w:numPr>
        <w:tabs>
          <w:tab w:pos="3707" w:val="left" w:leader="none"/>
        </w:tabs>
        <w:spacing w:line="240" w:lineRule="auto" w:before="191" w:after="0"/>
        <w:ind w:left="3706" w:right="0" w:hanging="391"/>
        <w:jc w:val="left"/>
      </w:pPr>
      <w:bookmarkStart w:name="_TOC_250000" w:id="42"/>
      <w:bookmarkEnd w:id="42"/>
      <w:r>
        <w:rPr/>
        <w:t>REFERENCIAS</w:t>
      </w:r>
    </w:p>
    <w:p>
      <w:pPr>
        <w:pStyle w:val="BodyText"/>
        <w:spacing w:line="480" w:lineRule="auto" w:before="285"/>
        <w:ind w:left="806" w:right="260" w:hanging="567"/>
        <w:jc w:val="both"/>
      </w:pPr>
      <w:r>
        <w:rPr/>
        <w:t>Briones, G. 1996. Metodología de la investigación cuantitativa en las ciencias sociales</w:t>
      </w:r>
      <w:r>
        <w:rPr>
          <w:i/>
        </w:rPr>
        <w:t>. </w:t>
      </w:r>
      <w:r>
        <w:rPr/>
        <w:t>ICFES. Bogotá, Colombia. 217 pp.</w:t>
      </w:r>
    </w:p>
    <w:p>
      <w:pPr>
        <w:pStyle w:val="BodyText"/>
        <w:spacing w:line="480" w:lineRule="auto" w:before="8"/>
        <w:ind w:left="806" w:right="260" w:hanging="567"/>
        <w:jc w:val="both"/>
      </w:pPr>
      <w:r>
        <w:rPr/>
        <w:t>Caten, C. E. y J. L. Jinks. 1968. Spontaneous variability of single isolates of </w:t>
      </w:r>
      <w:r>
        <w:rPr>
          <w:i/>
        </w:rPr>
        <w:t>Phytophthora infestans</w:t>
      </w:r>
      <w:r>
        <w:rPr/>
        <w:t>. I. Cultural variation. Canadian Journal of Botany </w:t>
      </w:r>
      <w:r>
        <w:rPr>
          <w:i/>
        </w:rPr>
        <w:t>46</w:t>
      </w:r>
      <w:r>
        <w:rPr/>
        <w:t>, 329-348.</w:t>
      </w:r>
    </w:p>
    <w:p>
      <w:pPr>
        <w:pStyle w:val="BodyText"/>
        <w:spacing w:line="480" w:lineRule="auto" w:before="8"/>
        <w:ind w:left="806" w:right="260" w:hanging="567"/>
        <w:jc w:val="both"/>
      </w:pPr>
      <w:r>
        <w:rPr/>
        <w:t>Chern, L.L., Ko, W.H. y Tang, C.S. 1996. Factors affecting yields of alpha hormones of </w:t>
      </w:r>
      <w:r>
        <w:rPr>
          <w:i/>
        </w:rPr>
        <w:t>Phytophthora parasitica </w:t>
      </w:r>
      <w:r>
        <w:rPr/>
        <w:t>obtained by adsorption. Canadian Journal of Microbiology </w:t>
      </w:r>
      <w:r>
        <w:rPr>
          <w:i/>
        </w:rPr>
        <w:t>42</w:t>
      </w:r>
      <w:r>
        <w:rPr/>
        <w:t>, 172 –176.</w:t>
      </w:r>
    </w:p>
    <w:p>
      <w:pPr>
        <w:pStyle w:val="BodyText"/>
        <w:spacing w:line="477" w:lineRule="auto" w:before="8"/>
        <w:ind w:left="806" w:right="260" w:hanging="567"/>
        <w:jc w:val="both"/>
      </w:pPr>
      <w:r>
        <w:rPr/>
        <w:t>CICOPLAFEST. 2004. Catálogo oficial de plaguicidas. Comisión Intersecretarial para el Control del Proceso y Uso de Plaguicidas, Fertilizantes y Sustancias Tóxicas. Catálogo. México D.F. 483 pp.</w:t>
      </w:r>
    </w:p>
    <w:p>
      <w:pPr>
        <w:pStyle w:val="BodyText"/>
        <w:spacing w:line="480" w:lineRule="auto" w:before="10"/>
        <w:ind w:left="806" w:right="260" w:hanging="567"/>
        <w:jc w:val="both"/>
      </w:pPr>
      <w:r>
        <w:rPr/>
        <w:t>CIP. 2013. Centro Internacional de la Papa. Potato. En línea: </w:t>
      </w:r>
      <w:hyperlink r:id="rId62">
        <w:r>
          <w:rPr/>
          <w:t>http://cipotato.org/potato</w:t>
        </w:r>
      </w:hyperlink>
      <w:r>
        <w:rPr/>
        <w:t> 15/07/2013.</w:t>
      </w:r>
    </w:p>
    <w:p>
      <w:pPr>
        <w:pStyle w:val="BodyText"/>
        <w:spacing w:before="8"/>
        <w:ind w:left="239"/>
      </w:pPr>
      <w:r>
        <w:rPr/>
        <w:t>Cooke, L. R.,. Schepers, H. T. A. M., Hermansen, A., Bain, R. A., Bradshaw, N.  J.,</w:t>
      </w:r>
    </w:p>
    <w:p>
      <w:pPr>
        <w:pStyle w:val="BodyText"/>
      </w:pPr>
    </w:p>
    <w:p>
      <w:pPr>
        <w:pStyle w:val="BodyText"/>
        <w:spacing w:line="480" w:lineRule="auto"/>
        <w:ind w:left="806" w:right="260"/>
        <w:jc w:val="both"/>
      </w:pPr>
      <w:r>
        <w:rPr/>
        <w:t>Ritchie, F., Shaw, D. S., Evenhuis, A. Kessel, G. J. T., Wander, J. G. N., Andersson, B., Hansen, J. G., Hannukkala, A., Nærstad, R. , y Nielsen, B. J. 2011. Epidemiology and Integrated Control of Potato Late Blight in Europe. Potato Research </w:t>
      </w:r>
      <w:r>
        <w:rPr>
          <w:i/>
        </w:rPr>
        <w:t>54</w:t>
      </w:r>
      <w:r>
        <w:rPr/>
        <w:t>, 183–222</w:t>
      </w:r>
    </w:p>
    <w:p>
      <w:pPr>
        <w:pStyle w:val="BodyText"/>
        <w:spacing w:line="480" w:lineRule="auto" w:before="8"/>
        <w:ind w:left="806" w:right="260" w:hanging="567"/>
        <w:jc w:val="both"/>
      </w:pPr>
      <w:r>
        <w:rPr/>
        <w:t>Davidse, L. C. 1987. Biochemical aspects of phenylamide fungicides-action and resistance. En </w:t>
      </w:r>
      <w:r>
        <w:rPr>
          <w:i/>
        </w:rPr>
        <w:t>Modern Selective Fungicides </w:t>
      </w:r>
      <w:r>
        <w:rPr/>
        <w:t>(H. Lyr, Ed.), pp. 275–282. Longman Scientific &amp; Technical, New York.</w:t>
      </w:r>
    </w:p>
    <w:p>
      <w:pPr>
        <w:spacing w:after="0" w:line="480" w:lineRule="auto"/>
        <w:jc w:val="both"/>
        <w:sectPr>
          <w:footerReference w:type="default" r:id="rId61"/>
          <w:pgSz w:w="12240" w:h="15840"/>
          <w:pgMar w:footer="740" w:header="719" w:top="1260" w:bottom="920" w:left="1460" w:right="1440"/>
        </w:sectPr>
      </w:pPr>
    </w:p>
    <w:p>
      <w:pPr>
        <w:pStyle w:val="BodyText"/>
        <w:rPr>
          <w:sz w:val="14"/>
        </w:rPr>
      </w:pPr>
    </w:p>
    <w:p>
      <w:pPr>
        <w:pStyle w:val="BodyText"/>
        <w:spacing w:line="480" w:lineRule="auto" w:before="70"/>
        <w:ind w:left="806" w:right="260" w:hanging="567"/>
        <w:jc w:val="both"/>
      </w:pPr>
      <w:r>
        <w:rPr/>
        <w:t>Davidse, L. C. 1988. Phenylamide fungicides: Mechanism of action and resistance. En </w:t>
      </w:r>
      <w:r>
        <w:rPr>
          <w:i/>
        </w:rPr>
        <w:t>Fungicide resistance in North America </w:t>
      </w:r>
      <w:r>
        <w:rPr/>
        <w:t>(C. J. Delp, ,Ed.), pp. 63–65. American Phytopathological Society, St. Paul, Minnesota.</w:t>
      </w:r>
    </w:p>
    <w:p>
      <w:pPr>
        <w:pStyle w:val="BodyText"/>
        <w:spacing w:line="480" w:lineRule="auto" w:before="8"/>
        <w:ind w:left="806" w:right="260" w:hanging="567"/>
        <w:jc w:val="both"/>
      </w:pPr>
      <w:r>
        <w:rPr/>
        <w:t>Davidse, L. C., Looijen, D., Turkensteen, L. J., y van der Wal, D. 1981. Occurrence of metalaxyl-resistant strains of </w:t>
      </w:r>
      <w:r>
        <w:rPr>
          <w:i/>
        </w:rPr>
        <w:t>Phytophthora infestans </w:t>
      </w:r>
      <w:r>
        <w:rPr/>
        <w:t>in Dutch potato fields. Netherlands Journal of Plant Pathology </w:t>
      </w:r>
      <w:r>
        <w:rPr>
          <w:i/>
        </w:rPr>
        <w:t>87</w:t>
      </w:r>
      <w:r>
        <w:rPr>
          <w:b/>
        </w:rPr>
        <w:t>, </w:t>
      </w:r>
      <w:r>
        <w:rPr/>
        <w:t>65–68.</w:t>
      </w:r>
    </w:p>
    <w:p>
      <w:pPr>
        <w:spacing w:before="8"/>
        <w:ind w:left="239" w:right="0" w:firstLine="0"/>
        <w:jc w:val="left"/>
        <w:rPr>
          <w:sz w:val="24"/>
        </w:rPr>
      </w:pPr>
      <w:r>
        <w:rPr>
          <w:sz w:val="24"/>
        </w:rPr>
        <w:t>Dekker, J. 1977. Resistance. En </w:t>
      </w:r>
      <w:r>
        <w:rPr>
          <w:i/>
          <w:sz w:val="24"/>
        </w:rPr>
        <w:t>Systemic Fungicides </w:t>
      </w:r>
      <w:r>
        <w:rPr>
          <w:sz w:val="24"/>
        </w:rPr>
        <w:t>(R. W. Marsh, Ed.), pp. 176–</w:t>
      </w:r>
    </w:p>
    <w:p>
      <w:pPr>
        <w:pStyle w:val="BodyText"/>
      </w:pPr>
    </w:p>
    <w:p>
      <w:pPr>
        <w:pStyle w:val="BodyText"/>
        <w:ind w:left="806"/>
      </w:pPr>
      <w:r>
        <w:rPr/>
        <w:t>197. Longman Group Limited, London.</w:t>
      </w:r>
    </w:p>
    <w:p>
      <w:pPr>
        <w:pStyle w:val="BodyText"/>
      </w:pPr>
    </w:p>
    <w:p>
      <w:pPr>
        <w:pStyle w:val="BodyText"/>
        <w:spacing w:line="480" w:lineRule="auto"/>
        <w:ind w:left="806" w:right="260" w:hanging="567"/>
        <w:jc w:val="both"/>
      </w:pPr>
      <w:r>
        <w:rPr/>
        <w:t>Dowley, L. J., y O’Sullivan, E. 1981. Metalaxyl-resistant strains of </w:t>
      </w:r>
      <w:r>
        <w:rPr>
          <w:i/>
        </w:rPr>
        <w:t>Phytophthora </w:t>
      </w:r>
      <w:r>
        <w:rPr>
          <w:i/>
        </w:rPr>
        <w:t>infestans </w:t>
      </w:r>
      <w:r>
        <w:rPr/>
        <w:t>(Mont.) de Bary in Ireland. Potato Research </w:t>
      </w:r>
      <w:r>
        <w:rPr>
          <w:i/>
        </w:rPr>
        <w:t>24</w:t>
      </w:r>
      <w:r>
        <w:rPr>
          <w:b/>
        </w:rPr>
        <w:t>, </w:t>
      </w:r>
      <w:r>
        <w:rPr/>
        <w:t>417–421.</w:t>
      </w:r>
    </w:p>
    <w:p>
      <w:pPr>
        <w:pStyle w:val="BodyText"/>
        <w:spacing w:line="480" w:lineRule="auto" w:before="8"/>
        <w:ind w:left="806" w:right="260" w:hanging="567"/>
        <w:jc w:val="both"/>
      </w:pPr>
      <w:r>
        <w:rPr/>
        <w:t>Errebhi, M.; Rosen, C. J.; Gupta, S. C. y Birong, D. E. 1998. Potato yield response and nitrate leaching as influenced by nitrogen management. Agrononomy Journal </w:t>
      </w:r>
      <w:r>
        <w:rPr>
          <w:i/>
        </w:rPr>
        <w:t>90</w:t>
      </w:r>
      <w:r>
        <w:rPr/>
        <w:t>, 10-15.</w:t>
      </w:r>
    </w:p>
    <w:p>
      <w:pPr>
        <w:pStyle w:val="BodyText"/>
        <w:spacing w:line="480" w:lineRule="auto" w:before="8"/>
        <w:ind w:left="806" w:right="260" w:hanging="567"/>
        <w:jc w:val="both"/>
      </w:pPr>
      <w:r>
        <w:rPr/>
        <w:t>Erwin, D. C y Ribeiro, O. K. Phytophthora Diseases Worldwide. The American Phytopathological Society. St. Paul, MN, 1996. 562pp.</w:t>
      </w:r>
    </w:p>
    <w:p>
      <w:pPr>
        <w:pStyle w:val="BodyText"/>
        <w:spacing w:line="480" w:lineRule="auto" w:before="8"/>
        <w:ind w:left="806" w:right="260" w:hanging="567"/>
        <w:jc w:val="both"/>
      </w:pPr>
      <w:r>
        <w:rPr/>
        <w:t>Fernández Pavia S.P., Grünwald, N.J., Fry, W.E. 2002. Formation of </w:t>
      </w:r>
      <w:r>
        <w:rPr>
          <w:i/>
        </w:rPr>
        <w:t>Phytophthora </w:t>
      </w:r>
      <w:r>
        <w:rPr>
          <w:i/>
        </w:rPr>
        <w:t>infestans </w:t>
      </w:r>
      <w:r>
        <w:rPr/>
        <w:t>oospores in nature on tubers in central Mexico. Plant Disease </w:t>
      </w:r>
      <w:r>
        <w:rPr>
          <w:i/>
        </w:rPr>
        <w:t>86</w:t>
      </w:r>
      <w:r>
        <w:rPr/>
        <w:t>, 73.</w:t>
      </w:r>
    </w:p>
    <w:p>
      <w:pPr>
        <w:pStyle w:val="BodyText"/>
        <w:spacing w:line="480" w:lineRule="auto" w:before="8"/>
        <w:ind w:left="806" w:right="260" w:hanging="567"/>
        <w:jc w:val="both"/>
      </w:pPr>
      <w:r>
        <w:rPr/>
        <w:t>Fernández Pavia, S.P., Rodríguez Alvarado, G., Garay Serrano, E., Belmar Díaz, C.R., Sturbaum, A.K., Flier, W., y Lozoya Saldaña, H. 2005. Caracterización de aislamientos de </w:t>
      </w:r>
      <w:r>
        <w:rPr>
          <w:i/>
        </w:rPr>
        <w:t>Phytophthora infestans </w:t>
      </w:r>
      <w:r>
        <w:rPr/>
        <w:t>(Mont.) de Bary provenientes de Michoacán, México. Revista Mexicana de Fitopatología 23: 191-197.</w:t>
      </w:r>
    </w:p>
    <w:p>
      <w:pPr>
        <w:spacing w:after="0" w:line="480" w:lineRule="auto"/>
        <w:jc w:val="both"/>
        <w:sectPr>
          <w:footerReference w:type="default" r:id="rId63"/>
          <w:pgSz w:w="12240" w:h="15840"/>
          <w:pgMar w:footer="740" w:header="719" w:top="1260" w:bottom="920" w:left="1460" w:right="1440"/>
          <w:pgNumType w:start="71"/>
        </w:sectPr>
      </w:pPr>
    </w:p>
    <w:p>
      <w:pPr>
        <w:pStyle w:val="BodyText"/>
        <w:rPr>
          <w:sz w:val="14"/>
        </w:rPr>
      </w:pPr>
    </w:p>
    <w:p>
      <w:pPr>
        <w:pStyle w:val="BodyText"/>
        <w:spacing w:line="480" w:lineRule="auto" w:before="70"/>
        <w:ind w:left="806" w:right="260" w:hanging="567"/>
        <w:jc w:val="both"/>
      </w:pPr>
      <w:r>
        <w:rPr/>
        <w:t>Flier, W.G., Grünwald, N.J., Fry, W.E., Turkensteen LJ 2001. Formation,  production and viability of oospores of Phytophthora infestans from potato  and Solanum demissum in the Toluca Valley, central Mexico. Mycological Research </w:t>
      </w:r>
      <w:r>
        <w:rPr>
          <w:i/>
        </w:rPr>
        <w:t>105</w:t>
      </w:r>
      <w:r>
        <w:rPr/>
        <w:t>,</w:t>
      </w:r>
      <w:r>
        <w:rPr>
          <w:spacing w:val="-4"/>
        </w:rPr>
        <w:t> </w:t>
      </w:r>
      <w:r>
        <w:rPr/>
        <w:t>998–1006.</w:t>
      </w:r>
    </w:p>
    <w:p>
      <w:pPr>
        <w:pStyle w:val="BodyText"/>
        <w:spacing w:line="480" w:lineRule="auto" w:before="8"/>
        <w:ind w:left="806" w:right="260" w:hanging="567"/>
        <w:jc w:val="both"/>
      </w:pPr>
      <w:r>
        <w:rPr/>
        <w:t>FRAC. 1992. FRAC methods for monitoring the sensitivity of fungal pathogens to phenylamide fungicides. EPPO Bulletin 22, 297-322.</w:t>
      </w:r>
    </w:p>
    <w:p>
      <w:pPr>
        <w:pStyle w:val="BodyText"/>
        <w:spacing w:line="480" w:lineRule="auto" w:before="8"/>
        <w:ind w:left="806" w:right="260" w:hanging="567"/>
        <w:jc w:val="both"/>
      </w:pPr>
      <w:r>
        <w:rPr/>
        <w:t>FRAC. 2011. Fungicide Resistance Action Committee. Recomendaciones de uso de los fungicidas: Expert Fora Phenylamides [en línea]. </w:t>
      </w:r>
      <w:hyperlink r:id="rId64">
        <w:r>
          <w:rPr/>
          <w:t>http://www.frac.info/frac/index.htm</w:t>
        </w:r>
      </w:hyperlink>
      <w:r>
        <w:rPr/>
        <w:t> 12/12/2011.</w:t>
      </w:r>
    </w:p>
    <w:p>
      <w:pPr>
        <w:pStyle w:val="BodyText"/>
        <w:spacing w:before="8"/>
        <w:ind w:left="239"/>
      </w:pPr>
      <w:r>
        <w:rPr/>
        <w:t>Fry, W.E., y Goodwin, S.B. 1997. Resurgence of the Irish potato famine fungus.</w:t>
      </w:r>
    </w:p>
    <w:p>
      <w:pPr>
        <w:pStyle w:val="BodyText"/>
      </w:pPr>
    </w:p>
    <w:p>
      <w:pPr>
        <w:pStyle w:val="BodyText"/>
        <w:ind w:left="806"/>
      </w:pPr>
      <w:r>
        <w:rPr/>
        <w:t>Bioscience </w:t>
      </w:r>
      <w:r>
        <w:rPr>
          <w:i/>
        </w:rPr>
        <w:t>47</w:t>
      </w:r>
      <w:r>
        <w:rPr/>
        <w:t>, 363- 371.</w:t>
      </w:r>
    </w:p>
    <w:p>
      <w:pPr>
        <w:pStyle w:val="BodyText"/>
      </w:pPr>
    </w:p>
    <w:p>
      <w:pPr>
        <w:pStyle w:val="BodyText"/>
        <w:spacing w:line="480" w:lineRule="auto"/>
        <w:ind w:left="806" w:right="260" w:hanging="567"/>
        <w:jc w:val="both"/>
      </w:pPr>
      <w:r>
        <w:rPr/>
        <w:t>Fuentes T., C. A. 1991. Mercado de Plaguicidas. 1990. Asociación Mexicana de la Industria de Plaguicidas y Fertilizantes, A.C. Huatulco, Oax. 46 p.</w:t>
      </w:r>
    </w:p>
    <w:p>
      <w:pPr>
        <w:pStyle w:val="BodyText"/>
        <w:spacing w:line="480" w:lineRule="auto" w:before="8"/>
        <w:ind w:left="806" w:right="260" w:hanging="567"/>
        <w:jc w:val="both"/>
      </w:pPr>
      <w:r>
        <w:rPr/>
        <w:t>Gallegly, M.E., Galindo, J. 1958. Mating types and oospores of </w:t>
      </w:r>
      <w:r>
        <w:rPr>
          <w:i/>
        </w:rPr>
        <w:t>Phytophthora </w:t>
      </w:r>
      <w:r>
        <w:rPr>
          <w:i/>
        </w:rPr>
        <w:t>infestans </w:t>
      </w:r>
      <w:r>
        <w:rPr/>
        <w:t>in nature in Mexico. Phytopathology </w:t>
      </w:r>
      <w:r>
        <w:rPr>
          <w:i/>
        </w:rPr>
        <w:t>48</w:t>
      </w:r>
      <w:r>
        <w:rPr/>
        <w:t>, 274–277.</w:t>
      </w:r>
    </w:p>
    <w:p>
      <w:pPr>
        <w:pStyle w:val="BodyText"/>
        <w:spacing w:line="480" w:lineRule="auto" w:before="8"/>
        <w:ind w:left="806" w:right="260" w:hanging="567"/>
        <w:jc w:val="both"/>
      </w:pPr>
      <w:r>
        <w:rPr/>
        <w:t>Gavino, P.D., Smart, C.D., Sandrock, R.W., Miller, J.S., Hamm, P.B., Lee, T.Y., Davis, R.M., Fry, W.E., 2000. Implications of sexual reproduction for </w:t>
      </w:r>
      <w:r>
        <w:rPr>
          <w:i/>
        </w:rPr>
        <w:t>Phytophthora infestans </w:t>
      </w:r>
      <w:r>
        <w:rPr/>
        <w:t>in the United States: generation of an aggressive lineage. Plant Disease </w:t>
      </w:r>
      <w:r>
        <w:rPr>
          <w:i/>
        </w:rPr>
        <w:t>84</w:t>
      </w:r>
      <w:r>
        <w:rPr/>
        <w:t>, 731–735.</w:t>
      </w:r>
    </w:p>
    <w:p>
      <w:pPr>
        <w:pStyle w:val="BodyText"/>
        <w:spacing w:line="480" w:lineRule="auto" w:before="8"/>
        <w:ind w:left="806" w:right="260" w:hanging="567"/>
        <w:jc w:val="both"/>
      </w:pPr>
      <w:r>
        <w:rPr/>
        <w:t>Georgopoulos, S. G. 1987. The genetics of fungicide resistance. En </w:t>
      </w:r>
      <w:r>
        <w:rPr>
          <w:i/>
        </w:rPr>
        <w:t>Modern </w:t>
      </w:r>
      <w:r>
        <w:rPr>
          <w:i/>
        </w:rPr>
        <w:t>Selective Fungicides </w:t>
      </w:r>
      <w:r>
        <w:rPr/>
        <w:t>(H. Lyr, ,Ed.), pp. 53–61. Longman Scientific &amp; Technical, New York.</w:t>
      </w:r>
    </w:p>
    <w:p>
      <w:pPr>
        <w:spacing w:after="0" w:line="480" w:lineRule="auto"/>
        <w:jc w:val="both"/>
        <w:sectPr>
          <w:pgSz w:w="12240" w:h="15840"/>
          <w:pgMar w:header="719" w:footer="740" w:top="1260" w:bottom="920" w:left="1460" w:right="1440"/>
        </w:sectPr>
      </w:pPr>
    </w:p>
    <w:p>
      <w:pPr>
        <w:pStyle w:val="BodyText"/>
        <w:rPr>
          <w:sz w:val="14"/>
        </w:rPr>
      </w:pPr>
    </w:p>
    <w:p>
      <w:pPr>
        <w:pStyle w:val="BodyText"/>
        <w:spacing w:line="480" w:lineRule="auto" w:before="70"/>
        <w:ind w:left="806" w:right="260" w:hanging="567"/>
        <w:jc w:val="both"/>
      </w:pPr>
      <w:r>
        <w:rPr/>
        <w:t>Gisi, U., y Cohen, Y. 1995. Resistance to phenyla- mide fungicides: A case study with </w:t>
      </w:r>
      <w:r>
        <w:rPr>
          <w:i/>
        </w:rPr>
        <w:t>Phytophthora infestans </w:t>
      </w:r>
      <w:r>
        <w:rPr/>
        <w:t>involving mating type and race structure. Annual Review of Phytopathology </w:t>
      </w:r>
      <w:r>
        <w:rPr>
          <w:i/>
        </w:rPr>
        <w:t>34</w:t>
      </w:r>
      <w:r>
        <w:rPr/>
        <w:t>, 549-572.</w:t>
      </w:r>
    </w:p>
    <w:p>
      <w:pPr>
        <w:pStyle w:val="BodyText"/>
        <w:spacing w:line="480" w:lineRule="auto" w:before="8"/>
        <w:ind w:left="806" w:right="260" w:hanging="567"/>
        <w:jc w:val="both"/>
      </w:pPr>
      <w:r>
        <w:rPr/>
        <w:t>Goodwin, S. B., Drenth, A. y Fry, W. E. 1992. Cloning and genetic analyses of two highly polymorphic, moderately repetitive nuclear DNAs from </w:t>
      </w:r>
      <w:r>
        <w:rPr>
          <w:i/>
        </w:rPr>
        <w:t>Phytophthora </w:t>
      </w:r>
      <w:r>
        <w:rPr>
          <w:i/>
        </w:rPr>
        <w:t>infestans</w:t>
      </w:r>
      <w:r>
        <w:rPr/>
        <w:t>. Current Genetics </w:t>
      </w:r>
      <w:r>
        <w:rPr>
          <w:i/>
        </w:rPr>
        <w:t>22</w:t>
      </w:r>
      <w:r>
        <w:rPr>
          <w:b/>
        </w:rPr>
        <w:t>, </w:t>
      </w:r>
      <w:r>
        <w:rPr/>
        <w:t>107–115.</w:t>
      </w:r>
    </w:p>
    <w:p>
      <w:pPr>
        <w:pStyle w:val="BodyText"/>
        <w:spacing w:line="480" w:lineRule="auto" w:before="8"/>
        <w:ind w:left="806" w:right="260" w:hanging="567"/>
        <w:jc w:val="both"/>
      </w:pPr>
      <w:r>
        <w:rPr/>
        <w:t>Goodwin, S.B., Spielman, L.J., Matuszak, J.M., Bergeron, S.N. y Fry, W.E. 1992. Clonal diversity and genetic differentiation of </w:t>
      </w:r>
      <w:r>
        <w:rPr>
          <w:i/>
        </w:rPr>
        <w:t>Phytophthora infestans </w:t>
      </w:r>
      <w:r>
        <w:rPr/>
        <w:t>populations in northern and central Mexico. Phytopathology </w:t>
      </w:r>
      <w:r>
        <w:rPr>
          <w:i/>
        </w:rPr>
        <w:t>82</w:t>
      </w:r>
      <w:r>
        <w:rPr/>
        <w:t>, 955–961.</w:t>
      </w:r>
    </w:p>
    <w:p>
      <w:pPr>
        <w:pStyle w:val="BodyText"/>
        <w:spacing w:line="480" w:lineRule="auto" w:before="8"/>
        <w:ind w:left="806" w:right="260" w:hanging="567"/>
        <w:jc w:val="both"/>
      </w:pPr>
      <w:r>
        <w:rPr/>
        <w:t>Goodwin, S.B., Sujkowski, L.S. y Fry, W.E., 1996. Widespread distribution and probable origin of resistance to metalaxyl in clonal genotypes of Phy- tophthora infestans in the United States and Western Canada. Phytopathology </w:t>
      </w:r>
      <w:r>
        <w:rPr>
          <w:i/>
        </w:rPr>
        <w:t>86</w:t>
      </w:r>
      <w:r>
        <w:rPr/>
        <w:t>,</w:t>
      </w:r>
      <w:r>
        <w:rPr>
          <w:spacing w:val="-2"/>
        </w:rPr>
        <w:t> </w:t>
      </w:r>
      <w:r>
        <w:rPr/>
        <w:t>793-800.</w:t>
      </w:r>
    </w:p>
    <w:p>
      <w:pPr>
        <w:pStyle w:val="BodyText"/>
        <w:spacing w:line="480" w:lineRule="auto" w:before="8"/>
        <w:ind w:left="806" w:right="260" w:hanging="567"/>
        <w:jc w:val="both"/>
      </w:pPr>
      <w:r>
        <w:rPr/>
        <w:t>Groves, C.T. y Ristaino J.B. 2000. Commercial fungicide formulations induce in vitro oospore formation and phenotypic change in mating type in Phytophthora infestans. Phytopathology </w:t>
      </w:r>
      <w:r>
        <w:rPr>
          <w:i/>
        </w:rPr>
        <w:t>90</w:t>
      </w:r>
      <w:r>
        <w:rPr/>
        <w:t>,</w:t>
      </w:r>
      <w:r>
        <w:rPr>
          <w:spacing w:val="-4"/>
        </w:rPr>
        <w:t> </w:t>
      </w:r>
      <w:r>
        <w:rPr/>
        <w:t>1201-1208.</w:t>
      </w:r>
    </w:p>
    <w:p>
      <w:pPr>
        <w:pStyle w:val="BodyText"/>
        <w:spacing w:line="480" w:lineRule="auto" w:before="8"/>
        <w:ind w:left="806" w:right="260" w:hanging="567"/>
        <w:jc w:val="both"/>
      </w:pPr>
      <w:r>
        <w:rPr/>
        <w:t>Grunwald, N.J. y Flier, W.G. 2005. The biology of </w:t>
      </w:r>
      <w:r>
        <w:rPr>
          <w:i/>
        </w:rPr>
        <w:t>Phytophthora infestans </w:t>
      </w:r>
      <w:r>
        <w:rPr/>
        <w:t>at its center of origin. Annual Review of Phytopathology </w:t>
      </w:r>
      <w:r>
        <w:rPr>
          <w:i/>
        </w:rPr>
        <w:t>43</w:t>
      </w:r>
      <w:r>
        <w:rPr/>
        <w:t>, 171-190.</w:t>
      </w:r>
    </w:p>
    <w:p>
      <w:pPr>
        <w:pStyle w:val="BodyText"/>
        <w:spacing w:line="480" w:lineRule="auto" w:before="8"/>
        <w:ind w:left="806" w:right="260" w:hanging="567"/>
        <w:jc w:val="both"/>
      </w:pPr>
      <w:r>
        <w:rPr/>
        <w:t>Grünwald, N.J., Flier, W.G., Sturbaum, A.K,, Garay Serrano, E., van den Bosch, T.B.M., Smart, C.D., Matuszak, J.M., Lozoya Saldana, H., Turkensteen, L.J. y Fry WE 2001. Population structure of </w:t>
      </w:r>
      <w:r>
        <w:rPr>
          <w:i/>
        </w:rPr>
        <w:t>Phytophthora infestans </w:t>
      </w:r>
      <w:r>
        <w:rPr/>
        <w:t>in the Toluca Valley region of central Mexico. Phytopathology </w:t>
      </w:r>
      <w:r>
        <w:rPr>
          <w:i/>
        </w:rPr>
        <w:t>91</w:t>
      </w:r>
      <w:r>
        <w:rPr/>
        <w:t>, 882–890.</w:t>
      </w:r>
    </w:p>
    <w:p>
      <w:pPr>
        <w:pStyle w:val="BodyText"/>
        <w:spacing w:before="8"/>
        <w:ind w:left="239"/>
      </w:pPr>
      <w:r>
        <w:rPr/>
        <w:t>Guenthner J. F., Wiese M. V., Pavlista A. D., Sieczka J. B y Wyman J. 1999.</w:t>
      </w:r>
    </w:p>
    <w:p>
      <w:pPr>
        <w:spacing w:after="0"/>
        <w:sectPr>
          <w:pgSz w:w="12240" w:h="15840"/>
          <w:pgMar w:header="719" w:footer="740" w:top="1260" w:bottom="920" w:left="1460" w:right="1440"/>
        </w:sectPr>
      </w:pPr>
    </w:p>
    <w:p>
      <w:pPr>
        <w:pStyle w:val="BodyText"/>
        <w:rPr>
          <w:sz w:val="14"/>
        </w:rPr>
      </w:pPr>
    </w:p>
    <w:p>
      <w:pPr>
        <w:pStyle w:val="BodyText"/>
        <w:spacing w:line="480" w:lineRule="auto" w:before="70"/>
        <w:ind w:left="806"/>
      </w:pPr>
      <w:r>
        <w:rPr/>
        <w:t>Assessment of pesticide use in the U.S. potato industry. American Journal of Potato Research </w:t>
      </w:r>
      <w:r>
        <w:rPr>
          <w:i/>
        </w:rPr>
        <w:t>76</w:t>
      </w:r>
      <w:r>
        <w:rPr/>
        <w:t>, 25-29.</w:t>
      </w:r>
    </w:p>
    <w:p>
      <w:pPr>
        <w:pStyle w:val="BodyText"/>
        <w:spacing w:line="480" w:lineRule="auto" w:before="8"/>
        <w:ind w:left="806" w:right="260" w:hanging="567"/>
        <w:jc w:val="both"/>
      </w:pPr>
      <w:r>
        <w:rPr/>
        <w:t>Han M., Liu, G., Li J.P., Govers F., Zhu, X.Q., Shen C.Y. and Guo L.Y. 2013. </w:t>
      </w:r>
      <w:r>
        <w:rPr>
          <w:i/>
        </w:rPr>
        <w:t>Phytophthora infestans </w:t>
      </w:r>
      <w:r>
        <w:rPr/>
        <w:t>Field Isolates from Gansu Province, China are Genetically Highly Diverse and Show a High Frequency of Self Fertility. Journal of Eukaryotic Microbiology, 60: 79–88.</w:t>
      </w:r>
    </w:p>
    <w:p>
      <w:pPr>
        <w:pStyle w:val="BodyText"/>
        <w:spacing w:line="480" w:lineRule="auto" w:before="8"/>
        <w:ind w:left="806" w:right="260" w:hanging="567"/>
        <w:jc w:val="both"/>
      </w:pPr>
      <w:r>
        <w:rPr/>
        <w:t>Haverkort, A. J., Boonekamp, P. M., Hutten, R., Jacobsen, E., Lotz, L. A. P.,  Kessel , G. J. T., Visser, R. G. F. y van der Vossen, E. A. G. 2008. Societal Costs of Late Blight in Potato and Prospects of Durable Resistance Through Cisgenic Modification. Potato Research </w:t>
      </w:r>
      <w:r>
        <w:rPr>
          <w:i/>
        </w:rPr>
        <w:t>51</w:t>
      </w:r>
      <w:r>
        <w:rPr/>
        <w:t>,</w:t>
      </w:r>
      <w:r>
        <w:rPr>
          <w:spacing w:val="-3"/>
        </w:rPr>
        <w:t> </w:t>
      </w:r>
      <w:r>
        <w:rPr/>
        <w:t>47–57.</w:t>
      </w:r>
    </w:p>
    <w:p>
      <w:pPr>
        <w:pStyle w:val="BodyText"/>
        <w:spacing w:line="480" w:lineRule="auto" w:before="8"/>
        <w:ind w:left="806" w:right="260" w:hanging="567"/>
        <w:jc w:val="both"/>
      </w:pPr>
      <w:r>
        <w:rPr/>
        <w:t>INEGI. 2011. Instituto Nacional de Estadística y Geografía. Banco de información económica: Índice de inflación. En línea: </w:t>
      </w:r>
      <w:hyperlink r:id="rId65">
        <w:r>
          <w:rPr/>
          <w:t>http://dgcnesyp.inegi.org.mx/cgi-</w:t>
        </w:r>
      </w:hyperlink>
      <w:r>
        <w:rPr/>
        <w:t> win/bdieintsi.exe/NIVA050500001000200120#ARBOL 10/10/2011.</w:t>
      </w:r>
    </w:p>
    <w:p>
      <w:pPr>
        <w:pStyle w:val="BodyText"/>
        <w:spacing w:line="480" w:lineRule="auto" w:before="8"/>
        <w:ind w:left="806" w:right="260" w:hanging="567"/>
        <w:jc w:val="both"/>
      </w:pPr>
      <w:r>
        <w:rPr/>
        <w:t>Judelson, H. S. 1997. Expression and inheritance of sexual preference and selfing potential in </w:t>
      </w:r>
      <w:r>
        <w:rPr>
          <w:i/>
        </w:rPr>
        <w:t>Phytophthora infestans. </w:t>
      </w:r>
      <w:r>
        <w:rPr/>
        <w:t>Fungal Genetics and Biology </w:t>
      </w:r>
      <w:r>
        <w:rPr>
          <w:i/>
        </w:rPr>
        <w:t>21</w:t>
      </w:r>
      <w:r>
        <w:rPr>
          <w:b/>
        </w:rPr>
        <w:t>,</w:t>
      </w:r>
      <w:r>
        <w:rPr/>
        <w:t>188-197.</w:t>
      </w:r>
    </w:p>
    <w:p>
      <w:pPr>
        <w:pStyle w:val="BodyText"/>
        <w:spacing w:before="8"/>
        <w:ind w:left="239"/>
      </w:pPr>
      <w:r>
        <w:rPr/>
        <w:t>Ko,  W.H.  1988.  Hormonal  heterothallism  and  homothallism  in     Phytophthora.</w:t>
      </w:r>
    </w:p>
    <w:p>
      <w:pPr>
        <w:pStyle w:val="BodyText"/>
      </w:pPr>
    </w:p>
    <w:p>
      <w:pPr>
        <w:pStyle w:val="BodyText"/>
        <w:ind w:left="806"/>
      </w:pPr>
      <w:r>
        <w:rPr/>
        <w:t>Annual Review of Phytopathology </w:t>
      </w:r>
      <w:r>
        <w:rPr>
          <w:i/>
        </w:rPr>
        <w:t>26</w:t>
      </w:r>
      <w:r>
        <w:rPr/>
        <w:t>, 57–73.</w:t>
      </w:r>
    </w:p>
    <w:p>
      <w:pPr>
        <w:pStyle w:val="BodyText"/>
      </w:pPr>
    </w:p>
    <w:p>
      <w:pPr>
        <w:pStyle w:val="BodyText"/>
        <w:spacing w:line="480" w:lineRule="auto"/>
        <w:ind w:left="806" w:right="260" w:hanging="567"/>
        <w:jc w:val="both"/>
      </w:pPr>
      <w:r>
        <w:rPr/>
        <w:t>Loo W.W. y Chilingar G.V. (1997). Advances in the electrokinetic treatment of hazardous waste in soil and groundwater. En: HAZMACON 97, Santa Clara, California, pp. 1-15.</w:t>
      </w:r>
    </w:p>
    <w:p>
      <w:pPr>
        <w:pStyle w:val="BodyText"/>
        <w:spacing w:line="480" w:lineRule="auto" w:before="8"/>
        <w:ind w:left="806" w:right="260" w:hanging="567"/>
        <w:jc w:val="both"/>
      </w:pPr>
      <w:r>
        <w:rPr/>
        <w:t>Matuszak, J. M., Fernández Elquezabal, L., Gu, W. K., Villarreal Gonzalez, M. y Fry, W. E. 1994. Sensitivity of Phytophthora infestans populations to metalaxyl in Mexico: Distribution and dynamics. Plant Disease </w:t>
      </w:r>
      <w:r>
        <w:rPr>
          <w:i/>
        </w:rPr>
        <w:t>78</w:t>
      </w:r>
      <w:r>
        <w:rPr/>
        <w:t>,</w:t>
      </w:r>
      <w:r>
        <w:rPr>
          <w:spacing w:val="-3"/>
        </w:rPr>
        <w:t> </w:t>
      </w:r>
      <w:r>
        <w:rPr/>
        <w:t>911-916.</w:t>
      </w:r>
    </w:p>
    <w:p>
      <w:pPr>
        <w:spacing w:after="0" w:line="480" w:lineRule="auto"/>
        <w:jc w:val="both"/>
        <w:sectPr>
          <w:pgSz w:w="12240" w:h="15840"/>
          <w:pgMar w:header="719" w:footer="740" w:top="1260" w:bottom="920" w:left="1460" w:right="1440"/>
        </w:sectPr>
      </w:pPr>
    </w:p>
    <w:p>
      <w:pPr>
        <w:pStyle w:val="BodyText"/>
        <w:rPr>
          <w:sz w:val="14"/>
        </w:rPr>
      </w:pPr>
    </w:p>
    <w:p>
      <w:pPr>
        <w:pStyle w:val="BodyText"/>
        <w:spacing w:line="480" w:lineRule="auto" w:before="70"/>
        <w:ind w:left="806" w:right="260" w:hanging="567"/>
        <w:jc w:val="both"/>
      </w:pPr>
      <w:r>
        <w:rPr/>
        <w:t>Miller, P. M. 1955. V-8 juice agar as a general purpose medium for fungi and bacteria. Phytopathology </w:t>
      </w:r>
      <w:r>
        <w:rPr>
          <w:i/>
        </w:rPr>
        <w:t>45</w:t>
      </w:r>
      <w:r>
        <w:rPr/>
        <w:t>, 461-462.</w:t>
      </w:r>
    </w:p>
    <w:p>
      <w:pPr>
        <w:spacing w:line="480" w:lineRule="auto" w:before="8"/>
        <w:ind w:left="806" w:right="260" w:hanging="567"/>
        <w:jc w:val="both"/>
        <w:rPr>
          <w:sz w:val="24"/>
        </w:rPr>
      </w:pPr>
      <w:r>
        <w:rPr>
          <w:sz w:val="24"/>
        </w:rPr>
        <w:t>Montgomery J.H. 1997. </w:t>
      </w:r>
      <w:r>
        <w:rPr>
          <w:i/>
          <w:sz w:val="24"/>
        </w:rPr>
        <w:t>Agrochemicals desk reference</w:t>
      </w:r>
      <w:r>
        <w:rPr>
          <w:sz w:val="24"/>
        </w:rPr>
        <w:t>. 2a ed., Lewis Publishers, Boca Raton. Nueva York, EUA. 656 pp.</w:t>
      </w:r>
    </w:p>
    <w:p>
      <w:pPr>
        <w:pStyle w:val="BodyText"/>
        <w:spacing w:line="480" w:lineRule="auto" w:before="8"/>
        <w:ind w:left="806" w:right="260" w:hanging="567"/>
        <w:jc w:val="both"/>
      </w:pPr>
      <w:r>
        <w:rPr/>
        <w:t>Muñoz, A. F. Mylavarapu, R. S. Hutchinson, C. M. y Portier, K. M. 2006. Root distribution under seepage-irrigated potatoes in Northeast Florida. American Journal of Potato Research </w:t>
      </w:r>
      <w:r>
        <w:rPr>
          <w:i/>
        </w:rPr>
        <w:t>83</w:t>
      </w:r>
      <w:r>
        <w:rPr/>
        <w:t>, 463-472.</w:t>
      </w:r>
    </w:p>
    <w:p>
      <w:pPr>
        <w:pStyle w:val="BodyText"/>
        <w:spacing w:line="480" w:lineRule="auto" w:before="8"/>
        <w:ind w:left="806" w:right="260" w:hanging="567"/>
        <w:jc w:val="both"/>
      </w:pPr>
      <w:r>
        <w:rPr/>
        <w:t>Rubin, E., y Cohen, Y. 2004. Oospores Associated with Tomato Seed May Lead to Seedborne Transmission of </w:t>
      </w:r>
      <w:r>
        <w:rPr>
          <w:i/>
        </w:rPr>
        <w:t>Phytophthora infestans</w:t>
      </w:r>
      <w:r>
        <w:rPr>
          <w:b/>
          <w:i/>
        </w:rPr>
        <w:t>. </w:t>
      </w:r>
      <w:r>
        <w:rPr/>
        <w:t>Phytoparasitica </w:t>
      </w:r>
      <w:r>
        <w:rPr>
          <w:i/>
        </w:rPr>
        <w:t>32</w:t>
      </w:r>
      <w:r>
        <w:rPr/>
        <w:t>, 237- 245.</w:t>
      </w:r>
    </w:p>
    <w:p>
      <w:pPr>
        <w:pStyle w:val="BodyText"/>
        <w:spacing w:line="480" w:lineRule="auto" w:before="8"/>
        <w:ind w:left="806" w:right="260" w:hanging="567"/>
        <w:jc w:val="both"/>
      </w:pPr>
      <w:r>
        <w:rPr/>
        <w:t>Rubin, E., y Cohen, Y. 2006. An improved method for infecting tomato leaves or seedlings with oospores of </w:t>
      </w:r>
      <w:r>
        <w:rPr>
          <w:i/>
        </w:rPr>
        <w:t>Phytophthora infestans </w:t>
      </w:r>
      <w:r>
        <w:rPr/>
        <w:t>used to investigate F1 progeny</w:t>
      </w:r>
      <w:r>
        <w:rPr>
          <w:i/>
        </w:rPr>
        <w:t>. </w:t>
      </w:r>
      <w:r>
        <w:rPr/>
        <w:t>Plant Disease </w:t>
      </w:r>
      <w:r>
        <w:rPr>
          <w:i/>
        </w:rPr>
        <w:t>90</w:t>
      </w:r>
      <w:r>
        <w:rPr/>
        <w:t>, 741-749.</w:t>
      </w:r>
    </w:p>
    <w:p>
      <w:pPr>
        <w:pStyle w:val="BodyText"/>
        <w:spacing w:line="480" w:lineRule="auto" w:before="8"/>
        <w:ind w:left="806" w:right="260" w:hanging="567"/>
        <w:jc w:val="both"/>
      </w:pPr>
      <w:r>
        <w:rPr/>
        <w:t>Rubio Cobarruvias, O. A., y Cadena Hinojosa, M. A. 2012. Optimización del fraccionamiento del nitrógeno en el cultivo de papa en el Valle de Toluca. Revista Mexicana de Ciencias Agrícolas. 3: 1075-1084.</w:t>
      </w:r>
    </w:p>
    <w:p>
      <w:pPr>
        <w:spacing w:line="480" w:lineRule="auto" w:before="8"/>
        <w:ind w:left="806" w:right="260" w:hanging="567"/>
        <w:jc w:val="both"/>
        <w:rPr>
          <w:sz w:val="24"/>
        </w:rPr>
      </w:pPr>
      <w:r>
        <w:rPr>
          <w:sz w:val="24"/>
        </w:rPr>
        <w:t>Ruiz Sandoval, D. Comercio internacional de productos agrícolas y medio ambiente: elementos para el análisis. En </w:t>
      </w:r>
      <w:r>
        <w:rPr>
          <w:i/>
          <w:sz w:val="24"/>
        </w:rPr>
        <w:t>Economia para la protección </w:t>
      </w:r>
      <w:r>
        <w:rPr>
          <w:i/>
          <w:sz w:val="24"/>
        </w:rPr>
        <w:t>ambiental, Ensayos teóricos y empíricos</w:t>
      </w:r>
      <w:r>
        <w:rPr>
          <w:sz w:val="24"/>
        </w:rPr>
        <w:t>. Universidad Autónoma Metropolitana. 2001. México, D.F. pp. 79-124.</w:t>
      </w:r>
    </w:p>
    <w:p>
      <w:pPr>
        <w:pStyle w:val="BodyText"/>
        <w:spacing w:line="480" w:lineRule="auto" w:before="8"/>
        <w:ind w:left="806" w:right="260" w:hanging="567"/>
        <w:jc w:val="both"/>
      </w:pPr>
      <w:r>
        <w:rPr/>
        <w:t>Salazar, L., Winters, P., Maldonado, L., Hareau, G. y Thiele, G. 2009. Assessing the impact of late blight resistant varieties on smallholders’ potato production in the Peruvian Andes. International Potato Center (CIP), Lima, Perú. 30 pp.</w:t>
      </w:r>
    </w:p>
    <w:p>
      <w:pPr>
        <w:spacing w:after="0" w:line="480" w:lineRule="auto"/>
        <w:jc w:val="both"/>
        <w:sectPr>
          <w:pgSz w:w="12240" w:h="15840"/>
          <w:pgMar w:header="719" w:footer="740" w:top="1260" w:bottom="920" w:left="1460" w:right="1440"/>
        </w:sectPr>
      </w:pPr>
    </w:p>
    <w:p>
      <w:pPr>
        <w:pStyle w:val="BodyText"/>
        <w:rPr>
          <w:sz w:val="14"/>
        </w:rPr>
      </w:pPr>
    </w:p>
    <w:p>
      <w:pPr>
        <w:pStyle w:val="BodyText"/>
        <w:spacing w:line="480" w:lineRule="auto" w:before="70"/>
        <w:ind w:left="806" w:right="260" w:hanging="567"/>
        <w:jc w:val="both"/>
      </w:pPr>
      <w:r>
        <w:rPr/>
        <w:t>SAS Institute. 2002. SAS/STATR User´s Guide. Release 6.03 edition. SAS  Institute Inc. Cary. Carolina del Norte, EUA . 364</w:t>
      </w:r>
      <w:r>
        <w:rPr>
          <w:spacing w:val="-1"/>
        </w:rPr>
        <w:t> </w:t>
      </w:r>
      <w:r>
        <w:rPr/>
        <w:t>pp.</w:t>
      </w:r>
    </w:p>
    <w:p>
      <w:pPr>
        <w:pStyle w:val="BodyText"/>
        <w:spacing w:before="8"/>
        <w:ind w:left="239"/>
      </w:pPr>
      <w:r>
        <w:rPr/>
        <w:t>Scheaffer  R.  L.,  Mendenhall  W.,  Ott  L.  (1987).  Elementos  de  muestreo.  3ed.</w:t>
      </w:r>
    </w:p>
    <w:p>
      <w:pPr>
        <w:pStyle w:val="BodyText"/>
      </w:pPr>
    </w:p>
    <w:p>
      <w:pPr>
        <w:pStyle w:val="BodyText"/>
        <w:ind w:left="806"/>
      </w:pPr>
      <w:r>
        <w:rPr/>
        <w:t>Iberoamericana. Distrito Federal, México. 321pp.</w:t>
      </w:r>
    </w:p>
    <w:p>
      <w:pPr>
        <w:pStyle w:val="BodyText"/>
      </w:pPr>
    </w:p>
    <w:p>
      <w:pPr>
        <w:spacing w:line="480" w:lineRule="auto" w:before="0"/>
        <w:ind w:left="806" w:right="260" w:hanging="567"/>
        <w:jc w:val="both"/>
        <w:rPr>
          <w:sz w:val="24"/>
        </w:rPr>
      </w:pPr>
      <w:r>
        <w:rPr>
          <w:sz w:val="24"/>
        </w:rPr>
        <w:t>Schwinn, F. J., y Margot, P. 1991. Control with chemicals. En </w:t>
      </w:r>
      <w:r>
        <w:rPr>
          <w:i/>
          <w:sz w:val="24"/>
        </w:rPr>
        <w:t>Phytophthora </w:t>
      </w:r>
      <w:r>
        <w:rPr>
          <w:i/>
          <w:sz w:val="24"/>
        </w:rPr>
        <w:t>infestans</w:t>
      </w:r>
      <w:r>
        <w:rPr>
          <w:sz w:val="24"/>
        </w:rPr>
        <w:t>, </w:t>
      </w:r>
      <w:r>
        <w:rPr>
          <w:i/>
          <w:sz w:val="24"/>
        </w:rPr>
        <w:t>the Cause of Late Blight of Potato </w:t>
      </w:r>
      <w:r>
        <w:rPr>
          <w:sz w:val="24"/>
        </w:rPr>
        <w:t>(D. S. Ingram, y P. H. Williams, Eds.),. Academic Press, London. pp. 225–265</w:t>
      </w:r>
    </w:p>
    <w:p>
      <w:pPr>
        <w:spacing w:line="480" w:lineRule="auto" w:before="8"/>
        <w:ind w:left="806" w:right="260" w:hanging="567"/>
        <w:jc w:val="both"/>
        <w:rPr>
          <w:sz w:val="24"/>
        </w:rPr>
      </w:pPr>
      <w:r>
        <w:rPr>
          <w:sz w:val="24"/>
        </w:rPr>
        <w:t>Schwinn, F. J., y Urech, P. A. 1986. Progress in the chemical control of diseases caused by oomycetes. En </w:t>
      </w:r>
      <w:r>
        <w:rPr>
          <w:i/>
          <w:sz w:val="24"/>
        </w:rPr>
        <w:t>Fungicide Chemistry</w:t>
      </w:r>
      <w:r>
        <w:rPr>
          <w:sz w:val="24"/>
        </w:rPr>
        <w:t>-</w:t>
      </w:r>
      <w:r>
        <w:rPr>
          <w:i/>
          <w:sz w:val="24"/>
        </w:rPr>
        <w:t>Advances and Practical </w:t>
      </w:r>
      <w:r>
        <w:rPr>
          <w:i/>
          <w:sz w:val="24"/>
        </w:rPr>
        <w:t>Applications, ACS Symposium Series </w:t>
      </w:r>
      <w:r>
        <w:rPr>
          <w:sz w:val="24"/>
        </w:rPr>
        <w:t>(M. B. Green, y D. A. Spilker, Eds.), pp. 89–106. American Chemical Society.</w:t>
      </w:r>
    </w:p>
    <w:p>
      <w:pPr>
        <w:spacing w:line="480" w:lineRule="auto" w:before="8"/>
        <w:ind w:left="806" w:right="260" w:hanging="567"/>
        <w:jc w:val="both"/>
        <w:rPr>
          <w:sz w:val="24"/>
        </w:rPr>
      </w:pPr>
      <w:r>
        <w:rPr>
          <w:sz w:val="24"/>
        </w:rPr>
        <w:t>Segura, J.M., de Cara, M., Santos, M., y Tello, J. 2007. </w:t>
      </w:r>
      <w:r>
        <w:rPr>
          <w:i/>
          <w:sz w:val="24"/>
        </w:rPr>
        <w:t>Phytophthora infestans </w:t>
      </w:r>
      <w:r>
        <w:rPr>
          <w:sz w:val="24"/>
        </w:rPr>
        <w:t>Mating Types on Tomato (</w:t>
      </w:r>
      <w:r>
        <w:rPr>
          <w:i/>
          <w:sz w:val="24"/>
        </w:rPr>
        <w:t>Solanum lycopersicum</w:t>
      </w:r>
      <w:r>
        <w:rPr>
          <w:sz w:val="24"/>
        </w:rPr>
        <w:t>) in Southern Spain. Plant Disease </w:t>
      </w:r>
      <w:r>
        <w:rPr>
          <w:i/>
          <w:sz w:val="24"/>
        </w:rPr>
        <w:t>91</w:t>
      </w:r>
      <w:r>
        <w:rPr>
          <w:sz w:val="24"/>
        </w:rPr>
        <w:t>, 109.</w:t>
      </w:r>
    </w:p>
    <w:p>
      <w:pPr>
        <w:pStyle w:val="BodyText"/>
        <w:spacing w:before="8"/>
        <w:ind w:left="239"/>
      </w:pPr>
      <w:r>
        <w:rPr/>
        <w:t>Shattock,</w:t>
      </w:r>
      <w:r>
        <w:rPr>
          <w:spacing w:val="56"/>
        </w:rPr>
        <w:t> </w:t>
      </w:r>
      <w:r>
        <w:rPr/>
        <w:t>R.</w:t>
      </w:r>
      <w:r>
        <w:rPr>
          <w:spacing w:val="56"/>
        </w:rPr>
        <w:t> </w:t>
      </w:r>
      <w:r>
        <w:rPr/>
        <w:t>C.</w:t>
      </w:r>
      <w:r>
        <w:rPr>
          <w:spacing w:val="56"/>
        </w:rPr>
        <w:t> </w:t>
      </w:r>
      <w:r>
        <w:rPr/>
        <w:t>1988.</w:t>
      </w:r>
      <w:r>
        <w:rPr>
          <w:spacing w:val="56"/>
        </w:rPr>
        <w:t> </w:t>
      </w:r>
      <w:r>
        <w:rPr/>
        <w:t>Studies</w:t>
      </w:r>
      <w:r>
        <w:rPr>
          <w:spacing w:val="56"/>
        </w:rPr>
        <w:t> </w:t>
      </w:r>
      <w:r>
        <w:rPr/>
        <w:t>on</w:t>
      </w:r>
      <w:r>
        <w:rPr>
          <w:spacing w:val="56"/>
        </w:rPr>
        <w:t> </w:t>
      </w:r>
      <w:r>
        <w:rPr/>
        <w:t>the</w:t>
      </w:r>
      <w:r>
        <w:rPr>
          <w:spacing w:val="56"/>
        </w:rPr>
        <w:t> </w:t>
      </w:r>
      <w:r>
        <w:rPr/>
        <w:t>inheritance</w:t>
      </w:r>
      <w:r>
        <w:rPr>
          <w:spacing w:val="56"/>
        </w:rPr>
        <w:t> </w:t>
      </w:r>
      <w:r>
        <w:rPr/>
        <w:t>of</w:t>
      </w:r>
      <w:r>
        <w:rPr>
          <w:spacing w:val="56"/>
        </w:rPr>
        <w:t> </w:t>
      </w:r>
      <w:r>
        <w:rPr/>
        <w:t>resistance</w:t>
      </w:r>
      <w:r>
        <w:rPr>
          <w:spacing w:val="56"/>
        </w:rPr>
        <w:t> </w:t>
      </w:r>
      <w:r>
        <w:rPr/>
        <w:t>to</w:t>
      </w:r>
      <w:r>
        <w:rPr>
          <w:spacing w:val="56"/>
        </w:rPr>
        <w:t> </w:t>
      </w:r>
      <w:r>
        <w:rPr/>
        <w:t>metalaxyl</w:t>
      </w:r>
      <w:r>
        <w:rPr>
          <w:spacing w:val="56"/>
        </w:rPr>
        <w:t> </w:t>
      </w:r>
      <w:r>
        <w:rPr/>
        <w:t>in</w:t>
      </w:r>
    </w:p>
    <w:p>
      <w:pPr>
        <w:pStyle w:val="BodyText"/>
      </w:pPr>
    </w:p>
    <w:p>
      <w:pPr>
        <w:spacing w:before="0"/>
        <w:ind w:left="806" w:right="0" w:firstLine="0"/>
        <w:jc w:val="left"/>
        <w:rPr>
          <w:sz w:val="24"/>
        </w:rPr>
      </w:pPr>
      <w:r>
        <w:rPr>
          <w:i/>
          <w:sz w:val="24"/>
        </w:rPr>
        <w:t>Phytophthora infestans</w:t>
      </w:r>
      <w:r>
        <w:rPr>
          <w:sz w:val="24"/>
        </w:rPr>
        <w:t>. Plant Patholology </w:t>
      </w:r>
      <w:r>
        <w:rPr>
          <w:i/>
          <w:sz w:val="24"/>
        </w:rPr>
        <w:t>37</w:t>
      </w:r>
      <w:r>
        <w:rPr>
          <w:b/>
          <w:sz w:val="24"/>
        </w:rPr>
        <w:t>, </w:t>
      </w:r>
      <w:r>
        <w:rPr>
          <w:sz w:val="24"/>
        </w:rPr>
        <w:t>4–11.</w:t>
      </w:r>
    </w:p>
    <w:p>
      <w:pPr>
        <w:pStyle w:val="BodyText"/>
      </w:pPr>
    </w:p>
    <w:p>
      <w:pPr>
        <w:pStyle w:val="BodyText"/>
        <w:spacing w:line="480" w:lineRule="auto"/>
        <w:ind w:left="806" w:right="260" w:hanging="567"/>
        <w:jc w:val="both"/>
      </w:pPr>
      <w:r>
        <w:rPr/>
        <w:t>SIAP. 2010. Servicio de Información Agroalimentaria y Pesquera. Cierre de la producción agrícola: Tabla Producción Agrícola. En línea: </w:t>
      </w:r>
      <w:hyperlink r:id="rId66">
        <w:r>
          <w:rPr/>
          <w:t>http://www.siap.gob.mx/index.php?option=com_wrapper&amp;view=wrapper&amp;Item</w:t>
        </w:r>
      </w:hyperlink>
      <w:r>
        <w:rPr/>
        <w:t> id=350</w:t>
      </w:r>
      <w:r>
        <w:rPr>
          <w:spacing w:val="66"/>
        </w:rPr>
        <w:t> </w:t>
      </w:r>
      <w:r>
        <w:rPr/>
        <w:t>10/03/2011.</w:t>
      </w:r>
    </w:p>
    <w:p>
      <w:pPr>
        <w:pStyle w:val="BodyText"/>
        <w:spacing w:line="480" w:lineRule="auto" w:before="8"/>
        <w:ind w:left="806" w:right="260" w:hanging="567"/>
        <w:jc w:val="both"/>
      </w:pPr>
      <w:r>
        <w:rPr/>
        <w:t>SIAP. 2012. Servicio de Información Agroalimentaria y Pesquera. Cierre de la producción agrícola: Anuario estadístico de la producción agrícola. En   línea:</w:t>
      </w:r>
    </w:p>
    <w:p>
      <w:pPr>
        <w:spacing w:after="0" w:line="480" w:lineRule="auto"/>
        <w:jc w:val="both"/>
        <w:sectPr>
          <w:pgSz w:w="12240" w:h="15840"/>
          <w:pgMar w:header="719" w:footer="740" w:top="1260" w:bottom="920" w:left="1460" w:right="1440"/>
        </w:sectPr>
      </w:pPr>
    </w:p>
    <w:p>
      <w:pPr>
        <w:pStyle w:val="BodyText"/>
        <w:rPr>
          <w:sz w:val="14"/>
        </w:rPr>
      </w:pPr>
    </w:p>
    <w:p>
      <w:pPr>
        <w:pStyle w:val="BodyText"/>
        <w:spacing w:line="480" w:lineRule="auto" w:before="70"/>
        <w:ind w:left="806" w:right="269"/>
      </w:pPr>
      <w:hyperlink r:id="rId66">
        <w:r>
          <w:rPr/>
          <w:t>http://www.siap.gob.mx/index.php?option=com_wrapper&amp;view=wrapper&amp;Item</w:t>
        </w:r>
      </w:hyperlink>
      <w:r>
        <w:rPr/>
        <w:t> id=350 24/08/2013.</w:t>
      </w:r>
    </w:p>
    <w:p>
      <w:pPr>
        <w:pStyle w:val="BodyText"/>
        <w:spacing w:line="480" w:lineRule="auto" w:before="8"/>
        <w:ind w:left="806" w:right="260" w:hanging="567"/>
        <w:jc w:val="both"/>
      </w:pPr>
      <w:r>
        <w:rPr/>
        <w:t>University of Hertfordshire (2007). Base de datos de las propiedades de plaguicidas. En línea: </w:t>
      </w:r>
      <w:hyperlink r:id="rId67">
        <w:r>
          <w:rPr/>
          <w:t>http://sitem.herts.ac.uk/aeru/footprint/es</w:t>
        </w:r>
      </w:hyperlink>
      <w:r>
        <w:rPr/>
        <w:t> 03/06/2011.</w:t>
      </w:r>
    </w:p>
    <w:p>
      <w:pPr>
        <w:pStyle w:val="BodyText"/>
        <w:spacing w:line="480" w:lineRule="auto" w:before="8"/>
        <w:ind w:left="806" w:right="260" w:hanging="567"/>
        <w:jc w:val="both"/>
      </w:pPr>
      <w:r>
        <w:rPr/>
        <w:t>WHO. 2004. The WHO recommended classification of pesticides by hazard and guidelines to classification 2000-2002. International Programme on Chemical Safety, Interorganization Programme for the Sound Management of Chemicals. World Health Organization. Ginebra. 60 pp.</w:t>
      </w:r>
    </w:p>
    <w:p>
      <w:pPr>
        <w:pStyle w:val="BodyText"/>
        <w:spacing w:line="480" w:lineRule="auto" w:before="8"/>
        <w:ind w:left="806" w:right="260" w:hanging="567"/>
        <w:jc w:val="both"/>
      </w:pPr>
      <w:r>
        <w:rPr/>
        <w:t>WHO. 2009. The WHO recommended classification of pesticides by hazard and guidelines to classification: 2009. World Health Organization. Stuttgart. 78 pp.</w:t>
      </w:r>
    </w:p>
    <w:sectPr>
      <w:pgSz w:w="12240" w:h="15840"/>
      <w:pgMar w:header="719" w:footer="740" w:top="1260" w:bottom="920" w:left="1460" w:right="14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mbria">
    <w:altName w:val="Cambria"/>
    <w:charset w:val="0"/>
    <w:family w:val="roman"/>
    <w:pitch w:val="variable"/>
  </w:font>
  <w:font w:name="Calibri">
    <w:altName w:val="Calibri"/>
    <w:charset w:val="0"/>
    <w:family w:val="swiss"/>
    <w:pitch w:val="variable"/>
  </w:font>
  <w:font w:name="Arial">
    <w:altName w:val="Arial"/>
    <w:charset w:val="0"/>
    <w:family w:val="swiss"/>
    <w:pitch w:val="variable"/>
  </w:font>
  <w:font w:name="Trebuchet MS">
    <w:altName w:val="Trebuchet MS"/>
    <w:charset w:val="0"/>
    <w:family w:val="swiss"/>
    <w:pitch w:val="variable"/>
  </w:font>
  <w:font w:name="Tahoma">
    <w:altName w:val="Tahoma"/>
    <w:charset w:val="0"/>
    <w:family w:val="swiss"/>
    <w:pitch w:val="variable"/>
  </w:font>
  <w:font w:name="Symbol">
    <w:altName w:val="Symbol"/>
    <w:charset w:val="2"/>
    <w:family w:val="roman"/>
    <w:pitch w:val="variable"/>
  </w:font>
  <w:font w:name="Cambria Math">
    <w:altName w:val="Cambria Math"/>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135.623795pt;margin-top:699.854004pt;width:340.6pt;height:14pt;mso-position-horizontal-relative:page;mso-position-vertical-relative:page;z-index:-108040" type="#_x0000_t202" filled="false" stroked="false">
          <v:textbox inset="0,0,0,0">
            <w:txbxContent>
              <w:p>
                <w:pPr>
                  <w:pStyle w:val="BodyText"/>
                  <w:spacing w:line="268" w:lineRule="exact"/>
                  <w:ind w:left="20"/>
                  <w:rPr>
                    <w:rFonts w:ascii="Cambria" w:hAnsi="Cambria"/>
                  </w:rPr>
                </w:pPr>
                <w:r>
                  <w:rPr>
                    <w:rFonts w:ascii="Cambria" w:hAnsi="Cambria"/>
                  </w:rPr>
                  <w:t>El Cerrillo Piedras Blancas, Toluca, Estado de México, Agosto 2014</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7.279999pt;margin-top:744.014038pt;width:17.3pt;height:14pt;mso-position-horizontal-relative:page;mso-position-vertical-relative:page;z-index:-107776"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21</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279999pt;margin-top:744.014038pt;width:15.3pt;height:14pt;mso-position-horizontal-relative:page;mso-position-vertical-relative:page;z-index:-107752" type="#_x0000_t202" filled="false" stroked="false">
          <v:textbox inset="0,0,0,0">
            <w:txbxContent>
              <w:p>
                <w:pPr>
                  <w:pStyle w:val="BodyText"/>
                  <w:spacing w:line="268" w:lineRule="exact"/>
                  <w:ind w:left="20"/>
                  <w:rPr>
                    <w:rFonts w:ascii="Cambria"/>
                  </w:rPr>
                </w:pPr>
                <w:r>
                  <w:rPr>
                    <w:rFonts w:ascii="Cambria"/>
                  </w:rPr>
                  <w:t>30</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7.279999pt;margin-top:744.014038pt;width:17.3pt;height:14pt;mso-position-horizontal-relative:page;mso-position-vertical-relative:page;z-index:-107728"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31</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279999pt;margin-top:744.014038pt;width:15.3pt;height:14pt;mso-position-horizontal-relative:page;mso-position-vertical-relative:page;z-index:-107704" type="#_x0000_t202" filled="false" stroked="false">
          <v:textbox inset="0,0,0,0">
            <w:txbxContent>
              <w:p>
                <w:pPr>
                  <w:pStyle w:val="BodyText"/>
                  <w:spacing w:line="268" w:lineRule="exact"/>
                  <w:ind w:left="20"/>
                  <w:rPr>
                    <w:rFonts w:ascii="Cambria"/>
                  </w:rPr>
                </w:pPr>
                <w:r>
                  <w:rPr>
                    <w:rFonts w:ascii="Cambria"/>
                  </w:rPr>
                  <w:t>40</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7.279999pt;margin-top:744.014038pt;width:17.3pt;height:14pt;mso-position-horizontal-relative:page;mso-position-vertical-relative:page;z-index:-107680"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41</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279999pt;margin-top:744.014038pt;width:15.3pt;height:14pt;mso-position-horizontal-relative:page;mso-position-vertical-relative:page;z-index:-107656" type="#_x0000_t202" filled="false" stroked="false">
          <v:textbox inset="0,0,0,0">
            <w:txbxContent>
              <w:p>
                <w:pPr>
                  <w:pStyle w:val="BodyText"/>
                  <w:spacing w:line="268" w:lineRule="exact"/>
                  <w:ind w:left="20"/>
                  <w:rPr>
                    <w:rFonts w:ascii="Cambria"/>
                  </w:rPr>
                </w:pPr>
                <w:r>
                  <w:rPr>
                    <w:rFonts w:ascii="Cambria"/>
                  </w:rPr>
                  <w:t>50</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7.279999pt;margin-top:744.014038pt;width:17.3pt;height:14pt;mso-position-horizontal-relative:page;mso-position-vertical-relative:page;z-index:-107632"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51</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279999pt;margin-top:744.014038pt;width:15.3pt;height:14pt;mso-position-horizontal-relative:page;mso-position-vertical-relative:page;z-index:-107608" type="#_x0000_t202" filled="false" stroked="false">
          <v:textbox inset="0,0,0,0">
            <w:txbxContent>
              <w:p>
                <w:pPr>
                  <w:pStyle w:val="BodyText"/>
                  <w:spacing w:line="268" w:lineRule="exact"/>
                  <w:ind w:left="20"/>
                  <w:rPr>
                    <w:rFonts w:ascii="Cambria"/>
                  </w:rPr>
                </w:pPr>
                <w:r>
                  <w:rPr>
                    <w:rFonts w:ascii="Cambria"/>
                  </w:rPr>
                  <w:t>60</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7.279999pt;margin-top:744.014038pt;width:17.3pt;height:14pt;mso-position-horizontal-relative:page;mso-position-vertical-relative:page;z-index:-107584"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61</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279999pt;margin-top:744.014038pt;width:15.3pt;height:14pt;mso-position-horizontal-relative:page;mso-position-vertical-relative:page;z-index:-107560" type="#_x0000_t202" filled="false" stroked="false">
          <v:textbox inset="0,0,0,0">
            <w:txbxContent>
              <w:p>
                <w:pPr>
                  <w:pStyle w:val="BodyText"/>
                  <w:spacing w:line="268" w:lineRule="exact"/>
                  <w:ind w:left="20"/>
                  <w:rPr>
                    <w:rFonts w:ascii="Cambria"/>
                  </w:rPr>
                </w:pPr>
                <w:r>
                  <w:rPr>
                    <w:rFonts w:ascii="Cambria"/>
                  </w:rPr>
                  <w:t>70</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35.623795pt;margin-top:685.694031pt;width:340.6pt;height:14pt;mso-position-horizontal-relative:page;mso-position-vertical-relative:page;z-index:-108016" type="#_x0000_t202" filled="false" stroked="false">
          <v:textbox inset="0,0,0,0">
            <w:txbxContent>
              <w:p>
                <w:pPr>
                  <w:pStyle w:val="BodyText"/>
                  <w:spacing w:line="268" w:lineRule="exact"/>
                  <w:ind w:left="20"/>
                  <w:rPr>
                    <w:rFonts w:ascii="Cambria" w:hAnsi="Cambria"/>
                  </w:rPr>
                </w:pPr>
                <w:r>
                  <w:rPr>
                    <w:rFonts w:ascii="Cambria" w:hAnsi="Cambria"/>
                  </w:rPr>
                  <w:t>El Cerrillo Piedras Blancas, Toluca, Estado de México, Agosto 2014</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7.279999pt;margin-top:744.014038pt;width:17.3pt;height:14pt;mso-position-horizontal-relative:page;mso-position-vertical-relative:page;z-index:-107536"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71</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0.19989pt;margin-top:744.014038pt;width:11.4pt;height:14pt;mso-position-horizontal-relative:page;mso-position-vertical-relative:page;z-index:-107920" type="#_x0000_t202" filled="false" stroked="false">
          <v:textbox inset="0,0,0,0">
            <w:txbxContent>
              <w:p>
                <w:pPr>
                  <w:pStyle w:val="BodyText"/>
                  <w:spacing w:line="268" w:lineRule="exact"/>
                  <w:ind w:left="20"/>
                  <w:rPr>
                    <w:rFonts w:ascii="Cambria"/>
                  </w:rPr>
                </w:pPr>
                <w:r>
                  <w:rPr>
                    <w:rFonts w:ascii="Cambria"/>
                  </w:rPr>
                  <w:t>iv</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6.080109pt;margin-top:744.014038pt;width:20.1pt;height:14pt;mso-position-horizontal-relative:page;mso-position-vertical-relative:page;z-index:-107896" type="#_x0000_t202" filled="false" stroked="false">
          <v:textbox inset="0,0,0,0">
            <w:txbxContent>
              <w:p>
                <w:pPr>
                  <w:pStyle w:val="BodyText"/>
                  <w:spacing w:line="268" w:lineRule="exact"/>
                  <w:ind w:left="40"/>
                  <w:rPr>
                    <w:rFonts w:ascii="Cambria"/>
                  </w:rPr>
                </w:pPr>
                <w:r>
                  <w:rPr/>
                  <w:fldChar w:fldCharType="begin"/>
                </w:r>
                <w:r>
                  <w:rPr>
                    <w:rFonts w:ascii="Cambria"/>
                  </w:rPr>
                  <w:instrText> PAGE  \* roman </w:instrText>
                </w:r>
                <w:r>
                  <w:rPr/>
                  <w:fldChar w:fldCharType="separate"/>
                </w:r>
                <w:r>
                  <w:rPr/>
                  <w:t>viii</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0.639893pt;margin-top:744.014038pt;width:10.65pt;height:14pt;mso-position-horizontal-relative:page;mso-position-vertical-relative:page;z-index:-107872"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1</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279999pt;margin-top:744.014038pt;width:15.3pt;height:14pt;mso-position-horizontal-relative:page;mso-position-vertical-relative:page;z-index:-107848" type="#_x0000_t202" filled="false" stroked="false">
          <v:textbox inset="0,0,0,0">
            <w:txbxContent>
              <w:p>
                <w:pPr>
                  <w:pStyle w:val="BodyText"/>
                  <w:spacing w:line="268" w:lineRule="exact"/>
                  <w:ind w:left="20"/>
                  <w:rPr>
                    <w:rFonts w:ascii="Cambria"/>
                  </w:rPr>
                </w:pPr>
                <w:r>
                  <w:rPr>
                    <w:rFonts w:ascii="Cambria"/>
                  </w:rPr>
                  <w:t>10</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7.279999pt;margin-top:744.014038pt;width:17.3pt;height:14pt;mso-position-horizontal-relative:page;mso-position-vertical-relative:page;z-index:-107824"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11</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279999pt;margin-top:744.014038pt;width:15.3pt;height:14pt;mso-position-horizontal-relative:page;mso-position-vertical-relative:page;z-index:-107800" type="#_x0000_t202" filled="false" stroked="false">
          <v:textbox inset="0,0,0,0">
            <w:txbxContent>
              <w:p>
                <w:pPr>
                  <w:pStyle w:val="BodyText"/>
                  <w:spacing w:line="268" w:lineRule="exact"/>
                  <w:ind w:left="20"/>
                  <w:rPr>
                    <w:rFonts w:ascii="Cambria"/>
                  </w:rPr>
                </w:pPr>
                <w:r>
                  <w:rPr>
                    <w:rFonts w:ascii="Cambria"/>
                  </w:rPr>
                  <w:t>20</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8pt;margin-top:35.939999pt;width:457pt;height:27.85pt;mso-position-horizontal-relative:page;mso-position-vertical-relative:page;z-index:-107992" coordorigin="1560,719" coordsize="9140,557">
          <v:line style="position:absolute" from="1574,1261" to="9600,1261" stroked="true" strokeweight="1.44pt" strokecolor="#000000"/>
          <v:shape style="position:absolute;left:9605;top:724;width:1090;height:533" coordorigin="9605,724" coordsize="1090,533" path="m9605,724l9605,1256m9610,1252l10694,1252e" filled="false" stroked="true" strokeweight=".48pt" strokecolor="#000000">
            <v:path arrowok="t"/>
          </v:shape>
          <w10:wrap type="none"/>
        </v:group>
      </w:pict>
    </w:r>
    <w:r>
      <w:rPr/>
      <w:pict>
        <v:shape style="position:absolute;margin-left:83.959953pt;margin-top:36.746647pt;width:391.85pt;height:25.8pt;mso-position-horizontal-relative:page;mso-position-vertical-relative:page;z-index:-107968" type="#_x0000_t202" filled="false" stroked="false">
          <v:textbox inset="0,0,0,0">
            <w:txbxContent>
              <w:p>
                <w:pPr>
                  <w:spacing w:line="252" w:lineRule="auto" w:before="0"/>
                  <w:ind w:left="20" w:right="0" w:firstLine="0"/>
                  <w:jc w:val="left"/>
                  <w:rPr>
                    <w:rFonts w:ascii="Cambria" w:hAnsi="Cambria"/>
                    <w:sz w:val="21"/>
                  </w:rPr>
                </w:pPr>
                <w:r>
                  <w:rPr>
                    <w:rFonts w:ascii="Cambria" w:hAnsi="Cambria"/>
                    <w:w w:val="105"/>
                    <w:sz w:val="21"/>
                  </w:rPr>
                  <w:t>Impacto Ambiental derivado del uso del Metalaxil para Control del Tizón Tardío (</w:t>
                </w:r>
                <w:r>
                  <w:rPr>
                    <w:rFonts w:ascii="Cambria" w:hAnsi="Cambria"/>
                    <w:i/>
                    <w:w w:val="105"/>
                    <w:sz w:val="21"/>
                  </w:rPr>
                  <w:t>Phytophthora infestans</w:t>
                </w:r>
                <w:r>
                  <w:rPr>
                    <w:rFonts w:ascii="Cambria" w:hAnsi="Cambria"/>
                    <w:w w:val="105"/>
                    <w:sz w:val="21"/>
                  </w:rPr>
                  <w:t>) en Cultivos Comerciales de Papa (</w:t>
                </w:r>
                <w:r>
                  <w:rPr>
                    <w:rFonts w:ascii="Cambria" w:hAnsi="Cambria"/>
                    <w:i/>
                    <w:w w:val="105"/>
                    <w:sz w:val="21"/>
                  </w:rPr>
                  <w:t>Solanum tuberosum</w:t>
                </w:r>
                <w:r>
                  <w:rPr>
                    <w:rFonts w:ascii="Cambria" w:hAnsi="Cambria"/>
                    <w:w w:val="105"/>
                    <w:sz w:val="21"/>
                  </w:rPr>
                  <w:t>)</w:t>
                </w:r>
              </w:p>
            </w:txbxContent>
          </v:textbox>
          <w10:wrap type="none"/>
        </v:shape>
      </w:pict>
    </w:r>
    <w:r>
      <w:rPr/>
      <w:pict>
        <v:shape style="position:absolute;margin-left:486.626495pt;margin-top:40.031078pt;width:41.9pt;height:20pt;mso-position-horizontal-relative:page;mso-position-vertical-relative:page;z-index:-107944" type="#_x0000_t202" filled="false" stroked="false">
          <v:textbox inset="0,0,0,0">
            <w:txbxContent>
              <w:p>
                <w:pPr>
                  <w:spacing w:line="392" w:lineRule="exact" w:before="0"/>
                  <w:ind w:left="20" w:right="0" w:firstLine="0"/>
                  <w:jc w:val="left"/>
                  <w:rPr>
                    <w:rFonts w:ascii="Cambria"/>
                    <w:sz w:val="36"/>
                  </w:rPr>
                </w:pPr>
                <w:r>
                  <w:rPr>
                    <w:rFonts w:ascii="Cambria"/>
                    <w:sz w:val="36"/>
                  </w:rPr>
                  <w:t>2014</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4">
    <w:multiLevelType w:val="hybridMultilevel"/>
    <w:lvl w:ilvl="0">
      <w:start w:val="7"/>
      <w:numFmt w:val="upperLetter"/>
      <w:lvlText w:val="%1."/>
      <w:lvlJc w:val="left"/>
      <w:pPr>
        <w:ind w:left="1386" w:hanging="168"/>
        <w:jc w:val="right"/>
      </w:pPr>
      <w:rPr>
        <w:rFonts w:hint="default"/>
        <w:spacing w:val="-1"/>
        <w:w w:val="103"/>
      </w:rPr>
    </w:lvl>
    <w:lvl w:ilvl="1">
      <w:start w:val="1"/>
      <w:numFmt w:val="bullet"/>
      <w:lvlText w:val="•"/>
      <w:lvlJc w:val="left"/>
      <w:pPr>
        <w:ind w:left="1688" w:hanging="168"/>
      </w:pPr>
      <w:rPr>
        <w:rFonts w:hint="default"/>
      </w:rPr>
    </w:lvl>
    <w:lvl w:ilvl="2">
      <w:start w:val="1"/>
      <w:numFmt w:val="bullet"/>
      <w:lvlText w:val="•"/>
      <w:lvlJc w:val="left"/>
      <w:pPr>
        <w:ind w:left="1996" w:hanging="168"/>
      </w:pPr>
      <w:rPr>
        <w:rFonts w:hint="default"/>
      </w:rPr>
    </w:lvl>
    <w:lvl w:ilvl="3">
      <w:start w:val="1"/>
      <w:numFmt w:val="bullet"/>
      <w:lvlText w:val="•"/>
      <w:lvlJc w:val="left"/>
      <w:pPr>
        <w:ind w:left="2304" w:hanging="168"/>
      </w:pPr>
      <w:rPr>
        <w:rFonts w:hint="default"/>
      </w:rPr>
    </w:lvl>
    <w:lvl w:ilvl="4">
      <w:start w:val="1"/>
      <w:numFmt w:val="bullet"/>
      <w:lvlText w:val="•"/>
      <w:lvlJc w:val="left"/>
      <w:pPr>
        <w:ind w:left="2612" w:hanging="168"/>
      </w:pPr>
      <w:rPr>
        <w:rFonts w:hint="default"/>
      </w:rPr>
    </w:lvl>
    <w:lvl w:ilvl="5">
      <w:start w:val="1"/>
      <w:numFmt w:val="bullet"/>
      <w:lvlText w:val="•"/>
      <w:lvlJc w:val="left"/>
      <w:pPr>
        <w:ind w:left="2920" w:hanging="168"/>
      </w:pPr>
      <w:rPr>
        <w:rFonts w:hint="default"/>
      </w:rPr>
    </w:lvl>
    <w:lvl w:ilvl="6">
      <w:start w:val="1"/>
      <w:numFmt w:val="bullet"/>
      <w:lvlText w:val="•"/>
      <w:lvlJc w:val="left"/>
      <w:pPr>
        <w:ind w:left="3228" w:hanging="168"/>
      </w:pPr>
      <w:rPr>
        <w:rFonts w:hint="default"/>
      </w:rPr>
    </w:lvl>
    <w:lvl w:ilvl="7">
      <w:start w:val="1"/>
      <w:numFmt w:val="bullet"/>
      <w:lvlText w:val="•"/>
      <w:lvlJc w:val="left"/>
      <w:pPr>
        <w:ind w:left="3537" w:hanging="168"/>
      </w:pPr>
      <w:rPr>
        <w:rFonts w:hint="default"/>
      </w:rPr>
    </w:lvl>
    <w:lvl w:ilvl="8">
      <w:start w:val="1"/>
      <w:numFmt w:val="bullet"/>
      <w:lvlText w:val="•"/>
      <w:lvlJc w:val="left"/>
      <w:pPr>
        <w:ind w:left="3845" w:hanging="168"/>
      </w:pPr>
      <w:rPr>
        <w:rFonts w:hint="default"/>
      </w:rPr>
    </w:lvl>
  </w:abstractNum>
  <w:abstractNum w:abstractNumId="29">
    <w:multiLevelType w:val="hybridMultilevel"/>
    <w:lvl w:ilvl="0">
      <w:start w:val="5"/>
      <w:numFmt w:val="decimal"/>
      <w:lvlText w:val="%1."/>
      <w:lvlJc w:val="left"/>
      <w:pPr>
        <w:ind w:left="239" w:hanging="270"/>
        <w:jc w:val="left"/>
      </w:pPr>
      <w:rPr>
        <w:rFonts w:hint="default" w:ascii="Arial" w:hAnsi="Arial" w:eastAsia="Arial" w:cs="Arial"/>
        <w:w w:val="100"/>
        <w:sz w:val="24"/>
        <w:szCs w:val="24"/>
      </w:rPr>
    </w:lvl>
    <w:lvl w:ilvl="1">
      <w:start w:val="1"/>
      <w:numFmt w:val="bullet"/>
      <w:lvlText w:val="•"/>
      <w:lvlJc w:val="left"/>
      <w:pPr>
        <w:ind w:left="1340" w:hanging="270"/>
      </w:pPr>
      <w:rPr>
        <w:rFonts w:hint="default"/>
      </w:rPr>
    </w:lvl>
    <w:lvl w:ilvl="2">
      <w:start w:val="1"/>
      <w:numFmt w:val="bullet"/>
      <w:lvlText w:val="•"/>
      <w:lvlJc w:val="left"/>
      <w:pPr>
        <w:ind w:left="2228" w:hanging="270"/>
      </w:pPr>
      <w:rPr>
        <w:rFonts w:hint="default"/>
      </w:rPr>
    </w:lvl>
    <w:lvl w:ilvl="3">
      <w:start w:val="1"/>
      <w:numFmt w:val="bullet"/>
      <w:lvlText w:val="•"/>
      <w:lvlJc w:val="left"/>
      <w:pPr>
        <w:ind w:left="3117" w:hanging="270"/>
      </w:pPr>
      <w:rPr>
        <w:rFonts w:hint="default"/>
      </w:rPr>
    </w:lvl>
    <w:lvl w:ilvl="4">
      <w:start w:val="1"/>
      <w:numFmt w:val="bullet"/>
      <w:lvlText w:val="•"/>
      <w:lvlJc w:val="left"/>
      <w:pPr>
        <w:ind w:left="4006" w:hanging="270"/>
      </w:pPr>
      <w:rPr>
        <w:rFonts w:hint="default"/>
      </w:rPr>
    </w:lvl>
    <w:lvl w:ilvl="5">
      <w:start w:val="1"/>
      <w:numFmt w:val="bullet"/>
      <w:lvlText w:val="•"/>
      <w:lvlJc w:val="left"/>
      <w:pPr>
        <w:ind w:left="4895" w:hanging="270"/>
      </w:pPr>
      <w:rPr>
        <w:rFonts w:hint="default"/>
      </w:rPr>
    </w:lvl>
    <w:lvl w:ilvl="6">
      <w:start w:val="1"/>
      <w:numFmt w:val="bullet"/>
      <w:lvlText w:val="•"/>
      <w:lvlJc w:val="left"/>
      <w:pPr>
        <w:ind w:left="5784" w:hanging="270"/>
      </w:pPr>
      <w:rPr>
        <w:rFonts w:hint="default"/>
      </w:rPr>
    </w:lvl>
    <w:lvl w:ilvl="7">
      <w:start w:val="1"/>
      <w:numFmt w:val="bullet"/>
      <w:lvlText w:val="•"/>
      <w:lvlJc w:val="left"/>
      <w:pPr>
        <w:ind w:left="6673" w:hanging="270"/>
      </w:pPr>
      <w:rPr>
        <w:rFonts w:hint="default"/>
      </w:rPr>
    </w:lvl>
    <w:lvl w:ilvl="8">
      <w:start w:val="1"/>
      <w:numFmt w:val="bullet"/>
      <w:lvlText w:val="•"/>
      <w:lvlJc w:val="left"/>
      <w:pPr>
        <w:ind w:left="7562" w:hanging="270"/>
      </w:pPr>
      <w:rPr>
        <w:rFonts w:hint="default"/>
      </w:rPr>
    </w:lvl>
  </w:abstractNum>
  <w:abstractNum w:abstractNumId="28">
    <w:multiLevelType w:val="hybridMultilevel"/>
    <w:lvl w:ilvl="0">
      <w:start w:val="1"/>
      <w:numFmt w:val="decimal"/>
      <w:lvlText w:val="%1."/>
      <w:lvlJc w:val="left"/>
      <w:pPr>
        <w:ind w:left="239" w:hanging="318"/>
        <w:jc w:val="left"/>
      </w:pPr>
      <w:rPr>
        <w:rFonts w:hint="default" w:ascii="Arial" w:hAnsi="Arial" w:eastAsia="Arial" w:cs="Arial"/>
        <w:spacing w:val="-27"/>
        <w:w w:val="100"/>
        <w:sz w:val="24"/>
        <w:szCs w:val="24"/>
      </w:rPr>
    </w:lvl>
    <w:lvl w:ilvl="1">
      <w:start w:val="1"/>
      <w:numFmt w:val="bullet"/>
      <w:lvlText w:val="•"/>
      <w:lvlJc w:val="left"/>
      <w:pPr>
        <w:ind w:left="1150" w:hanging="318"/>
      </w:pPr>
      <w:rPr>
        <w:rFonts w:hint="default"/>
      </w:rPr>
    </w:lvl>
    <w:lvl w:ilvl="2">
      <w:start w:val="1"/>
      <w:numFmt w:val="bullet"/>
      <w:lvlText w:val="•"/>
      <w:lvlJc w:val="left"/>
      <w:pPr>
        <w:ind w:left="2060" w:hanging="318"/>
      </w:pPr>
      <w:rPr>
        <w:rFonts w:hint="default"/>
      </w:rPr>
    </w:lvl>
    <w:lvl w:ilvl="3">
      <w:start w:val="1"/>
      <w:numFmt w:val="bullet"/>
      <w:lvlText w:val="•"/>
      <w:lvlJc w:val="left"/>
      <w:pPr>
        <w:ind w:left="2970" w:hanging="318"/>
      </w:pPr>
      <w:rPr>
        <w:rFonts w:hint="default"/>
      </w:rPr>
    </w:lvl>
    <w:lvl w:ilvl="4">
      <w:start w:val="1"/>
      <w:numFmt w:val="bullet"/>
      <w:lvlText w:val="•"/>
      <w:lvlJc w:val="left"/>
      <w:pPr>
        <w:ind w:left="3880" w:hanging="318"/>
      </w:pPr>
      <w:rPr>
        <w:rFonts w:hint="default"/>
      </w:rPr>
    </w:lvl>
    <w:lvl w:ilvl="5">
      <w:start w:val="1"/>
      <w:numFmt w:val="bullet"/>
      <w:lvlText w:val="•"/>
      <w:lvlJc w:val="left"/>
      <w:pPr>
        <w:ind w:left="4790" w:hanging="318"/>
      </w:pPr>
      <w:rPr>
        <w:rFonts w:hint="default"/>
      </w:rPr>
    </w:lvl>
    <w:lvl w:ilvl="6">
      <w:start w:val="1"/>
      <w:numFmt w:val="bullet"/>
      <w:lvlText w:val="•"/>
      <w:lvlJc w:val="left"/>
      <w:pPr>
        <w:ind w:left="5700" w:hanging="318"/>
      </w:pPr>
      <w:rPr>
        <w:rFonts w:hint="default"/>
      </w:rPr>
    </w:lvl>
    <w:lvl w:ilvl="7">
      <w:start w:val="1"/>
      <w:numFmt w:val="bullet"/>
      <w:lvlText w:val="•"/>
      <w:lvlJc w:val="left"/>
      <w:pPr>
        <w:ind w:left="6610" w:hanging="318"/>
      </w:pPr>
      <w:rPr>
        <w:rFonts w:hint="default"/>
      </w:rPr>
    </w:lvl>
    <w:lvl w:ilvl="8">
      <w:start w:val="1"/>
      <w:numFmt w:val="bullet"/>
      <w:lvlText w:val="•"/>
      <w:lvlJc w:val="left"/>
      <w:pPr>
        <w:ind w:left="7520" w:hanging="318"/>
      </w:pPr>
      <w:rPr>
        <w:rFonts w:hint="default"/>
      </w:rPr>
    </w:lvl>
  </w:abstractNum>
  <w:abstractNum w:abstractNumId="27">
    <w:multiLevelType w:val="hybridMultilevel"/>
    <w:lvl w:ilvl="0">
      <w:start w:val="327"/>
      <w:numFmt w:val="decimal"/>
      <w:lvlText w:val="%1"/>
      <w:lvlJc w:val="left"/>
      <w:pPr>
        <w:ind w:left="1454" w:hanging="551"/>
        <w:jc w:val="left"/>
      </w:pPr>
      <w:rPr>
        <w:rFonts w:hint="default" w:ascii="Cambria" w:hAnsi="Cambria" w:eastAsia="Cambria" w:cs="Cambria"/>
        <w:spacing w:val="0"/>
        <w:w w:val="102"/>
        <w:sz w:val="17"/>
        <w:szCs w:val="17"/>
      </w:rPr>
    </w:lvl>
    <w:lvl w:ilvl="1">
      <w:start w:val="1"/>
      <w:numFmt w:val="bullet"/>
      <w:lvlText w:val="•"/>
      <w:lvlJc w:val="left"/>
      <w:pPr>
        <w:ind w:left="2248" w:hanging="551"/>
      </w:pPr>
      <w:rPr>
        <w:rFonts w:hint="default"/>
      </w:rPr>
    </w:lvl>
    <w:lvl w:ilvl="2">
      <w:start w:val="1"/>
      <w:numFmt w:val="bullet"/>
      <w:lvlText w:val="•"/>
      <w:lvlJc w:val="left"/>
      <w:pPr>
        <w:ind w:left="3036" w:hanging="551"/>
      </w:pPr>
      <w:rPr>
        <w:rFonts w:hint="default"/>
      </w:rPr>
    </w:lvl>
    <w:lvl w:ilvl="3">
      <w:start w:val="1"/>
      <w:numFmt w:val="bullet"/>
      <w:lvlText w:val="•"/>
      <w:lvlJc w:val="left"/>
      <w:pPr>
        <w:ind w:left="3824" w:hanging="551"/>
      </w:pPr>
      <w:rPr>
        <w:rFonts w:hint="default"/>
      </w:rPr>
    </w:lvl>
    <w:lvl w:ilvl="4">
      <w:start w:val="1"/>
      <w:numFmt w:val="bullet"/>
      <w:lvlText w:val="•"/>
      <w:lvlJc w:val="left"/>
      <w:pPr>
        <w:ind w:left="4612" w:hanging="551"/>
      </w:pPr>
      <w:rPr>
        <w:rFonts w:hint="default"/>
      </w:rPr>
    </w:lvl>
    <w:lvl w:ilvl="5">
      <w:start w:val="1"/>
      <w:numFmt w:val="bullet"/>
      <w:lvlText w:val="•"/>
      <w:lvlJc w:val="left"/>
      <w:pPr>
        <w:ind w:left="5400" w:hanging="551"/>
      </w:pPr>
      <w:rPr>
        <w:rFonts w:hint="default"/>
      </w:rPr>
    </w:lvl>
    <w:lvl w:ilvl="6">
      <w:start w:val="1"/>
      <w:numFmt w:val="bullet"/>
      <w:lvlText w:val="•"/>
      <w:lvlJc w:val="left"/>
      <w:pPr>
        <w:ind w:left="6188" w:hanging="551"/>
      </w:pPr>
      <w:rPr>
        <w:rFonts w:hint="default"/>
      </w:rPr>
    </w:lvl>
    <w:lvl w:ilvl="7">
      <w:start w:val="1"/>
      <w:numFmt w:val="bullet"/>
      <w:lvlText w:val="•"/>
      <w:lvlJc w:val="left"/>
      <w:pPr>
        <w:ind w:left="6976" w:hanging="551"/>
      </w:pPr>
      <w:rPr>
        <w:rFonts w:hint="default"/>
      </w:rPr>
    </w:lvl>
    <w:lvl w:ilvl="8">
      <w:start w:val="1"/>
      <w:numFmt w:val="bullet"/>
      <w:lvlText w:val="•"/>
      <w:lvlJc w:val="left"/>
      <w:pPr>
        <w:ind w:left="7764" w:hanging="551"/>
      </w:pPr>
      <w:rPr>
        <w:rFonts w:hint="default"/>
      </w:rPr>
    </w:lvl>
  </w:abstractNum>
  <w:abstractNum w:abstractNumId="26">
    <w:multiLevelType w:val="hybridMultilevel"/>
    <w:lvl w:ilvl="0">
      <w:start w:val="295"/>
      <w:numFmt w:val="decimal"/>
      <w:lvlText w:val="%1"/>
      <w:lvlJc w:val="left"/>
      <w:pPr>
        <w:ind w:left="1450" w:hanging="552"/>
        <w:jc w:val="left"/>
      </w:pPr>
      <w:rPr>
        <w:rFonts w:hint="default" w:ascii="Cambria" w:hAnsi="Cambria" w:eastAsia="Cambria" w:cs="Cambria"/>
        <w:spacing w:val="0"/>
        <w:w w:val="102"/>
        <w:sz w:val="17"/>
        <w:szCs w:val="17"/>
      </w:rPr>
    </w:lvl>
    <w:lvl w:ilvl="1">
      <w:start w:val="1"/>
      <w:numFmt w:val="bullet"/>
      <w:lvlText w:val="•"/>
      <w:lvlJc w:val="left"/>
      <w:pPr>
        <w:ind w:left="2248" w:hanging="552"/>
      </w:pPr>
      <w:rPr>
        <w:rFonts w:hint="default"/>
      </w:rPr>
    </w:lvl>
    <w:lvl w:ilvl="2">
      <w:start w:val="1"/>
      <w:numFmt w:val="bullet"/>
      <w:lvlText w:val="•"/>
      <w:lvlJc w:val="left"/>
      <w:pPr>
        <w:ind w:left="3036" w:hanging="552"/>
      </w:pPr>
      <w:rPr>
        <w:rFonts w:hint="default"/>
      </w:rPr>
    </w:lvl>
    <w:lvl w:ilvl="3">
      <w:start w:val="1"/>
      <w:numFmt w:val="bullet"/>
      <w:lvlText w:val="•"/>
      <w:lvlJc w:val="left"/>
      <w:pPr>
        <w:ind w:left="3824" w:hanging="552"/>
      </w:pPr>
      <w:rPr>
        <w:rFonts w:hint="default"/>
      </w:rPr>
    </w:lvl>
    <w:lvl w:ilvl="4">
      <w:start w:val="1"/>
      <w:numFmt w:val="bullet"/>
      <w:lvlText w:val="•"/>
      <w:lvlJc w:val="left"/>
      <w:pPr>
        <w:ind w:left="4612" w:hanging="552"/>
      </w:pPr>
      <w:rPr>
        <w:rFonts w:hint="default"/>
      </w:rPr>
    </w:lvl>
    <w:lvl w:ilvl="5">
      <w:start w:val="1"/>
      <w:numFmt w:val="bullet"/>
      <w:lvlText w:val="•"/>
      <w:lvlJc w:val="left"/>
      <w:pPr>
        <w:ind w:left="5400" w:hanging="552"/>
      </w:pPr>
      <w:rPr>
        <w:rFonts w:hint="default"/>
      </w:rPr>
    </w:lvl>
    <w:lvl w:ilvl="6">
      <w:start w:val="1"/>
      <w:numFmt w:val="bullet"/>
      <w:lvlText w:val="•"/>
      <w:lvlJc w:val="left"/>
      <w:pPr>
        <w:ind w:left="6188" w:hanging="552"/>
      </w:pPr>
      <w:rPr>
        <w:rFonts w:hint="default"/>
      </w:rPr>
    </w:lvl>
    <w:lvl w:ilvl="7">
      <w:start w:val="1"/>
      <w:numFmt w:val="bullet"/>
      <w:lvlText w:val="•"/>
      <w:lvlJc w:val="left"/>
      <w:pPr>
        <w:ind w:left="6976" w:hanging="552"/>
      </w:pPr>
      <w:rPr>
        <w:rFonts w:hint="default"/>
      </w:rPr>
    </w:lvl>
    <w:lvl w:ilvl="8">
      <w:start w:val="1"/>
      <w:numFmt w:val="bullet"/>
      <w:lvlText w:val="•"/>
      <w:lvlJc w:val="left"/>
      <w:pPr>
        <w:ind w:left="7764" w:hanging="552"/>
      </w:pPr>
      <w:rPr>
        <w:rFonts w:hint="default"/>
      </w:rPr>
    </w:lvl>
  </w:abstractNum>
  <w:abstractNum w:abstractNumId="25">
    <w:multiLevelType w:val="hybridMultilevel"/>
    <w:lvl w:ilvl="0">
      <w:start w:val="291"/>
      <w:numFmt w:val="decimal"/>
      <w:lvlText w:val="%1"/>
      <w:lvlJc w:val="left"/>
      <w:pPr>
        <w:ind w:left="1450" w:hanging="552"/>
        <w:jc w:val="left"/>
      </w:pPr>
      <w:rPr>
        <w:rFonts w:hint="default" w:ascii="Cambria" w:hAnsi="Cambria" w:eastAsia="Cambria" w:cs="Cambria"/>
        <w:spacing w:val="0"/>
        <w:w w:val="102"/>
        <w:sz w:val="17"/>
        <w:szCs w:val="17"/>
      </w:rPr>
    </w:lvl>
    <w:lvl w:ilvl="1">
      <w:start w:val="1"/>
      <w:numFmt w:val="bullet"/>
      <w:lvlText w:val="•"/>
      <w:lvlJc w:val="left"/>
      <w:pPr>
        <w:ind w:left="2248" w:hanging="552"/>
      </w:pPr>
      <w:rPr>
        <w:rFonts w:hint="default"/>
      </w:rPr>
    </w:lvl>
    <w:lvl w:ilvl="2">
      <w:start w:val="1"/>
      <w:numFmt w:val="bullet"/>
      <w:lvlText w:val="•"/>
      <w:lvlJc w:val="left"/>
      <w:pPr>
        <w:ind w:left="3036" w:hanging="552"/>
      </w:pPr>
      <w:rPr>
        <w:rFonts w:hint="default"/>
      </w:rPr>
    </w:lvl>
    <w:lvl w:ilvl="3">
      <w:start w:val="1"/>
      <w:numFmt w:val="bullet"/>
      <w:lvlText w:val="•"/>
      <w:lvlJc w:val="left"/>
      <w:pPr>
        <w:ind w:left="3824" w:hanging="552"/>
      </w:pPr>
      <w:rPr>
        <w:rFonts w:hint="default"/>
      </w:rPr>
    </w:lvl>
    <w:lvl w:ilvl="4">
      <w:start w:val="1"/>
      <w:numFmt w:val="bullet"/>
      <w:lvlText w:val="•"/>
      <w:lvlJc w:val="left"/>
      <w:pPr>
        <w:ind w:left="4612" w:hanging="552"/>
      </w:pPr>
      <w:rPr>
        <w:rFonts w:hint="default"/>
      </w:rPr>
    </w:lvl>
    <w:lvl w:ilvl="5">
      <w:start w:val="1"/>
      <w:numFmt w:val="bullet"/>
      <w:lvlText w:val="•"/>
      <w:lvlJc w:val="left"/>
      <w:pPr>
        <w:ind w:left="5400" w:hanging="552"/>
      </w:pPr>
      <w:rPr>
        <w:rFonts w:hint="default"/>
      </w:rPr>
    </w:lvl>
    <w:lvl w:ilvl="6">
      <w:start w:val="1"/>
      <w:numFmt w:val="bullet"/>
      <w:lvlText w:val="•"/>
      <w:lvlJc w:val="left"/>
      <w:pPr>
        <w:ind w:left="6188" w:hanging="552"/>
      </w:pPr>
      <w:rPr>
        <w:rFonts w:hint="default"/>
      </w:rPr>
    </w:lvl>
    <w:lvl w:ilvl="7">
      <w:start w:val="1"/>
      <w:numFmt w:val="bullet"/>
      <w:lvlText w:val="•"/>
      <w:lvlJc w:val="left"/>
      <w:pPr>
        <w:ind w:left="6976" w:hanging="552"/>
      </w:pPr>
      <w:rPr>
        <w:rFonts w:hint="default"/>
      </w:rPr>
    </w:lvl>
    <w:lvl w:ilvl="8">
      <w:start w:val="1"/>
      <w:numFmt w:val="bullet"/>
      <w:lvlText w:val="•"/>
      <w:lvlJc w:val="left"/>
      <w:pPr>
        <w:ind w:left="7764" w:hanging="552"/>
      </w:pPr>
      <w:rPr>
        <w:rFonts w:hint="default"/>
      </w:rPr>
    </w:lvl>
  </w:abstractNum>
  <w:abstractNum w:abstractNumId="24">
    <w:multiLevelType w:val="hybridMultilevel"/>
    <w:lvl w:ilvl="0">
      <w:start w:val="287"/>
      <w:numFmt w:val="decimal"/>
      <w:lvlText w:val="%1"/>
      <w:lvlJc w:val="left"/>
      <w:pPr>
        <w:ind w:left="1463" w:hanging="550"/>
        <w:jc w:val="left"/>
      </w:pPr>
      <w:rPr>
        <w:rFonts w:hint="default" w:ascii="Cambria" w:hAnsi="Cambria" w:eastAsia="Cambria" w:cs="Cambria"/>
        <w:spacing w:val="0"/>
        <w:w w:val="102"/>
        <w:sz w:val="17"/>
        <w:szCs w:val="17"/>
      </w:rPr>
    </w:lvl>
    <w:lvl w:ilvl="1">
      <w:start w:val="1"/>
      <w:numFmt w:val="bullet"/>
      <w:lvlText w:val="•"/>
      <w:lvlJc w:val="left"/>
      <w:pPr>
        <w:ind w:left="2248" w:hanging="550"/>
      </w:pPr>
      <w:rPr>
        <w:rFonts w:hint="default"/>
      </w:rPr>
    </w:lvl>
    <w:lvl w:ilvl="2">
      <w:start w:val="1"/>
      <w:numFmt w:val="bullet"/>
      <w:lvlText w:val="•"/>
      <w:lvlJc w:val="left"/>
      <w:pPr>
        <w:ind w:left="3036" w:hanging="550"/>
      </w:pPr>
      <w:rPr>
        <w:rFonts w:hint="default"/>
      </w:rPr>
    </w:lvl>
    <w:lvl w:ilvl="3">
      <w:start w:val="1"/>
      <w:numFmt w:val="bullet"/>
      <w:lvlText w:val="•"/>
      <w:lvlJc w:val="left"/>
      <w:pPr>
        <w:ind w:left="3824" w:hanging="550"/>
      </w:pPr>
      <w:rPr>
        <w:rFonts w:hint="default"/>
      </w:rPr>
    </w:lvl>
    <w:lvl w:ilvl="4">
      <w:start w:val="1"/>
      <w:numFmt w:val="bullet"/>
      <w:lvlText w:val="•"/>
      <w:lvlJc w:val="left"/>
      <w:pPr>
        <w:ind w:left="4612" w:hanging="550"/>
      </w:pPr>
      <w:rPr>
        <w:rFonts w:hint="default"/>
      </w:rPr>
    </w:lvl>
    <w:lvl w:ilvl="5">
      <w:start w:val="1"/>
      <w:numFmt w:val="bullet"/>
      <w:lvlText w:val="•"/>
      <w:lvlJc w:val="left"/>
      <w:pPr>
        <w:ind w:left="5400" w:hanging="550"/>
      </w:pPr>
      <w:rPr>
        <w:rFonts w:hint="default"/>
      </w:rPr>
    </w:lvl>
    <w:lvl w:ilvl="6">
      <w:start w:val="1"/>
      <w:numFmt w:val="bullet"/>
      <w:lvlText w:val="•"/>
      <w:lvlJc w:val="left"/>
      <w:pPr>
        <w:ind w:left="6188" w:hanging="550"/>
      </w:pPr>
      <w:rPr>
        <w:rFonts w:hint="default"/>
      </w:rPr>
    </w:lvl>
    <w:lvl w:ilvl="7">
      <w:start w:val="1"/>
      <w:numFmt w:val="bullet"/>
      <w:lvlText w:val="•"/>
      <w:lvlJc w:val="left"/>
      <w:pPr>
        <w:ind w:left="6976" w:hanging="550"/>
      </w:pPr>
      <w:rPr>
        <w:rFonts w:hint="default"/>
      </w:rPr>
    </w:lvl>
    <w:lvl w:ilvl="8">
      <w:start w:val="1"/>
      <w:numFmt w:val="bullet"/>
      <w:lvlText w:val="•"/>
      <w:lvlJc w:val="left"/>
      <w:pPr>
        <w:ind w:left="7764" w:hanging="550"/>
      </w:pPr>
      <w:rPr>
        <w:rFonts w:hint="default"/>
      </w:rPr>
    </w:lvl>
  </w:abstractNum>
  <w:abstractNum w:abstractNumId="23">
    <w:multiLevelType w:val="hybridMultilevel"/>
    <w:lvl w:ilvl="0">
      <w:start w:val="276"/>
      <w:numFmt w:val="decimal"/>
      <w:lvlText w:val="%1"/>
      <w:lvlJc w:val="left"/>
      <w:pPr>
        <w:ind w:left="1463" w:hanging="550"/>
        <w:jc w:val="left"/>
      </w:pPr>
      <w:rPr>
        <w:rFonts w:hint="default" w:ascii="Cambria" w:hAnsi="Cambria" w:eastAsia="Cambria" w:cs="Cambria"/>
        <w:spacing w:val="0"/>
        <w:w w:val="102"/>
        <w:sz w:val="17"/>
        <w:szCs w:val="17"/>
      </w:rPr>
    </w:lvl>
    <w:lvl w:ilvl="1">
      <w:start w:val="1"/>
      <w:numFmt w:val="bullet"/>
      <w:lvlText w:val="•"/>
      <w:lvlJc w:val="left"/>
      <w:pPr>
        <w:ind w:left="2248" w:hanging="550"/>
      </w:pPr>
      <w:rPr>
        <w:rFonts w:hint="default"/>
      </w:rPr>
    </w:lvl>
    <w:lvl w:ilvl="2">
      <w:start w:val="1"/>
      <w:numFmt w:val="bullet"/>
      <w:lvlText w:val="•"/>
      <w:lvlJc w:val="left"/>
      <w:pPr>
        <w:ind w:left="3036" w:hanging="550"/>
      </w:pPr>
      <w:rPr>
        <w:rFonts w:hint="default"/>
      </w:rPr>
    </w:lvl>
    <w:lvl w:ilvl="3">
      <w:start w:val="1"/>
      <w:numFmt w:val="bullet"/>
      <w:lvlText w:val="•"/>
      <w:lvlJc w:val="left"/>
      <w:pPr>
        <w:ind w:left="3824" w:hanging="550"/>
      </w:pPr>
      <w:rPr>
        <w:rFonts w:hint="default"/>
      </w:rPr>
    </w:lvl>
    <w:lvl w:ilvl="4">
      <w:start w:val="1"/>
      <w:numFmt w:val="bullet"/>
      <w:lvlText w:val="•"/>
      <w:lvlJc w:val="left"/>
      <w:pPr>
        <w:ind w:left="4612" w:hanging="550"/>
      </w:pPr>
      <w:rPr>
        <w:rFonts w:hint="default"/>
      </w:rPr>
    </w:lvl>
    <w:lvl w:ilvl="5">
      <w:start w:val="1"/>
      <w:numFmt w:val="bullet"/>
      <w:lvlText w:val="•"/>
      <w:lvlJc w:val="left"/>
      <w:pPr>
        <w:ind w:left="5400" w:hanging="550"/>
      </w:pPr>
      <w:rPr>
        <w:rFonts w:hint="default"/>
      </w:rPr>
    </w:lvl>
    <w:lvl w:ilvl="6">
      <w:start w:val="1"/>
      <w:numFmt w:val="bullet"/>
      <w:lvlText w:val="•"/>
      <w:lvlJc w:val="left"/>
      <w:pPr>
        <w:ind w:left="6188" w:hanging="550"/>
      </w:pPr>
      <w:rPr>
        <w:rFonts w:hint="default"/>
      </w:rPr>
    </w:lvl>
    <w:lvl w:ilvl="7">
      <w:start w:val="1"/>
      <w:numFmt w:val="bullet"/>
      <w:lvlText w:val="•"/>
      <w:lvlJc w:val="left"/>
      <w:pPr>
        <w:ind w:left="6976" w:hanging="550"/>
      </w:pPr>
      <w:rPr>
        <w:rFonts w:hint="default"/>
      </w:rPr>
    </w:lvl>
    <w:lvl w:ilvl="8">
      <w:start w:val="1"/>
      <w:numFmt w:val="bullet"/>
      <w:lvlText w:val="•"/>
      <w:lvlJc w:val="left"/>
      <w:pPr>
        <w:ind w:left="7764" w:hanging="550"/>
      </w:pPr>
      <w:rPr>
        <w:rFonts w:hint="default"/>
      </w:rPr>
    </w:lvl>
  </w:abstractNum>
  <w:abstractNum w:abstractNumId="22">
    <w:multiLevelType w:val="hybridMultilevel"/>
    <w:lvl w:ilvl="0">
      <w:start w:val="127"/>
      <w:numFmt w:val="decimal"/>
      <w:lvlText w:val="%1"/>
      <w:lvlJc w:val="left"/>
      <w:pPr>
        <w:ind w:left="1969" w:hanging="1063"/>
        <w:jc w:val="left"/>
      </w:pPr>
      <w:rPr>
        <w:rFonts w:hint="default" w:ascii="Cambria" w:hAnsi="Cambria" w:eastAsia="Cambria" w:cs="Cambria"/>
        <w:spacing w:val="0"/>
        <w:w w:val="102"/>
        <w:sz w:val="17"/>
        <w:szCs w:val="17"/>
      </w:rPr>
    </w:lvl>
    <w:lvl w:ilvl="1">
      <w:start w:val="1"/>
      <w:numFmt w:val="bullet"/>
      <w:lvlText w:val="•"/>
      <w:lvlJc w:val="left"/>
      <w:pPr>
        <w:ind w:left="2698" w:hanging="1063"/>
      </w:pPr>
      <w:rPr>
        <w:rFonts w:hint="default"/>
      </w:rPr>
    </w:lvl>
    <w:lvl w:ilvl="2">
      <w:start w:val="1"/>
      <w:numFmt w:val="bullet"/>
      <w:lvlText w:val="•"/>
      <w:lvlJc w:val="left"/>
      <w:pPr>
        <w:ind w:left="3436" w:hanging="1063"/>
      </w:pPr>
      <w:rPr>
        <w:rFonts w:hint="default"/>
      </w:rPr>
    </w:lvl>
    <w:lvl w:ilvl="3">
      <w:start w:val="1"/>
      <w:numFmt w:val="bullet"/>
      <w:lvlText w:val="•"/>
      <w:lvlJc w:val="left"/>
      <w:pPr>
        <w:ind w:left="4174" w:hanging="1063"/>
      </w:pPr>
      <w:rPr>
        <w:rFonts w:hint="default"/>
      </w:rPr>
    </w:lvl>
    <w:lvl w:ilvl="4">
      <w:start w:val="1"/>
      <w:numFmt w:val="bullet"/>
      <w:lvlText w:val="•"/>
      <w:lvlJc w:val="left"/>
      <w:pPr>
        <w:ind w:left="4912" w:hanging="1063"/>
      </w:pPr>
      <w:rPr>
        <w:rFonts w:hint="default"/>
      </w:rPr>
    </w:lvl>
    <w:lvl w:ilvl="5">
      <w:start w:val="1"/>
      <w:numFmt w:val="bullet"/>
      <w:lvlText w:val="•"/>
      <w:lvlJc w:val="left"/>
      <w:pPr>
        <w:ind w:left="5650" w:hanging="1063"/>
      </w:pPr>
      <w:rPr>
        <w:rFonts w:hint="default"/>
      </w:rPr>
    </w:lvl>
    <w:lvl w:ilvl="6">
      <w:start w:val="1"/>
      <w:numFmt w:val="bullet"/>
      <w:lvlText w:val="•"/>
      <w:lvlJc w:val="left"/>
      <w:pPr>
        <w:ind w:left="6388" w:hanging="1063"/>
      </w:pPr>
      <w:rPr>
        <w:rFonts w:hint="default"/>
      </w:rPr>
    </w:lvl>
    <w:lvl w:ilvl="7">
      <w:start w:val="1"/>
      <w:numFmt w:val="bullet"/>
      <w:lvlText w:val="•"/>
      <w:lvlJc w:val="left"/>
      <w:pPr>
        <w:ind w:left="7126" w:hanging="1063"/>
      </w:pPr>
      <w:rPr>
        <w:rFonts w:hint="default"/>
      </w:rPr>
    </w:lvl>
    <w:lvl w:ilvl="8">
      <w:start w:val="1"/>
      <w:numFmt w:val="bullet"/>
      <w:lvlText w:val="•"/>
      <w:lvlJc w:val="left"/>
      <w:pPr>
        <w:ind w:left="7864" w:hanging="1063"/>
      </w:pPr>
      <w:rPr>
        <w:rFonts w:hint="default"/>
      </w:rPr>
    </w:lvl>
  </w:abstractNum>
  <w:abstractNum w:abstractNumId="21">
    <w:multiLevelType w:val="hybridMultilevel"/>
    <w:lvl w:ilvl="0">
      <w:start w:val="93"/>
      <w:numFmt w:val="decimal"/>
      <w:lvlText w:val="%1"/>
      <w:lvlJc w:val="left"/>
      <w:pPr>
        <w:ind w:left="1453" w:hanging="452"/>
        <w:jc w:val="right"/>
      </w:pPr>
      <w:rPr>
        <w:rFonts w:hint="default" w:ascii="Cambria" w:hAnsi="Cambria" w:eastAsia="Cambria" w:cs="Cambria"/>
        <w:spacing w:val="0"/>
        <w:w w:val="102"/>
        <w:sz w:val="17"/>
        <w:szCs w:val="17"/>
      </w:rPr>
    </w:lvl>
    <w:lvl w:ilvl="1">
      <w:start w:val="1"/>
      <w:numFmt w:val="bullet"/>
      <w:lvlText w:val="•"/>
      <w:lvlJc w:val="left"/>
      <w:pPr>
        <w:ind w:left="2248" w:hanging="452"/>
      </w:pPr>
      <w:rPr>
        <w:rFonts w:hint="default"/>
      </w:rPr>
    </w:lvl>
    <w:lvl w:ilvl="2">
      <w:start w:val="1"/>
      <w:numFmt w:val="bullet"/>
      <w:lvlText w:val="•"/>
      <w:lvlJc w:val="left"/>
      <w:pPr>
        <w:ind w:left="3036" w:hanging="452"/>
      </w:pPr>
      <w:rPr>
        <w:rFonts w:hint="default"/>
      </w:rPr>
    </w:lvl>
    <w:lvl w:ilvl="3">
      <w:start w:val="1"/>
      <w:numFmt w:val="bullet"/>
      <w:lvlText w:val="•"/>
      <w:lvlJc w:val="left"/>
      <w:pPr>
        <w:ind w:left="3824" w:hanging="452"/>
      </w:pPr>
      <w:rPr>
        <w:rFonts w:hint="default"/>
      </w:rPr>
    </w:lvl>
    <w:lvl w:ilvl="4">
      <w:start w:val="1"/>
      <w:numFmt w:val="bullet"/>
      <w:lvlText w:val="•"/>
      <w:lvlJc w:val="left"/>
      <w:pPr>
        <w:ind w:left="4612" w:hanging="452"/>
      </w:pPr>
      <w:rPr>
        <w:rFonts w:hint="default"/>
      </w:rPr>
    </w:lvl>
    <w:lvl w:ilvl="5">
      <w:start w:val="1"/>
      <w:numFmt w:val="bullet"/>
      <w:lvlText w:val="•"/>
      <w:lvlJc w:val="left"/>
      <w:pPr>
        <w:ind w:left="5400" w:hanging="452"/>
      </w:pPr>
      <w:rPr>
        <w:rFonts w:hint="default"/>
      </w:rPr>
    </w:lvl>
    <w:lvl w:ilvl="6">
      <w:start w:val="1"/>
      <w:numFmt w:val="bullet"/>
      <w:lvlText w:val="•"/>
      <w:lvlJc w:val="left"/>
      <w:pPr>
        <w:ind w:left="6188" w:hanging="452"/>
      </w:pPr>
      <w:rPr>
        <w:rFonts w:hint="default"/>
      </w:rPr>
    </w:lvl>
    <w:lvl w:ilvl="7">
      <w:start w:val="1"/>
      <w:numFmt w:val="bullet"/>
      <w:lvlText w:val="•"/>
      <w:lvlJc w:val="left"/>
      <w:pPr>
        <w:ind w:left="6976" w:hanging="452"/>
      </w:pPr>
      <w:rPr>
        <w:rFonts w:hint="default"/>
      </w:rPr>
    </w:lvl>
    <w:lvl w:ilvl="8">
      <w:start w:val="1"/>
      <w:numFmt w:val="bullet"/>
      <w:lvlText w:val="•"/>
      <w:lvlJc w:val="left"/>
      <w:pPr>
        <w:ind w:left="7764" w:hanging="452"/>
      </w:pPr>
      <w:rPr>
        <w:rFonts w:hint="default"/>
      </w:rPr>
    </w:lvl>
  </w:abstractNum>
  <w:abstractNum w:abstractNumId="20">
    <w:multiLevelType w:val="hybridMultilevel"/>
    <w:lvl w:ilvl="0">
      <w:start w:val="79"/>
      <w:numFmt w:val="decimal"/>
      <w:lvlText w:val="%1"/>
      <w:lvlJc w:val="left"/>
      <w:pPr>
        <w:ind w:left="1453" w:hanging="452"/>
        <w:jc w:val="left"/>
      </w:pPr>
      <w:rPr>
        <w:rFonts w:hint="default" w:ascii="Cambria" w:hAnsi="Cambria" w:eastAsia="Cambria" w:cs="Cambria"/>
        <w:spacing w:val="0"/>
        <w:w w:val="102"/>
        <w:sz w:val="17"/>
        <w:szCs w:val="17"/>
      </w:rPr>
    </w:lvl>
    <w:lvl w:ilvl="1">
      <w:start w:val="1"/>
      <w:numFmt w:val="bullet"/>
      <w:lvlText w:val="•"/>
      <w:lvlJc w:val="left"/>
      <w:pPr>
        <w:ind w:left="2248" w:hanging="452"/>
      </w:pPr>
      <w:rPr>
        <w:rFonts w:hint="default"/>
      </w:rPr>
    </w:lvl>
    <w:lvl w:ilvl="2">
      <w:start w:val="1"/>
      <w:numFmt w:val="bullet"/>
      <w:lvlText w:val="•"/>
      <w:lvlJc w:val="left"/>
      <w:pPr>
        <w:ind w:left="3036" w:hanging="452"/>
      </w:pPr>
      <w:rPr>
        <w:rFonts w:hint="default"/>
      </w:rPr>
    </w:lvl>
    <w:lvl w:ilvl="3">
      <w:start w:val="1"/>
      <w:numFmt w:val="bullet"/>
      <w:lvlText w:val="•"/>
      <w:lvlJc w:val="left"/>
      <w:pPr>
        <w:ind w:left="3824" w:hanging="452"/>
      </w:pPr>
      <w:rPr>
        <w:rFonts w:hint="default"/>
      </w:rPr>
    </w:lvl>
    <w:lvl w:ilvl="4">
      <w:start w:val="1"/>
      <w:numFmt w:val="bullet"/>
      <w:lvlText w:val="•"/>
      <w:lvlJc w:val="left"/>
      <w:pPr>
        <w:ind w:left="4612" w:hanging="452"/>
      </w:pPr>
      <w:rPr>
        <w:rFonts w:hint="default"/>
      </w:rPr>
    </w:lvl>
    <w:lvl w:ilvl="5">
      <w:start w:val="1"/>
      <w:numFmt w:val="bullet"/>
      <w:lvlText w:val="•"/>
      <w:lvlJc w:val="left"/>
      <w:pPr>
        <w:ind w:left="5400" w:hanging="452"/>
      </w:pPr>
      <w:rPr>
        <w:rFonts w:hint="default"/>
      </w:rPr>
    </w:lvl>
    <w:lvl w:ilvl="6">
      <w:start w:val="1"/>
      <w:numFmt w:val="bullet"/>
      <w:lvlText w:val="•"/>
      <w:lvlJc w:val="left"/>
      <w:pPr>
        <w:ind w:left="6188" w:hanging="452"/>
      </w:pPr>
      <w:rPr>
        <w:rFonts w:hint="default"/>
      </w:rPr>
    </w:lvl>
    <w:lvl w:ilvl="7">
      <w:start w:val="1"/>
      <w:numFmt w:val="bullet"/>
      <w:lvlText w:val="•"/>
      <w:lvlJc w:val="left"/>
      <w:pPr>
        <w:ind w:left="6976" w:hanging="452"/>
      </w:pPr>
      <w:rPr>
        <w:rFonts w:hint="default"/>
      </w:rPr>
    </w:lvl>
    <w:lvl w:ilvl="8">
      <w:start w:val="1"/>
      <w:numFmt w:val="bullet"/>
      <w:lvlText w:val="•"/>
      <w:lvlJc w:val="left"/>
      <w:pPr>
        <w:ind w:left="7764" w:hanging="452"/>
      </w:pPr>
      <w:rPr>
        <w:rFonts w:hint="default"/>
      </w:rPr>
    </w:lvl>
  </w:abstractNum>
  <w:abstractNum w:abstractNumId="19">
    <w:multiLevelType w:val="hybridMultilevel"/>
    <w:lvl w:ilvl="0">
      <w:start w:val="73"/>
      <w:numFmt w:val="decimal"/>
      <w:lvlText w:val="%1"/>
      <w:lvlJc w:val="left"/>
      <w:pPr>
        <w:ind w:left="1453" w:hanging="452"/>
        <w:jc w:val="left"/>
      </w:pPr>
      <w:rPr>
        <w:rFonts w:hint="default" w:ascii="Cambria" w:hAnsi="Cambria" w:eastAsia="Cambria" w:cs="Cambria"/>
        <w:spacing w:val="0"/>
        <w:w w:val="102"/>
        <w:sz w:val="17"/>
        <w:szCs w:val="17"/>
      </w:rPr>
    </w:lvl>
    <w:lvl w:ilvl="1">
      <w:start w:val="1"/>
      <w:numFmt w:val="bullet"/>
      <w:lvlText w:val="•"/>
      <w:lvlJc w:val="left"/>
      <w:pPr>
        <w:ind w:left="2248" w:hanging="452"/>
      </w:pPr>
      <w:rPr>
        <w:rFonts w:hint="default"/>
      </w:rPr>
    </w:lvl>
    <w:lvl w:ilvl="2">
      <w:start w:val="1"/>
      <w:numFmt w:val="bullet"/>
      <w:lvlText w:val="•"/>
      <w:lvlJc w:val="left"/>
      <w:pPr>
        <w:ind w:left="3036" w:hanging="452"/>
      </w:pPr>
      <w:rPr>
        <w:rFonts w:hint="default"/>
      </w:rPr>
    </w:lvl>
    <w:lvl w:ilvl="3">
      <w:start w:val="1"/>
      <w:numFmt w:val="bullet"/>
      <w:lvlText w:val="•"/>
      <w:lvlJc w:val="left"/>
      <w:pPr>
        <w:ind w:left="3824" w:hanging="452"/>
      </w:pPr>
      <w:rPr>
        <w:rFonts w:hint="default"/>
      </w:rPr>
    </w:lvl>
    <w:lvl w:ilvl="4">
      <w:start w:val="1"/>
      <w:numFmt w:val="bullet"/>
      <w:lvlText w:val="•"/>
      <w:lvlJc w:val="left"/>
      <w:pPr>
        <w:ind w:left="4612" w:hanging="452"/>
      </w:pPr>
      <w:rPr>
        <w:rFonts w:hint="default"/>
      </w:rPr>
    </w:lvl>
    <w:lvl w:ilvl="5">
      <w:start w:val="1"/>
      <w:numFmt w:val="bullet"/>
      <w:lvlText w:val="•"/>
      <w:lvlJc w:val="left"/>
      <w:pPr>
        <w:ind w:left="5400" w:hanging="452"/>
      </w:pPr>
      <w:rPr>
        <w:rFonts w:hint="default"/>
      </w:rPr>
    </w:lvl>
    <w:lvl w:ilvl="6">
      <w:start w:val="1"/>
      <w:numFmt w:val="bullet"/>
      <w:lvlText w:val="•"/>
      <w:lvlJc w:val="left"/>
      <w:pPr>
        <w:ind w:left="6188" w:hanging="452"/>
      </w:pPr>
      <w:rPr>
        <w:rFonts w:hint="default"/>
      </w:rPr>
    </w:lvl>
    <w:lvl w:ilvl="7">
      <w:start w:val="1"/>
      <w:numFmt w:val="bullet"/>
      <w:lvlText w:val="•"/>
      <w:lvlJc w:val="left"/>
      <w:pPr>
        <w:ind w:left="6976" w:hanging="452"/>
      </w:pPr>
      <w:rPr>
        <w:rFonts w:hint="default"/>
      </w:rPr>
    </w:lvl>
    <w:lvl w:ilvl="8">
      <w:start w:val="1"/>
      <w:numFmt w:val="bullet"/>
      <w:lvlText w:val="•"/>
      <w:lvlJc w:val="left"/>
      <w:pPr>
        <w:ind w:left="7764" w:hanging="452"/>
      </w:pPr>
      <w:rPr>
        <w:rFonts w:hint="default"/>
      </w:rPr>
    </w:lvl>
  </w:abstractNum>
  <w:abstractNum w:abstractNumId="18">
    <w:multiLevelType w:val="hybridMultilevel"/>
    <w:lvl w:ilvl="0">
      <w:start w:val="49"/>
      <w:numFmt w:val="decimal"/>
      <w:lvlText w:val="%1"/>
      <w:lvlJc w:val="left"/>
      <w:pPr>
        <w:ind w:left="1448" w:hanging="453"/>
        <w:jc w:val="left"/>
      </w:pPr>
      <w:rPr>
        <w:rFonts w:hint="default" w:ascii="Cambria" w:hAnsi="Cambria" w:eastAsia="Cambria" w:cs="Cambria"/>
        <w:spacing w:val="0"/>
        <w:w w:val="102"/>
        <w:sz w:val="17"/>
        <w:szCs w:val="17"/>
      </w:rPr>
    </w:lvl>
    <w:lvl w:ilvl="1">
      <w:start w:val="1"/>
      <w:numFmt w:val="bullet"/>
      <w:lvlText w:val="•"/>
      <w:lvlJc w:val="left"/>
      <w:pPr>
        <w:ind w:left="2230" w:hanging="453"/>
      </w:pPr>
      <w:rPr>
        <w:rFonts w:hint="default"/>
      </w:rPr>
    </w:lvl>
    <w:lvl w:ilvl="2">
      <w:start w:val="1"/>
      <w:numFmt w:val="bullet"/>
      <w:lvlText w:val="•"/>
      <w:lvlJc w:val="left"/>
      <w:pPr>
        <w:ind w:left="3020" w:hanging="453"/>
      </w:pPr>
      <w:rPr>
        <w:rFonts w:hint="default"/>
      </w:rPr>
    </w:lvl>
    <w:lvl w:ilvl="3">
      <w:start w:val="1"/>
      <w:numFmt w:val="bullet"/>
      <w:lvlText w:val="•"/>
      <w:lvlJc w:val="left"/>
      <w:pPr>
        <w:ind w:left="3810" w:hanging="453"/>
      </w:pPr>
      <w:rPr>
        <w:rFonts w:hint="default"/>
      </w:rPr>
    </w:lvl>
    <w:lvl w:ilvl="4">
      <w:start w:val="1"/>
      <w:numFmt w:val="bullet"/>
      <w:lvlText w:val="•"/>
      <w:lvlJc w:val="left"/>
      <w:pPr>
        <w:ind w:left="4600" w:hanging="453"/>
      </w:pPr>
      <w:rPr>
        <w:rFonts w:hint="default"/>
      </w:rPr>
    </w:lvl>
    <w:lvl w:ilvl="5">
      <w:start w:val="1"/>
      <w:numFmt w:val="bullet"/>
      <w:lvlText w:val="•"/>
      <w:lvlJc w:val="left"/>
      <w:pPr>
        <w:ind w:left="5390" w:hanging="453"/>
      </w:pPr>
      <w:rPr>
        <w:rFonts w:hint="default"/>
      </w:rPr>
    </w:lvl>
    <w:lvl w:ilvl="6">
      <w:start w:val="1"/>
      <w:numFmt w:val="bullet"/>
      <w:lvlText w:val="•"/>
      <w:lvlJc w:val="left"/>
      <w:pPr>
        <w:ind w:left="6180" w:hanging="453"/>
      </w:pPr>
      <w:rPr>
        <w:rFonts w:hint="default"/>
      </w:rPr>
    </w:lvl>
    <w:lvl w:ilvl="7">
      <w:start w:val="1"/>
      <w:numFmt w:val="bullet"/>
      <w:lvlText w:val="•"/>
      <w:lvlJc w:val="left"/>
      <w:pPr>
        <w:ind w:left="6970" w:hanging="453"/>
      </w:pPr>
      <w:rPr>
        <w:rFonts w:hint="default"/>
      </w:rPr>
    </w:lvl>
    <w:lvl w:ilvl="8">
      <w:start w:val="1"/>
      <w:numFmt w:val="bullet"/>
      <w:lvlText w:val="•"/>
      <w:lvlJc w:val="left"/>
      <w:pPr>
        <w:ind w:left="7760" w:hanging="453"/>
      </w:pPr>
      <w:rPr>
        <w:rFonts w:hint="default"/>
      </w:rPr>
    </w:lvl>
  </w:abstractNum>
  <w:abstractNum w:abstractNumId="17">
    <w:multiLevelType w:val="hybridMultilevel"/>
    <w:lvl w:ilvl="0">
      <w:start w:val="25"/>
      <w:numFmt w:val="decimal"/>
      <w:lvlText w:val="%1"/>
      <w:lvlJc w:val="left"/>
      <w:pPr>
        <w:ind w:left="1447" w:hanging="454"/>
        <w:jc w:val="left"/>
      </w:pPr>
      <w:rPr>
        <w:rFonts w:hint="default" w:ascii="Cambria" w:hAnsi="Cambria" w:eastAsia="Cambria" w:cs="Cambria"/>
        <w:spacing w:val="0"/>
        <w:w w:val="102"/>
        <w:sz w:val="17"/>
        <w:szCs w:val="17"/>
      </w:rPr>
    </w:lvl>
    <w:lvl w:ilvl="1">
      <w:start w:val="1"/>
      <w:numFmt w:val="bullet"/>
      <w:lvlText w:val="•"/>
      <w:lvlJc w:val="left"/>
      <w:pPr>
        <w:ind w:left="2230" w:hanging="454"/>
      </w:pPr>
      <w:rPr>
        <w:rFonts w:hint="default"/>
      </w:rPr>
    </w:lvl>
    <w:lvl w:ilvl="2">
      <w:start w:val="1"/>
      <w:numFmt w:val="bullet"/>
      <w:lvlText w:val="•"/>
      <w:lvlJc w:val="left"/>
      <w:pPr>
        <w:ind w:left="3020" w:hanging="454"/>
      </w:pPr>
      <w:rPr>
        <w:rFonts w:hint="default"/>
      </w:rPr>
    </w:lvl>
    <w:lvl w:ilvl="3">
      <w:start w:val="1"/>
      <w:numFmt w:val="bullet"/>
      <w:lvlText w:val="•"/>
      <w:lvlJc w:val="left"/>
      <w:pPr>
        <w:ind w:left="3810" w:hanging="454"/>
      </w:pPr>
      <w:rPr>
        <w:rFonts w:hint="default"/>
      </w:rPr>
    </w:lvl>
    <w:lvl w:ilvl="4">
      <w:start w:val="1"/>
      <w:numFmt w:val="bullet"/>
      <w:lvlText w:val="•"/>
      <w:lvlJc w:val="left"/>
      <w:pPr>
        <w:ind w:left="4600" w:hanging="454"/>
      </w:pPr>
      <w:rPr>
        <w:rFonts w:hint="default"/>
      </w:rPr>
    </w:lvl>
    <w:lvl w:ilvl="5">
      <w:start w:val="1"/>
      <w:numFmt w:val="bullet"/>
      <w:lvlText w:val="•"/>
      <w:lvlJc w:val="left"/>
      <w:pPr>
        <w:ind w:left="5390" w:hanging="454"/>
      </w:pPr>
      <w:rPr>
        <w:rFonts w:hint="default"/>
      </w:rPr>
    </w:lvl>
    <w:lvl w:ilvl="6">
      <w:start w:val="1"/>
      <w:numFmt w:val="bullet"/>
      <w:lvlText w:val="•"/>
      <w:lvlJc w:val="left"/>
      <w:pPr>
        <w:ind w:left="6180" w:hanging="454"/>
      </w:pPr>
      <w:rPr>
        <w:rFonts w:hint="default"/>
      </w:rPr>
    </w:lvl>
    <w:lvl w:ilvl="7">
      <w:start w:val="1"/>
      <w:numFmt w:val="bullet"/>
      <w:lvlText w:val="•"/>
      <w:lvlJc w:val="left"/>
      <w:pPr>
        <w:ind w:left="6970" w:hanging="454"/>
      </w:pPr>
      <w:rPr>
        <w:rFonts w:hint="default"/>
      </w:rPr>
    </w:lvl>
    <w:lvl w:ilvl="8">
      <w:start w:val="1"/>
      <w:numFmt w:val="bullet"/>
      <w:lvlText w:val="•"/>
      <w:lvlJc w:val="left"/>
      <w:pPr>
        <w:ind w:left="7760" w:hanging="454"/>
      </w:pPr>
      <w:rPr>
        <w:rFonts w:hint="default"/>
      </w:rPr>
    </w:lvl>
  </w:abstractNum>
  <w:abstractNum w:abstractNumId="16">
    <w:multiLevelType w:val="hybridMultilevel"/>
    <w:lvl w:ilvl="0">
      <w:start w:val="5"/>
      <w:numFmt w:val="decimal"/>
      <w:lvlText w:val="%1"/>
      <w:lvlJc w:val="left"/>
      <w:pPr>
        <w:ind w:left="1462" w:hanging="360"/>
        <w:jc w:val="right"/>
      </w:pPr>
      <w:rPr>
        <w:rFonts w:hint="default" w:ascii="Cambria" w:hAnsi="Cambria" w:eastAsia="Cambria" w:cs="Cambria"/>
        <w:w w:val="102"/>
        <w:sz w:val="17"/>
        <w:szCs w:val="17"/>
      </w:rPr>
    </w:lvl>
    <w:lvl w:ilvl="1">
      <w:start w:val="1"/>
      <w:numFmt w:val="bullet"/>
      <w:lvlText w:val="•"/>
      <w:lvlJc w:val="left"/>
      <w:pPr>
        <w:ind w:left="2248" w:hanging="360"/>
      </w:pPr>
      <w:rPr>
        <w:rFonts w:hint="default"/>
      </w:rPr>
    </w:lvl>
    <w:lvl w:ilvl="2">
      <w:start w:val="1"/>
      <w:numFmt w:val="bullet"/>
      <w:lvlText w:val="•"/>
      <w:lvlJc w:val="left"/>
      <w:pPr>
        <w:ind w:left="3036" w:hanging="360"/>
      </w:pPr>
      <w:rPr>
        <w:rFonts w:hint="default"/>
      </w:rPr>
    </w:lvl>
    <w:lvl w:ilvl="3">
      <w:start w:val="1"/>
      <w:numFmt w:val="bullet"/>
      <w:lvlText w:val="•"/>
      <w:lvlJc w:val="left"/>
      <w:pPr>
        <w:ind w:left="3824" w:hanging="360"/>
      </w:pPr>
      <w:rPr>
        <w:rFonts w:hint="default"/>
      </w:rPr>
    </w:lvl>
    <w:lvl w:ilvl="4">
      <w:start w:val="1"/>
      <w:numFmt w:val="bullet"/>
      <w:lvlText w:val="•"/>
      <w:lvlJc w:val="left"/>
      <w:pPr>
        <w:ind w:left="4612" w:hanging="360"/>
      </w:pPr>
      <w:rPr>
        <w:rFonts w:hint="default"/>
      </w:rPr>
    </w:lvl>
    <w:lvl w:ilvl="5">
      <w:start w:val="1"/>
      <w:numFmt w:val="bullet"/>
      <w:lvlText w:val="•"/>
      <w:lvlJc w:val="left"/>
      <w:pPr>
        <w:ind w:left="5400" w:hanging="360"/>
      </w:pPr>
      <w:rPr>
        <w:rFonts w:hint="default"/>
      </w:rPr>
    </w:lvl>
    <w:lvl w:ilvl="6">
      <w:start w:val="1"/>
      <w:numFmt w:val="bullet"/>
      <w:lvlText w:val="•"/>
      <w:lvlJc w:val="left"/>
      <w:pPr>
        <w:ind w:left="6188" w:hanging="360"/>
      </w:pPr>
      <w:rPr>
        <w:rFonts w:hint="default"/>
      </w:rPr>
    </w:lvl>
    <w:lvl w:ilvl="7">
      <w:start w:val="1"/>
      <w:numFmt w:val="bullet"/>
      <w:lvlText w:val="•"/>
      <w:lvlJc w:val="left"/>
      <w:pPr>
        <w:ind w:left="6976" w:hanging="360"/>
      </w:pPr>
      <w:rPr>
        <w:rFonts w:hint="default"/>
      </w:rPr>
    </w:lvl>
    <w:lvl w:ilvl="8">
      <w:start w:val="1"/>
      <w:numFmt w:val="bullet"/>
      <w:lvlText w:val="•"/>
      <w:lvlJc w:val="left"/>
      <w:pPr>
        <w:ind w:left="7764" w:hanging="360"/>
      </w:pPr>
      <w:rPr>
        <w:rFonts w:hint="default"/>
      </w:rPr>
    </w:lvl>
  </w:abstractNum>
  <w:abstractNum w:abstractNumId="15">
    <w:multiLevelType w:val="hybridMultilevel"/>
    <w:lvl w:ilvl="0">
      <w:start w:val="4"/>
      <w:numFmt w:val="decimal"/>
      <w:lvlText w:val="%1"/>
      <w:lvlJc w:val="left"/>
      <w:pPr>
        <w:ind w:left="239" w:hanging="490"/>
        <w:jc w:val="left"/>
      </w:pPr>
      <w:rPr>
        <w:rFonts w:hint="default"/>
      </w:rPr>
    </w:lvl>
    <w:lvl w:ilvl="1">
      <w:start w:val="1"/>
      <w:numFmt w:val="decimal"/>
      <w:lvlText w:val="%1.%2."/>
      <w:lvlJc w:val="left"/>
      <w:pPr>
        <w:ind w:left="239" w:hanging="490"/>
        <w:jc w:val="left"/>
      </w:pPr>
      <w:rPr>
        <w:rFonts w:hint="default"/>
        <w:w w:val="100"/>
      </w:rPr>
    </w:lvl>
    <w:lvl w:ilvl="2">
      <w:start w:val="1"/>
      <w:numFmt w:val="decimal"/>
      <w:lvlText w:val="%3"/>
      <w:lvlJc w:val="left"/>
      <w:pPr>
        <w:ind w:left="1485" w:hanging="383"/>
        <w:jc w:val="left"/>
      </w:pPr>
      <w:rPr>
        <w:rFonts w:hint="default" w:ascii="Cambria" w:hAnsi="Cambria" w:eastAsia="Cambria" w:cs="Cambria"/>
        <w:w w:val="102"/>
        <w:sz w:val="17"/>
        <w:szCs w:val="17"/>
      </w:rPr>
    </w:lvl>
    <w:lvl w:ilvl="3">
      <w:start w:val="1"/>
      <w:numFmt w:val="bullet"/>
      <w:lvlText w:val="•"/>
      <w:lvlJc w:val="left"/>
      <w:pPr>
        <w:ind w:left="3226" w:hanging="383"/>
      </w:pPr>
      <w:rPr>
        <w:rFonts w:hint="default"/>
      </w:rPr>
    </w:lvl>
    <w:lvl w:ilvl="4">
      <w:start w:val="1"/>
      <w:numFmt w:val="bullet"/>
      <w:lvlText w:val="•"/>
      <w:lvlJc w:val="left"/>
      <w:pPr>
        <w:ind w:left="4100" w:hanging="383"/>
      </w:pPr>
      <w:rPr>
        <w:rFonts w:hint="default"/>
      </w:rPr>
    </w:lvl>
    <w:lvl w:ilvl="5">
      <w:start w:val="1"/>
      <w:numFmt w:val="bullet"/>
      <w:lvlText w:val="•"/>
      <w:lvlJc w:val="left"/>
      <w:pPr>
        <w:ind w:left="4973" w:hanging="383"/>
      </w:pPr>
      <w:rPr>
        <w:rFonts w:hint="default"/>
      </w:rPr>
    </w:lvl>
    <w:lvl w:ilvl="6">
      <w:start w:val="1"/>
      <w:numFmt w:val="bullet"/>
      <w:lvlText w:val="•"/>
      <w:lvlJc w:val="left"/>
      <w:pPr>
        <w:ind w:left="5846" w:hanging="383"/>
      </w:pPr>
      <w:rPr>
        <w:rFonts w:hint="default"/>
      </w:rPr>
    </w:lvl>
    <w:lvl w:ilvl="7">
      <w:start w:val="1"/>
      <w:numFmt w:val="bullet"/>
      <w:lvlText w:val="•"/>
      <w:lvlJc w:val="left"/>
      <w:pPr>
        <w:ind w:left="6720" w:hanging="383"/>
      </w:pPr>
      <w:rPr>
        <w:rFonts w:hint="default"/>
      </w:rPr>
    </w:lvl>
    <w:lvl w:ilvl="8">
      <w:start w:val="1"/>
      <w:numFmt w:val="bullet"/>
      <w:lvlText w:val="•"/>
      <w:lvlJc w:val="left"/>
      <w:pPr>
        <w:ind w:left="7593" w:hanging="383"/>
      </w:pPr>
      <w:rPr>
        <w:rFonts w:hint="default"/>
      </w:rPr>
    </w:lvl>
  </w:abstractNum>
  <w:abstractNum w:abstractNumId="13">
    <w:multiLevelType w:val="hybridMultilevel"/>
    <w:lvl w:ilvl="0">
      <w:start w:val="1"/>
      <w:numFmt w:val="decimal"/>
      <w:lvlText w:val="%1."/>
      <w:lvlJc w:val="left"/>
      <w:pPr>
        <w:ind w:left="112" w:hanging="113"/>
        <w:jc w:val="left"/>
      </w:pPr>
      <w:rPr>
        <w:rFonts w:hint="default" w:ascii="Arial" w:hAnsi="Arial" w:eastAsia="Arial" w:cs="Arial"/>
        <w:color w:val="231F20"/>
        <w:spacing w:val="-1"/>
        <w:w w:val="101"/>
        <w:sz w:val="10"/>
        <w:szCs w:val="10"/>
      </w:rPr>
    </w:lvl>
    <w:lvl w:ilvl="1">
      <w:start w:val="1"/>
      <w:numFmt w:val="bullet"/>
      <w:lvlText w:val="•"/>
      <w:lvlJc w:val="left"/>
      <w:pPr>
        <w:ind w:left="160" w:hanging="113"/>
      </w:pPr>
      <w:rPr>
        <w:rFonts w:hint="default"/>
      </w:rPr>
    </w:lvl>
    <w:lvl w:ilvl="2">
      <w:start w:val="1"/>
      <w:numFmt w:val="bullet"/>
      <w:lvlText w:val="•"/>
      <w:lvlJc w:val="left"/>
      <w:pPr>
        <w:ind w:left="201" w:hanging="113"/>
      </w:pPr>
      <w:rPr>
        <w:rFonts w:hint="default"/>
      </w:rPr>
    </w:lvl>
    <w:lvl w:ilvl="3">
      <w:start w:val="1"/>
      <w:numFmt w:val="bullet"/>
      <w:lvlText w:val="•"/>
      <w:lvlJc w:val="left"/>
      <w:pPr>
        <w:ind w:left="241" w:hanging="113"/>
      </w:pPr>
      <w:rPr>
        <w:rFonts w:hint="default"/>
      </w:rPr>
    </w:lvl>
    <w:lvl w:ilvl="4">
      <w:start w:val="1"/>
      <w:numFmt w:val="bullet"/>
      <w:lvlText w:val="•"/>
      <w:lvlJc w:val="left"/>
      <w:pPr>
        <w:ind w:left="282" w:hanging="113"/>
      </w:pPr>
      <w:rPr>
        <w:rFonts w:hint="default"/>
      </w:rPr>
    </w:lvl>
    <w:lvl w:ilvl="5">
      <w:start w:val="1"/>
      <w:numFmt w:val="bullet"/>
      <w:lvlText w:val="•"/>
      <w:lvlJc w:val="left"/>
      <w:pPr>
        <w:ind w:left="323" w:hanging="113"/>
      </w:pPr>
      <w:rPr>
        <w:rFonts w:hint="default"/>
      </w:rPr>
    </w:lvl>
    <w:lvl w:ilvl="6">
      <w:start w:val="1"/>
      <w:numFmt w:val="bullet"/>
      <w:lvlText w:val="•"/>
      <w:lvlJc w:val="left"/>
      <w:pPr>
        <w:ind w:left="363" w:hanging="113"/>
      </w:pPr>
      <w:rPr>
        <w:rFonts w:hint="default"/>
      </w:rPr>
    </w:lvl>
    <w:lvl w:ilvl="7">
      <w:start w:val="1"/>
      <w:numFmt w:val="bullet"/>
      <w:lvlText w:val="•"/>
      <w:lvlJc w:val="left"/>
      <w:pPr>
        <w:ind w:left="404" w:hanging="113"/>
      </w:pPr>
      <w:rPr>
        <w:rFonts w:hint="default"/>
      </w:rPr>
    </w:lvl>
    <w:lvl w:ilvl="8">
      <w:start w:val="1"/>
      <w:numFmt w:val="bullet"/>
      <w:lvlText w:val="•"/>
      <w:lvlJc w:val="left"/>
      <w:pPr>
        <w:ind w:left="444" w:hanging="113"/>
      </w:pPr>
      <w:rPr>
        <w:rFonts w:hint="default"/>
      </w:rPr>
    </w:lvl>
  </w:abstractNum>
  <w:abstractNum w:abstractNumId="12">
    <w:multiLevelType w:val="hybridMultilevel"/>
    <w:lvl w:ilvl="0">
      <w:start w:val="6"/>
      <w:numFmt w:val="decimal"/>
      <w:lvlText w:val="%1"/>
      <w:lvlJc w:val="left"/>
      <w:pPr>
        <w:ind w:left="706" w:hanging="467"/>
        <w:jc w:val="left"/>
      </w:pPr>
      <w:rPr>
        <w:rFonts w:hint="default"/>
      </w:rPr>
    </w:lvl>
    <w:lvl w:ilvl="1">
      <w:start w:val="5"/>
      <w:numFmt w:val="decimal"/>
      <w:lvlText w:val="%1.%2."/>
      <w:lvlJc w:val="left"/>
      <w:pPr>
        <w:ind w:left="706" w:hanging="467"/>
        <w:jc w:val="left"/>
      </w:pPr>
      <w:rPr>
        <w:rFonts w:hint="default" w:ascii="Arial" w:hAnsi="Arial" w:eastAsia="Arial" w:cs="Arial"/>
        <w:b/>
        <w:bCs/>
        <w:spacing w:val="-1"/>
        <w:w w:val="100"/>
        <w:sz w:val="24"/>
        <w:szCs w:val="24"/>
      </w:rPr>
    </w:lvl>
    <w:lvl w:ilvl="2">
      <w:start w:val="1"/>
      <w:numFmt w:val="decimal"/>
      <w:lvlText w:val="%1.%2.%3."/>
      <w:lvlJc w:val="left"/>
      <w:pPr>
        <w:ind w:left="906" w:hanging="668"/>
        <w:jc w:val="left"/>
      </w:pPr>
      <w:rPr>
        <w:rFonts w:hint="default" w:ascii="Arial" w:hAnsi="Arial" w:eastAsia="Arial" w:cs="Arial"/>
        <w:b/>
        <w:bCs/>
        <w:w w:val="100"/>
        <w:sz w:val="24"/>
        <w:szCs w:val="24"/>
      </w:rPr>
    </w:lvl>
    <w:lvl w:ilvl="3">
      <w:start w:val="1"/>
      <w:numFmt w:val="bullet"/>
      <w:lvlText w:val="•"/>
      <w:lvlJc w:val="left"/>
      <w:pPr>
        <w:ind w:left="2775" w:hanging="668"/>
      </w:pPr>
      <w:rPr>
        <w:rFonts w:hint="default"/>
      </w:rPr>
    </w:lvl>
    <w:lvl w:ilvl="4">
      <w:start w:val="1"/>
      <w:numFmt w:val="bullet"/>
      <w:lvlText w:val="•"/>
      <w:lvlJc w:val="left"/>
      <w:pPr>
        <w:ind w:left="3713" w:hanging="668"/>
      </w:pPr>
      <w:rPr>
        <w:rFonts w:hint="default"/>
      </w:rPr>
    </w:lvl>
    <w:lvl w:ilvl="5">
      <w:start w:val="1"/>
      <w:numFmt w:val="bullet"/>
      <w:lvlText w:val="•"/>
      <w:lvlJc w:val="left"/>
      <w:pPr>
        <w:ind w:left="4651" w:hanging="668"/>
      </w:pPr>
      <w:rPr>
        <w:rFonts w:hint="default"/>
      </w:rPr>
    </w:lvl>
    <w:lvl w:ilvl="6">
      <w:start w:val="1"/>
      <w:numFmt w:val="bullet"/>
      <w:lvlText w:val="•"/>
      <w:lvlJc w:val="left"/>
      <w:pPr>
        <w:ind w:left="5588" w:hanging="668"/>
      </w:pPr>
      <w:rPr>
        <w:rFonts w:hint="default"/>
      </w:rPr>
    </w:lvl>
    <w:lvl w:ilvl="7">
      <w:start w:val="1"/>
      <w:numFmt w:val="bullet"/>
      <w:lvlText w:val="•"/>
      <w:lvlJc w:val="left"/>
      <w:pPr>
        <w:ind w:left="6526" w:hanging="668"/>
      </w:pPr>
      <w:rPr>
        <w:rFonts w:hint="default"/>
      </w:rPr>
    </w:lvl>
    <w:lvl w:ilvl="8">
      <w:start w:val="1"/>
      <w:numFmt w:val="bullet"/>
      <w:lvlText w:val="•"/>
      <w:lvlJc w:val="left"/>
      <w:pPr>
        <w:ind w:left="7464" w:hanging="668"/>
      </w:pPr>
      <w:rPr>
        <w:rFonts w:hint="default"/>
      </w:rPr>
    </w:lvl>
  </w:abstractNum>
  <w:abstractNum w:abstractNumId="11">
    <w:multiLevelType w:val="hybridMultilevel"/>
    <w:lvl w:ilvl="0">
      <w:start w:val="6"/>
      <w:numFmt w:val="decimal"/>
      <w:lvlText w:val="%1"/>
      <w:lvlJc w:val="left"/>
      <w:pPr>
        <w:ind w:left="742" w:hanging="504"/>
        <w:jc w:val="left"/>
      </w:pPr>
      <w:rPr>
        <w:rFonts w:hint="default"/>
      </w:rPr>
    </w:lvl>
    <w:lvl w:ilvl="1">
      <w:start w:val="4"/>
      <w:numFmt w:val="decimal"/>
      <w:lvlText w:val="%1.%2."/>
      <w:lvlJc w:val="left"/>
      <w:pPr>
        <w:ind w:left="742" w:hanging="504"/>
        <w:jc w:val="left"/>
      </w:pPr>
      <w:rPr>
        <w:rFonts w:hint="default" w:ascii="Arial" w:hAnsi="Arial" w:eastAsia="Arial" w:cs="Arial"/>
        <w:b/>
        <w:bCs/>
        <w:spacing w:val="-31"/>
        <w:w w:val="100"/>
        <w:sz w:val="24"/>
        <w:szCs w:val="24"/>
      </w:rPr>
    </w:lvl>
    <w:lvl w:ilvl="2">
      <w:start w:val="1"/>
      <w:numFmt w:val="decimal"/>
      <w:lvlText w:val="%1.%2.%3."/>
      <w:lvlJc w:val="left"/>
      <w:pPr>
        <w:ind w:left="906" w:hanging="668"/>
        <w:jc w:val="left"/>
      </w:pPr>
      <w:rPr>
        <w:rFonts w:hint="default" w:ascii="Arial" w:hAnsi="Arial" w:eastAsia="Arial" w:cs="Arial"/>
        <w:b/>
        <w:bCs/>
        <w:w w:val="100"/>
        <w:sz w:val="24"/>
        <w:szCs w:val="24"/>
      </w:rPr>
    </w:lvl>
    <w:lvl w:ilvl="3">
      <w:start w:val="1"/>
      <w:numFmt w:val="bullet"/>
      <w:lvlText w:val="•"/>
      <w:lvlJc w:val="left"/>
      <w:pPr>
        <w:ind w:left="2775" w:hanging="668"/>
      </w:pPr>
      <w:rPr>
        <w:rFonts w:hint="default"/>
      </w:rPr>
    </w:lvl>
    <w:lvl w:ilvl="4">
      <w:start w:val="1"/>
      <w:numFmt w:val="bullet"/>
      <w:lvlText w:val="•"/>
      <w:lvlJc w:val="left"/>
      <w:pPr>
        <w:ind w:left="3713" w:hanging="668"/>
      </w:pPr>
      <w:rPr>
        <w:rFonts w:hint="default"/>
      </w:rPr>
    </w:lvl>
    <w:lvl w:ilvl="5">
      <w:start w:val="1"/>
      <w:numFmt w:val="bullet"/>
      <w:lvlText w:val="•"/>
      <w:lvlJc w:val="left"/>
      <w:pPr>
        <w:ind w:left="4651" w:hanging="668"/>
      </w:pPr>
      <w:rPr>
        <w:rFonts w:hint="default"/>
      </w:rPr>
    </w:lvl>
    <w:lvl w:ilvl="6">
      <w:start w:val="1"/>
      <w:numFmt w:val="bullet"/>
      <w:lvlText w:val="•"/>
      <w:lvlJc w:val="left"/>
      <w:pPr>
        <w:ind w:left="5588" w:hanging="668"/>
      </w:pPr>
      <w:rPr>
        <w:rFonts w:hint="default"/>
      </w:rPr>
    </w:lvl>
    <w:lvl w:ilvl="7">
      <w:start w:val="1"/>
      <w:numFmt w:val="bullet"/>
      <w:lvlText w:val="•"/>
      <w:lvlJc w:val="left"/>
      <w:pPr>
        <w:ind w:left="6526" w:hanging="668"/>
      </w:pPr>
      <w:rPr>
        <w:rFonts w:hint="default"/>
      </w:rPr>
    </w:lvl>
    <w:lvl w:ilvl="8">
      <w:start w:val="1"/>
      <w:numFmt w:val="bullet"/>
      <w:lvlText w:val="•"/>
      <w:lvlJc w:val="left"/>
      <w:pPr>
        <w:ind w:left="7464" w:hanging="668"/>
      </w:pPr>
      <w:rPr>
        <w:rFonts w:hint="default"/>
      </w:rPr>
    </w:lvl>
  </w:abstractNum>
  <w:abstractNum w:abstractNumId="10">
    <w:multiLevelType w:val="hybridMultilevel"/>
    <w:lvl w:ilvl="0">
      <w:start w:val="1"/>
      <w:numFmt w:val="bullet"/>
      <w:lvlText w:val="*"/>
      <w:lvlJc w:val="left"/>
      <w:pPr>
        <w:ind w:left="399" w:hanging="161"/>
      </w:pPr>
      <w:rPr>
        <w:rFonts w:hint="default" w:ascii="Arial" w:hAnsi="Arial" w:eastAsia="Arial" w:cs="Arial"/>
        <w:spacing w:val="-1"/>
        <w:w w:val="100"/>
        <w:sz w:val="24"/>
        <w:szCs w:val="24"/>
      </w:rPr>
    </w:lvl>
    <w:lvl w:ilvl="1">
      <w:start w:val="1"/>
      <w:numFmt w:val="bullet"/>
      <w:lvlText w:val="•"/>
      <w:lvlJc w:val="left"/>
      <w:pPr>
        <w:ind w:left="1294" w:hanging="161"/>
      </w:pPr>
      <w:rPr>
        <w:rFonts w:hint="default"/>
      </w:rPr>
    </w:lvl>
    <w:lvl w:ilvl="2">
      <w:start w:val="1"/>
      <w:numFmt w:val="bullet"/>
      <w:lvlText w:val="•"/>
      <w:lvlJc w:val="left"/>
      <w:pPr>
        <w:ind w:left="2188" w:hanging="161"/>
      </w:pPr>
      <w:rPr>
        <w:rFonts w:hint="default"/>
      </w:rPr>
    </w:lvl>
    <w:lvl w:ilvl="3">
      <w:start w:val="1"/>
      <w:numFmt w:val="bullet"/>
      <w:lvlText w:val="•"/>
      <w:lvlJc w:val="left"/>
      <w:pPr>
        <w:ind w:left="3082" w:hanging="161"/>
      </w:pPr>
      <w:rPr>
        <w:rFonts w:hint="default"/>
      </w:rPr>
    </w:lvl>
    <w:lvl w:ilvl="4">
      <w:start w:val="1"/>
      <w:numFmt w:val="bullet"/>
      <w:lvlText w:val="•"/>
      <w:lvlJc w:val="left"/>
      <w:pPr>
        <w:ind w:left="3976" w:hanging="161"/>
      </w:pPr>
      <w:rPr>
        <w:rFonts w:hint="default"/>
      </w:rPr>
    </w:lvl>
    <w:lvl w:ilvl="5">
      <w:start w:val="1"/>
      <w:numFmt w:val="bullet"/>
      <w:lvlText w:val="•"/>
      <w:lvlJc w:val="left"/>
      <w:pPr>
        <w:ind w:left="4870" w:hanging="161"/>
      </w:pPr>
      <w:rPr>
        <w:rFonts w:hint="default"/>
      </w:rPr>
    </w:lvl>
    <w:lvl w:ilvl="6">
      <w:start w:val="1"/>
      <w:numFmt w:val="bullet"/>
      <w:lvlText w:val="•"/>
      <w:lvlJc w:val="left"/>
      <w:pPr>
        <w:ind w:left="5764" w:hanging="161"/>
      </w:pPr>
      <w:rPr>
        <w:rFonts w:hint="default"/>
      </w:rPr>
    </w:lvl>
    <w:lvl w:ilvl="7">
      <w:start w:val="1"/>
      <w:numFmt w:val="bullet"/>
      <w:lvlText w:val="•"/>
      <w:lvlJc w:val="left"/>
      <w:pPr>
        <w:ind w:left="6658" w:hanging="161"/>
      </w:pPr>
      <w:rPr>
        <w:rFonts w:hint="default"/>
      </w:rPr>
    </w:lvl>
    <w:lvl w:ilvl="8">
      <w:start w:val="1"/>
      <w:numFmt w:val="bullet"/>
      <w:lvlText w:val="•"/>
      <w:lvlJc w:val="left"/>
      <w:pPr>
        <w:ind w:left="7552" w:hanging="161"/>
      </w:pPr>
      <w:rPr>
        <w:rFonts w:hint="default"/>
      </w:rPr>
    </w:lvl>
  </w:abstractNum>
  <w:abstractNum w:abstractNumId="9">
    <w:multiLevelType w:val="hybridMultilevel"/>
    <w:lvl w:ilvl="0">
      <w:start w:val="6"/>
      <w:numFmt w:val="decimal"/>
      <w:lvlText w:val="%1"/>
      <w:lvlJc w:val="left"/>
      <w:pPr>
        <w:ind w:left="706" w:hanging="467"/>
        <w:jc w:val="left"/>
      </w:pPr>
      <w:rPr>
        <w:rFonts w:hint="default"/>
      </w:rPr>
    </w:lvl>
    <w:lvl w:ilvl="1">
      <w:start w:val="1"/>
      <w:numFmt w:val="decimal"/>
      <w:lvlText w:val="%1.%2."/>
      <w:lvlJc w:val="left"/>
      <w:pPr>
        <w:ind w:left="706" w:hanging="467"/>
        <w:jc w:val="left"/>
      </w:pPr>
      <w:rPr>
        <w:rFonts w:hint="default" w:ascii="Arial" w:hAnsi="Arial" w:eastAsia="Arial" w:cs="Arial"/>
        <w:b/>
        <w:bCs/>
        <w:w w:val="100"/>
        <w:sz w:val="24"/>
        <w:szCs w:val="24"/>
      </w:rPr>
    </w:lvl>
    <w:lvl w:ilvl="2">
      <w:start w:val="1"/>
      <w:numFmt w:val="decimal"/>
      <w:lvlText w:val="%1.%2.%3."/>
      <w:lvlJc w:val="left"/>
      <w:pPr>
        <w:ind w:left="906" w:hanging="668"/>
        <w:jc w:val="right"/>
      </w:pPr>
      <w:rPr>
        <w:rFonts w:hint="default" w:ascii="Arial" w:hAnsi="Arial" w:eastAsia="Arial" w:cs="Arial"/>
        <w:b/>
        <w:bCs/>
        <w:w w:val="100"/>
        <w:sz w:val="24"/>
        <w:szCs w:val="24"/>
      </w:rPr>
    </w:lvl>
    <w:lvl w:ilvl="3">
      <w:start w:val="1"/>
      <w:numFmt w:val="bullet"/>
      <w:lvlText w:val="•"/>
      <w:lvlJc w:val="left"/>
      <w:pPr>
        <w:ind w:left="2775" w:hanging="668"/>
      </w:pPr>
      <w:rPr>
        <w:rFonts w:hint="default"/>
      </w:rPr>
    </w:lvl>
    <w:lvl w:ilvl="4">
      <w:start w:val="1"/>
      <w:numFmt w:val="bullet"/>
      <w:lvlText w:val="•"/>
      <w:lvlJc w:val="left"/>
      <w:pPr>
        <w:ind w:left="3713" w:hanging="668"/>
      </w:pPr>
      <w:rPr>
        <w:rFonts w:hint="default"/>
      </w:rPr>
    </w:lvl>
    <w:lvl w:ilvl="5">
      <w:start w:val="1"/>
      <w:numFmt w:val="bullet"/>
      <w:lvlText w:val="•"/>
      <w:lvlJc w:val="left"/>
      <w:pPr>
        <w:ind w:left="4651" w:hanging="668"/>
      </w:pPr>
      <w:rPr>
        <w:rFonts w:hint="default"/>
      </w:rPr>
    </w:lvl>
    <w:lvl w:ilvl="6">
      <w:start w:val="1"/>
      <w:numFmt w:val="bullet"/>
      <w:lvlText w:val="•"/>
      <w:lvlJc w:val="left"/>
      <w:pPr>
        <w:ind w:left="5588" w:hanging="668"/>
      </w:pPr>
      <w:rPr>
        <w:rFonts w:hint="default"/>
      </w:rPr>
    </w:lvl>
    <w:lvl w:ilvl="7">
      <w:start w:val="1"/>
      <w:numFmt w:val="bullet"/>
      <w:lvlText w:val="•"/>
      <w:lvlJc w:val="left"/>
      <w:pPr>
        <w:ind w:left="6526" w:hanging="668"/>
      </w:pPr>
      <w:rPr>
        <w:rFonts w:hint="default"/>
      </w:rPr>
    </w:lvl>
    <w:lvl w:ilvl="8">
      <w:start w:val="1"/>
      <w:numFmt w:val="bullet"/>
      <w:lvlText w:val="•"/>
      <w:lvlJc w:val="left"/>
      <w:pPr>
        <w:ind w:left="7464" w:hanging="668"/>
      </w:pPr>
      <w:rPr>
        <w:rFonts w:hint="default"/>
      </w:rPr>
    </w:lvl>
  </w:abstractNum>
  <w:abstractNum w:abstractNumId="8">
    <w:multiLevelType w:val="hybridMultilevel"/>
    <w:lvl w:ilvl="0">
      <w:start w:val="1"/>
      <w:numFmt w:val="decimal"/>
      <w:lvlText w:val="%1."/>
      <w:lvlJc w:val="left"/>
      <w:pPr>
        <w:ind w:left="239" w:hanging="284"/>
        <w:jc w:val="left"/>
      </w:pPr>
      <w:rPr>
        <w:rFonts w:hint="default" w:ascii="Arial" w:hAnsi="Arial" w:eastAsia="Arial" w:cs="Arial"/>
        <w:w w:val="100"/>
        <w:sz w:val="24"/>
        <w:szCs w:val="24"/>
      </w:rPr>
    </w:lvl>
    <w:lvl w:ilvl="1">
      <w:start w:val="1"/>
      <w:numFmt w:val="bullet"/>
      <w:lvlText w:val="•"/>
      <w:lvlJc w:val="left"/>
      <w:pPr>
        <w:ind w:left="1150" w:hanging="284"/>
      </w:pPr>
      <w:rPr>
        <w:rFonts w:hint="default"/>
      </w:rPr>
    </w:lvl>
    <w:lvl w:ilvl="2">
      <w:start w:val="1"/>
      <w:numFmt w:val="bullet"/>
      <w:lvlText w:val="•"/>
      <w:lvlJc w:val="left"/>
      <w:pPr>
        <w:ind w:left="2060" w:hanging="284"/>
      </w:pPr>
      <w:rPr>
        <w:rFonts w:hint="default"/>
      </w:rPr>
    </w:lvl>
    <w:lvl w:ilvl="3">
      <w:start w:val="1"/>
      <w:numFmt w:val="bullet"/>
      <w:lvlText w:val="•"/>
      <w:lvlJc w:val="left"/>
      <w:pPr>
        <w:ind w:left="2970" w:hanging="284"/>
      </w:pPr>
      <w:rPr>
        <w:rFonts w:hint="default"/>
      </w:rPr>
    </w:lvl>
    <w:lvl w:ilvl="4">
      <w:start w:val="1"/>
      <w:numFmt w:val="bullet"/>
      <w:lvlText w:val="•"/>
      <w:lvlJc w:val="left"/>
      <w:pPr>
        <w:ind w:left="3880" w:hanging="284"/>
      </w:pPr>
      <w:rPr>
        <w:rFonts w:hint="default"/>
      </w:rPr>
    </w:lvl>
    <w:lvl w:ilvl="5">
      <w:start w:val="1"/>
      <w:numFmt w:val="bullet"/>
      <w:lvlText w:val="•"/>
      <w:lvlJc w:val="left"/>
      <w:pPr>
        <w:ind w:left="4790" w:hanging="284"/>
      </w:pPr>
      <w:rPr>
        <w:rFonts w:hint="default"/>
      </w:rPr>
    </w:lvl>
    <w:lvl w:ilvl="6">
      <w:start w:val="1"/>
      <w:numFmt w:val="bullet"/>
      <w:lvlText w:val="•"/>
      <w:lvlJc w:val="left"/>
      <w:pPr>
        <w:ind w:left="5700" w:hanging="284"/>
      </w:pPr>
      <w:rPr>
        <w:rFonts w:hint="default"/>
      </w:rPr>
    </w:lvl>
    <w:lvl w:ilvl="7">
      <w:start w:val="1"/>
      <w:numFmt w:val="bullet"/>
      <w:lvlText w:val="•"/>
      <w:lvlJc w:val="left"/>
      <w:pPr>
        <w:ind w:left="6610" w:hanging="284"/>
      </w:pPr>
      <w:rPr>
        <w:rFonts w:hint="default"/>
      </w:rPr>
    </w:lvl>
    <w:lvl w:ilvl="8">
      <w:start w:val="1"/>
      <w:numFmt w:val="bullet"/>
      <w:lvlText w:val="•"/>
      <w:lvlJc w:val="left"/>
      <w:pPr>
        <w:ind w:left="7520" w:hanging="284"/>
      </w:pPr>
      <w:rPr>
        <w:rFonts w:hint="default"/>
      </w:rPr>
    </w:lvl>
  </w:abstractNum>
  <w:abstractNum w:abstractNumId="7">
    <w:multiLevelType w:val="hybridMultilevel"/>
    <w:lvl w:ilvl="0">
      <w:start w:val="5"/>
      <w:numFmt w:val="decimal"/>
      <w:lvlText w:val="%1"/>
      <w:lvlJc w:val="left"/>
      <w:pPr>
        <w:ind w:left="706" w:hanging="467"/>
        <w:jc w:val="left"/>
      </w:pPr>
      <w:rPr>
        <w:rFonts w:hint="default"/>
      </w:rPr>
    </w:lvl>
    <w:lvl w:ilvl="1">
      <w:start w:val="1"/>
      <w:numFmt w:val="decimal"/>
      <w:lvlText w:val="%1.%2."/>
      <w:lvlJc w:val="left"/>
      <w:pPr>
        <w:ind w:left="706" w:hanging="467"/>
        <w:jc w:val="left"/>
      </w:pPr>
      <w:rPr>
        <w:rFonts w:hint="default" w:ascii="Arial" w:hAnsi="Arial" w:eastAsia="Arial" w:cs="Arial"/>
        <w:b/>
        <w:bCs/>
        <w:w w:val="100"/>
        <w:sz w:val="24"/>
        <w:szCs w:val="24"/>
      </w:rPr>
    </w:lvl>
    <w:lvl w:ilvl="2">
      <w:start w:val="1"/>
      <w:numFmt w:val="bullet"/>
      <w:lvlText w:val="•"/>
      <w:lvlJc w:val="left"/>
      <w:pPr>
        <w:ind w:left="2428" w:hanging="467"/>
      </w:pPr>
      <w:rPr>
        <w:rFonts w:hint="default"/>
      </w:rPr>
    </w:lvl>
    <w:lvl w:ilvl="3">
      <w:start w:val="1"/>
      <w:numFmt w:val="bullet"/>
      <w:lvlText w:val="•"/>
      <w:lvlJc w:val="left"/>
      <w:pPr>
        <w:ind w:left="3292" w:hanging="467"/>
      </w:pPr>
      <w:rPr>
        <w:rFonts w:hint="default"/>
      </w:rPr>
    </w:lvl>
    <w:lvl w:ilvl="4">
      <w:start w:val="1"/>
      <w:numFmt w:val="bullet"/>
      <w:lvlText w:val="•"/>
      <w:lvlJc w:val="left"/>
      <w:pPr>
        <w:ind w:left="4156" w:hanging="467"/>
      </w:pPr>
      <w:rPr>
        <w:rFonts w:hint="default"/>
      </w:rPr>
    </w:lvl>
    <w:lvl w:ilvl="5">
      <w:start w:val="1"/>
      <w:numFmt w:val="bullet"/>
      <w:lvlText w:val="•"/>
      <w:lvlJc w:val="left"/>
      <w:pPr>
        <w:ind w:left="5020" w:hanging="467"/>
      </w:pPr>
      <w:rPr>
        <w:rFonts w:hint="default"/>
      </w:rPr>
    </w:lvl>
    <w:lvl w:ilvl="6">
      <w:start w:val="1"/>
      <w:numFmt w:val="bullet"/>
      <w:lvlText w:val="•"/>
      <w:lvlJc w:val="left"/>
      <w:pPr>
        <w:ind w:left="5884" w:hanging="467"/>
      </w:pPr>
      <w:rPr>
        <w:rFonts w:hint="default"/>
      </w:rPr>
    </w:lvl>
    <w:lvl w:ilvl="7">
      <w:start w:val="1"/>
      <w:numFmt w:val="bullet"/>
      <w:lvlText w:val="•"/>
      <w:lvlJc w:val="left"/>
      <w:pPr>
        <w:ind w:left="6748" w:hanging="467"/>
      </w:pPr>
      <w:rPr>
        <w:rFonts w:hint="default"/>
      </w:rPr>
    </w:lvl>
    <w:lvl w:ilvl="8">
      <w:start w:val="1"/>
      <w:numFmt w:val="bullet"/>
      <w:lvlText w:val="•"/>
      <w:lvlJc w:val="left"/>
      <w:pPr>
        <w:ind w:left="7612" w:hanging="467"/>
      </w:pPr>
      <w:rPr>
        <w:rFonts w:hint="default"/>
      </w:rPr>
    </w:lvl>
  </w:abstractNum>
  <w:abstractNum w:abstractNumId="6">
    <w:multiLevelType w:val="hybridMultilevel"/>
    <w:lvl w:ilvl="0">
      <w:start w:val="2"/>
      <w:numFmt w:val="decimal"/>
      <w:lvlText w:val="%1"/>
      <w:lvlJc w:val="left"/>
      <w:pPr>
        <w:ind w:left="239" w:hanging="467"/>
        <w:jc w:val="left"/>
      </w:pPr>
      <w:rPr>
        <w:rFonts w:hint="default"/>
      </w:rPr>
    </w:lvl>
    <w:lvl w:ilvl="1">
      <w:start w:val="1"/>
      <w:numFmt w:val="decimal"/>
      <w:lvlText w:val="%1.%2."/>
      <w:lvlJc w:val="left"/>
      <w:pPr>
        <w:ind w:left="239" w:hanging="467"/>
        <w:jc w:val="left"/>
      </w:pPr>
      <w:rPr>
        <w:rFonts w:hint="default" w:ascii="Arial" w:hAnsi="Arial" w:eastAsia="Arial" w:cs="Arial"/>
        <w:b/>
        <w:bCs/>
        <w:w w:val="100"/>
        <w:sz w:val="24"/>
        <w:szCs w:val="24"/>
      </w:rPr>
    </w:lvl>
    <w:lvl w:ilvl="2">
      <w:start w:val="1"/>
      <w:numFmt w:val="decimal"/>
      <w:lvlText w:val="%1.%2.%3."/>
      <w:lvlJc w:val="left"/>
      <w:pPr>
        <w:ind w:left="906" w:hanging="668"/>
        <w:jc w:val="left"/>
      </w:pPr>
      <w:rPr>
        <w:rFonts w:hint="default" w:ascii="Arial" w:hAnsi="Arial" w:eastAsia="Arial" w:cs="Arial"/>
        <w:b/>
        <w:bCs/>
        <w:w w:val="100"/>
        <w:sz w:val="24"/>
        <w:szCs w:val="24"/>
      </w:rPr>
    </w:lvl>
    <w:lvl w:ilvl="3">
      <w:start w:val="1"/>
      <w:numFmt w:val="bullet"/>
      <w:lvlText w:val="•"/>
      <w:lvlJc w:val="left"/>
      <w:pPr>
        <w:ind w:left="2775" w:hanging="668"/>
      </w:pPr>
      <w:rPr>
        <w:rFonts w:hint="default"/>
      </w:rPr>
    </w:lvl>
    <w:lvl w:ilvl="4">
      <w:start w:val="1"/>
      <w:numFmt w:val="bullet"/>
      <w:lvlText w:val="•"/>
      <w:lvlJc w:val="left"/>
      <w:pPr>
        <w:ind w:left="3713" w:hanging="668"/>
      </w:pPr>
      <w:rPr>
        <w:rFonts w:hint="default"/>
      </w:rPr>
    </w:lvl>
    <w:lvl w:ilvl="5">
      <w:start w:val="1"/>
      <w:numFmt w:val="bullet"/>
      <w:lvlText w:val="•"/>
      <w:lvlJc w:val="left"/>
      <w:pPr>
        <w:ind w:left="4651" w:hanging="668"/>
      </w:pPr>
      <w:rPr>
        <w:rFonts w:hint="default"/>
      </w:rPr>
    </w:lvl>
    <w:lvl w:ilvl="6">
      <w:start w:val="1"/>
      <w:numFmt w:val="bullet"/>
      <w:lvlText w:val="•"/>
      <w:lvlJc w:val="left"/>
      <w:pPr>
        <w:ind w:left="5588" w:hanging="668"/>
      </w:pPr>
      <w:rPr>
        <w:rFonts w:hint="default"/>
      </w:rPr>
    </w:lvl>
    <w:lvl w:ilvl="7">
      <w:start w:val="1"/>
      <w:numFmt w:val="bullet"/>
      <w:lvlText w:val="•"/>
      <w:lvlJc w:val="left"/>
      <w:pPr>
        <w:ind w:left="6526" w:hanging="668"/>
      </w:pPr>
      <w:rPr>
        <w:rFonts w:hint="default"/>
      </w:rPr>
    </w:lvl>
    <w:lvl w:ilvl="8">
      <w:start w:val="1"/>
      <w:numFmt w:val="bullet"/>
      <w:lvlText w:val="•"/>
      <w:lvlJc w:val="left"/>
      <w:pPr>
        <w:ind w:left="7464" w:hanging="668"/>
      </w:pPr>
      <w:rPr>
        <w:rFonts w:hint="default"/>
      </w:rPr>
    </w:lvl>
  </w:abstractNum>
  <w:abstractNum w:abstractNumId="5">
    <w:multiLevelType w:val="hybridMultilevel"/>
    <w:lvl w:ilvl="0">
      <w:start w:val="4"/>
      <w:numFmt w:val="decimal"/>
      <w:lvlText w:val="%1"/>
      <w:lvlJc w:val="left"/>
      <w:pPr>
        <w:ind w:left="719" w:hanging="467"/>
        <w:jc w:val="left"/>
      </w:pPr>
      <w:rPr>
        <w:rFonts w:hint="default"/>
      </w:rPr>
    </w:lvl>
    <w:lvl w:ilvl="1">
      <w:start w:val="1"/>
      <w:numFmt w:val="decimal"/>
      <w:lvlText w:val="%1.%2."/>
      <w:lvlJc w:val="left"/>
      <w:pPr>
        <w:ind w:left="719" w:hanging="467"/>
        <w:jc w:val="left"/>
      </w:pPr>
      <w:rPr>
        <w:rFonts w:hint="default" w:ascii="Arial" w:hAnsi="Arial" w:eastAsia="Arial" w:cs="Arial"/>
        <w:spacing w:val="-1"/>
        <w:w w:val="100"/>
        <w:sz w:val="24"/>
        <w:szCs w:val="24"/>
      </w:rPr>
    </w:lvl>
    <w:lvl w:ilvl="2">
      <w:start w:val="1"/>
      <w:numFmt w:val="bullet"/>
      <w:lvlText w:val="•"/>
      <w:lvlJc w:val="left"/>
      <w:pPr>
        <w:ind w:left="2444" w:hanging="467"/>
      </w:pPr>
      <w:rPr>
        <w:rFonts w:hint="default"/>
      </w:rPr>
    </w:lvl>
    <w:lvl w:ilvl="3">
      <w:start w:val="1"/>
      <w:numFmt w:val="bullet"/>
      <w:lvlText w:val="•"/>
      <w:lvlJc w:val="left"/>
      <w:pPr>
        <w:ind w:left="3306" w:hanging="467"/>
      </w:pPr>
      <w:rPr>
        <w:rFonts w:hint="default"/>
      </w:rPr>
    </w:lvl>
    <w:lvl w:ilvl="4">
      <w:start w:val="1"/>
      <w:numFmt w:val="bullet"/>
      <w:lvlText w:val="•"/>
      <w:lvlJc w:val="left"/>
      <w:pPr>
        <w:ind w:left="4168" w:hanging="467"/>
      </w:pPr>
      <w:rPr>
        <w:rFonts w:hint="default"/>
      </w:rPr>
    </w:lvl>
    <w:lvl w:ilvl="5">
      <w:start w:val="1"/>
      <w:numFmt w:val="bullet"/>
      <w:lvlText w:val="•"/>
      <w:lvlJc w:val="left"/>
      <w:pPr>
        <w:ind w:left="5030" w:hanging="467"/>
      </w:pPr>
      <w:rPr>
        <w:rFonts w:hint="default"/>
      </w:rPr>
    </w:lvl>
    <w:lvl w:ilvl="6">
      <w:start w:val="1"/>
      <w:numFmt w:val="bullet"/>
      <w:lvlText w:val="•"/>
      <w:lvlJc w:val="left"/>
      <w:pPr>
        <w:ind w:left="5892" w:hanging="467"/>
      </w:pPr>
      <w:rPr>
        <w:rFonts w:hint="default"/>
      </w:rPr>
    </w:lvl>
    <w:lvl w:ilvl="7">
      <w:start w:val="1"/>
      <w:numFmt w:val="bullet"/>
      <w:lvlText w:val="•"/>
      <w:lvlJc w:val="left"/>
      <w:pPr>
        <w:ind w:left="6754" w:hanging="467"/>
      </w:pPr>
      <w:rPr>
        <w:rFonts w:hint="default"/>
      </w:rPr>
    </w:lvl>
    <w:lvl w:ilvl="8">
      <w:start w:val="1"/>
      <w:numFmt w:val="bullet"/>
      <w:lvlText w:val="•"/>
      <w:lvlJc w:val="left"/>
      <w:pPr>
        <w:ind w:left="7616" w:hanging="467"/>
      </w:pPr>
      <w:rPr>
        <w:rFonts w:hint="default"/>
      </w:rPr>
    </w:lvl>
  </w:abstractNum>
  <w:abstractNum w:abstractNumId="4">
    <w:multiLevelType w:val="hybridMultilevel"/>
    <w:lvl w:ilvl="0">
      <w:start w:val="6"/>
      <w:numFmt w:val="decimal"/>
      <w:lvlText w:val="%1"/>
      <w:lvlJc w:val="left"/>
      <w:pPr>
        <w:ind w:left="1386" w:hanging="668"/>
        <w:jc w:val="left"/>
      </w:pPr>
      <w:rPr>
        <w:rFonts w:hint="default"/>
      </w:rPr>
    </w:lvl>
    <w:lvl w:ilvl="1">
      <w:start w:val="1"/>
      <w:numFmt w:val="decimal"/>
      <w:lvlText w:val="%1.%2"/>
      <w:lvlJc w:val="left"/>
      <w:pPr>
        <w:ind w:left="1386" w:hanging="668"/>
        <w:jc w:val="left"/>
      </w:pPr>
      <w:rPr>
        <w:rFonts w:hint="default"/>
      </w:rPr>
    </w:lvl>
    <w:lvl w:ilvl="2">
      <w:start w:val="4"/>
      <w:numFmt w:val="decimal"/>
      <w:lvlText w:val="%1.%2.%3."/>
      <w:lvlJc w:val="left"/>
      <w:pPr>
        <w:ind w:left="1386" w:hanging="668"/>
        <w:jc w:val="left"/>
      </w:pPr>
      <w:rPr>
        <w:rFonts w:hint="default" w:ascii="Arial" w:hAnsi="Arial" w:eastAsia="Arial" w:cs="Arial"/>
        <w:w w:val="100"/>
        <w:sz w:val="24"/>
        <w:szCs w:val="24"/>
      </w:rPr>
    </w:lvl>
    <w:lvl w:ilvl="3">
      <w:start w:val="1"/>
      <w:numFmt w:val="bullet"/>
      <w:lvlText w:val="•"/>
      <w:lvlJc w:val="left"/>
      <w:pPr>
        <w:ind w:left="3768" w:hanging="668"/>
      </w:pPr>
      <w:rPr>
        <w:rFonts w:hint="default"/>
      </w:rPr>
    </w:lvl>
    <w:lvl w:ilvl="4">
      <w:start w:val="1"/>
      <w:numFmt w:val="bullet"/>
      <w:lvlText w:val="•"/>
      <w:lvlJc w:val="left"/>
      <w:pPr>
        <w:ind w:left="4564" w:hanging="668"/>
      </w:pPr>
      <w:rPr>
        <w:rFonts w:hint="default"/>
      </w:rPr>
    </w:lvl>
    <w:lvl w:ilvl="5">
      <w:start w:val="1"/>
      <w:numFmt w:val="bullet"/>
      <w:lvlText w:val="•"/>
      <w:lvlJc w:val="left"/>
      <w:pPr>
        <w:ind w:left="5360" w:hanging="668"/>
      </w:pPr>
      <w:rPr>
        <w:rFonts w:hint="default"/>
      </w:rPr>
    </w:lvl>
    <w:lvl w:ilvl="6">
      <w:start w:val="1"/>
      <w:numFmt w:val="bullet"/>
      <w:lvlText w:val="•"/>
      <w:lvlJc w:val="left"/>
      <w:pPr>
        <w:ind w:left="6156" w:hanging="668"/>
      </w:pPr>
      <w:rPr>
        <w:rFonts w:hint="default"/>
      </w:rPr>
    </w:lvl>
    <w:lvl w:ilvl="7">
      <w:start w:val="1"/>
      <w:numFmt w:val="bullet"/>
      <w:lvlText w:val="•"/>
      <w:lvlJc w:val="left"/>
      <w:pPr>
        <w:ind w:left="6952" w:hanging="668"/>
      </w:pPr>
      <w:rPr>
        <w:rFonts w:hint="default"/>
      </w:rPr>
    </w:lvl>
    <w:lvl w:ilvl="8">
      <w:start w:val="1"/>
      <w:numFmt w:val="bullet"/>
      <w:lvlText w:val="•"/>
      <w:lvlJc w:val="left"/>
      <w:pPr>
        <w:ind w:left="7748" w:hanging="668"/>
      </w:pPr>
      <w:rPr>
        <w:rFonts w:hint="default"/>
      </w:rPr>
    </w:lvl>
  </w:abstractNum>
  <w:abstractNum w:abstractNumId="3">
    <w:multiLevelType w:val="hybridMultilevel"/>
    <w:lvl w:ilvl="0">
      <w:start w:val="6"/>
      <w:numFmt w:val="decimal"/>
      <w:lvlText w:val="%1"/>
      <w:lvlJc w:val="left"/>
      <w:pPr>
        <w:ind w:left="946" w:hanging="467"/>
        <w:jc w:val="left"/>
      </w:pPr>
      <w:rPr>
        <w:rFonts w:hint="default"/>
      </w:rPr>
    </w:lvl>
    <w:lvl w:ilvl="1">
      <w:start w:val="1"/>
      <w:numFmt w:val="decimal"/>
      <w:lvlText w:val="%1.%2."/>
      <w:lvlJc w:val="left"/>
      <w:pPr>
        <w:ind w:left="479" w:hanging="467"/>
        <w:jc w:val="left"/>
      </w:pPr>
      <w:rPr>
        <w:rFonts w:hint="default" w:ascii="Arial" w:hAnsi="Arial" w:eastAsia="Arial" w:cs="Arial"/>
        <w:w w:val="100"/>
        <w:sz w:val="24"/>
        <w:szCs w:val="24"/>
      </w:rPr>
    </w:lvl>
    <w:lvl w:ilvl="2">
      <w:start w:val="1"/>
      <w:numFmt w:val="decimal"/>
      <w:lvlText w:val="%1.%2.%3."/>
      <w:lvlJc w:val="left"/>
      <w:pPr>
        <w:ind w:left="1386" w:hanging="668"/>
        <w:jc w:val="left"/>
      </w:pPr>
      <w:rPr>
        <w:rFonts w:hint="default" w:ascii="Arial" w:hAnsi="Arial" w:eastAsia="Arial" w:cs="Arial"/>
        <w:w w:val="100"/>
        <w:sz w:val="24"/>
        <w:szCs w:val="24"/>
      </w:rPr>
    </w:lvl>
    <w:lvl w:ilvl="3">
      <w:start w:val="1"/>
      <w:numFmt w:val="bullet"/>
      <w:lvlText w:val="•"/>
      <w:lvlJc w:val="left"/>
      <w:pPr>
        <w:ind w:left="2375" w:hanging="668"/>
      </w:pPr>
      <w:rPr>
        <w:rFonts w:hint="default"/>
      </w:rPr>
    </w:lvl>
    <w:lvl w:ilvl="4">
      <w:start w:val="1"/>
      <w:numFmt w:val="bullet"/>
      <w:lvlText w:val="•"/>
      <w:lvlJc w:val="left"/>
      <w:pPr>
        <w:ind w:left="3370" w:hanging="668"/>
      </w:pPr>
      <w:rPr>
        <w:rFonts w:hint="default"/>
      </w:rPr>
    </w:lvl>
    <w:lvl w:ilvl="5">
      <w:start w:val="1"/>
      <w:numFmt w:val="bullet"/>
      <w:lvlText w:val="•"/>
      <w:lvlJc w:val="left"/>
      <w:pPr>
        <w:ind w:left="4365" w:hanging="668"/>
      </w:pPr>
      <w:rPr>
        <w:rFonts w:hint="default"/>
      </w:rPr>
    </w:lvl>
    <w:lvl w:ilvl="6">
      <w:start w:val="1"/>
      <w:numFmt w:val="bullet"/>
      <w:lvlText w:val="•"/>
      <w:lvlJc w:val="left"/>
      <w:pPr>
        <w:ind w:left="5360" w:hanging="668"/>
      </w:pPr>
      <w:rPr>
        <w:rFonts w:hint="default"/>
      </w:rPr>
    </w:lvl>
    <w:lvl w:ilvl="7">
      <w:start w:val="1"/>
      <w:numFmt w:val="bullet"/>
      <w:lvlText w:val="•"/>
      <w:lvlJc w:val="left"/>
      <w:pPr>
        <w:ind w:left="6355" w:hanging="668"/>
      </w:pPr>
      <w:rPr>
        <w:rFonts w:hint="default"/>
      </w:rPr>
    </w:lvl>
    <w:lvl w:ilvl="8">
      <w:start w:val="1"/>
      <w:numFmt w:val="bullet"/>
      <w:lvlText w:val="•"/>
      <w:lvlJc w:val="left"/>
      <w:pPr>
        <w:ind w:left="7350" w:hanging="668"/>
      </w:pPr>
      <w:rPr>
        <w:rFonts w:hint="default"/>
      </w:rPr>
    </w:lvl>
  </w:abstractNum>
  <w:abstractNum w:abstractNumId="2">
    <w:multiLevelType w:val="hybridMultilevel"/>
    <w:lvl w:ilvl="0">
      <w:start w:val="5"/>
      <w:numFmt w:val="decimal"/>
      <w:lvlText w:val="%1"/>
      <w:lvlJc w:val="left"/>
      <w:pPr>
        <w:ind w:left="946" w:hanging="467"/>
        <w:jc w:val="left"/>
      </w:pPr>
      <w:rPr>
        <w:rFonts w:hint="default"/>
      </w:rPr>
    </w:lvl>
    <w:lvl w:ilvl="1">
      <w:start w:val="1"/>
      <w:numFmt w:val="decimal"/>
      <w:lvlText w:val="%1.%2."/>
      <w:lvlJc w:val="left"/>
      <w:pPr>
        <w:ind w:left="946" w:hanging="467"/>
        <w:jc w:val="left"/>
      </w:pPr>
      <w:rPr>
        <w:rFonts w:hint="default" w:ascii="Arial" w:hAnsi="Arial" w:eastAsia="Arial" w:cs="Arial"/>
        <w:spacing w:val="-1"/>
        <w:w w:val="100"/>
        <w:sz w:val="24"/>
        <w:szCs w:val="24"/>
      </w:rPr>
    </w:lvl>
    <w:lvl w:ilvl="2">
      <w:start w:val="1"/>
      <w:numFmt w:val="bullet"/>
      <w:lvlText w:val="•"/>
      <w:lvlJc w:val="left"/>
      <w:pPr>
        <w:ind w:left="2620" w:hanging="467"/>
      </w:pPr>
      <w:rPr>
        <w:rFonts w:hint="default"/>
      </w:rPr>
    </w:lvl>
    <w:lvl w:ilvl="3">
      <w:start w:val="1"/>
      <w:numFmt w:val="bullet"/>
      <w:lvlText w:val="•"/>
      <w:lvlJc w:val="left"/>
      <w:pPr>
        <w:ind w:left="3460" w:hanging="467"/>
      </w:pPr>
      <w:rPr>
        <w:rFonts w:hint="default"/>
      </w:rPr>
    </w:lvl>
    <w:lvl w:ilvl="4">
      <w:start w:val="1"/>
      <w:numFmt w:val="bullet"/>
      <w:lvlText w:val="•"/>
      <w:lvlJc w:val="left"/>
      <w:pPr>
        <w:ind w:left="4300" w:hanging="467"/>
      </w:pPr>
      <w:rPr>
        <w:rFonts w:hint="default"/>
      </w:rPr>
    </w:lvl>
    <w:lvl w:ilvl="5">
      <w:start w:val="1"/>
      <w:numFmt w:val="bullet"/>
      <w:lvlText w:val="•"/>
      <w:lvlJc w:val="left"/>
      <w:pPr>
        <w:ind w:left="5140" w:hanging="467"/>
      </w:pPr>
      <w:rPr>
        <w:rFonts w:hint="default"/>
      </w:rPr>
    </w:lvl>
    <w:lvl w:ilvl="6">
      <w:start w:val="1"/>
      <w:numFmt w:val="bullet"/>
      <w:lvlText w:val="•"/>
      <w:lvlJc w:val="left"/>
      <w:pPr>
        <w:ind w:left="5980" w:hanging="467"/>
      </w:pPr>
      <w:rPr>
        <w:rFonts w:hint="default"/>
      </w:rPr>
    </w:lvl>
    <w:lvl w:ilvl="7">
      <w:start w:val="1"/>
      <w:numFmt w:val="bullet"/>
      <w:lvlText w:val="•"/>
      <w:lvlJc w:val="left"/>
      <w:pPr>
        <w:ind w:left="6820" w:hanging="467"/>
      </w:pPr>
      <w:rPr>
        <w:rFonts w:hint="default"/>
      </w:rPr>
    </w:lvl>
    <w:lvl w:ilvl="8">
      <w:start w:val="1"/>
      <w:numFmt w:val="bullet"/>
      <w:lvlText w:val="•"/>
      <w:lvlJc w:val="left"/>
      <w:pPr>
        <w:ind w:left="7660" w:hanging="467"/>
      </w:pPr>
      <w:rPr>
        <w:rFonts w:hint="default"/>
      </w:rPr>
    </w:lvl>
  </w:abstractNum>
  <w:abstractNum w:abstractNumId="1">
    <w:multiLevelType w:val="hybridMultilevel"/>
    <w:lvl w:ilvl="0">
      <w:start w:val="2"/>
      <w:numFmt w:val="decimal"/>
      <w:lvlText w:val="%1"/>
      <w:lvlJc w:val="left"/>
      <w:pPr>
        <w:ind w:left="479" w:hanging="467"/>
        <w:jc w:val="left"/>
      </w:pPr>
      <w:rPr>
        <w:rFonts w:hint="default"/>
      </w:rPr>
    </w:lvl>
    <w:lvl w:ilvl="1">
      <w:start w:val="1"/>
      <w:numFmt w:val="decimal"/>
      <w:lvlText w:val="%1.%2."/>
      <w:lvlJc w:val="left"/>
      <w:pPr>
        <w:ind w:left="479" w:hanging="467"/>
        <w:jc w:val="left"/>
      </w:pPr>
      <w:rPr>
        <w:rFonts w:hint="default" w:ascii="Arial" w:hAnsi="Arial" w:eastAsia="Arial" w:cs="Arial"/>
        <w:spacing w:val="-1"/>
        <w:w w:val="100"/>
        <w:sz w:val="24"/>
        <w:szCs w:val="24"/>
      </w:rPr>
    </w:lvl>
    <w:lvl w:ilvl="2">
      <w:start w:val="1"/>
      <w:numFmt w:val="decimal"/>
      <w:lvlText w:val="%1.%2.%3."/>
      <w:lvlJc w:val="left"/>
      <w:pPr>
        <w:ind w:left="1386" w:hanging="668"/>
        <w:jc w:val="left"/>
      </w:pPr>
      <w:rPr>
        <w:rFonts w:hint="default" w:ascii="Arial" w:hAnsi="Arial" w:eastAsia="Arial" w:cs="Arial"/>
        <w:spacing w:val="-1"/>
        <w:w w:val="100"/>
        <w:sz w:val="24"/>
        <w:szCs w:val="24"/>
      </w:rPr>
    </w:lvl>
    <w:lvl w:ilvl="3">
      <w:start w:val="1"/>
      <w:numFmt w:val="bullet"/>
      <w:lvlText w:val="•"/>
      <w:lvlJc w:val="left"/>
      <w:pPr>
        <w:ind w:left="3148" w:hanging="668"/>
      </w:pPr>
      <w:rPr>
        <w:rFonts w:hint="default"/>
      </w:rPr>
    </w:lvl>
    <w:lvl w:ilvl="4">
      <w:start w:val="1"/>
      <w:numFmt w:val="bullet"/>
      <w:lvlText w:val="•"/>
      <w:lvlJc w:val="left"/>
      <w:pPr>
        <w:ind w:left="4033" w:hanging="668"/>
      </w:pPr>
      <w:rPr>
        <w:rFonts w:hint="default"/>
      </w:rPr>
    </w:lvl>
    <w:lvl w:ilvl="5">
      <w:start w:val="1"/>
      <w:numFmt w:val="bullet"/>
      <w:lvlText w:val="•"/>
      <w:lvlJc w:val="left"/>
      <w:pPr>
        <w:ind w:left="4917" w:hanging="668"/>
      </w:pPr>
      <w:rPr>
        <w:rFonts w:hint="default"/>
      </w:rPr>
    </w:lvl>
    <w:lvl w:ilvl="6">
      <w:start w:val="1"/>
      <w:numFmt w:val="bullet"/>
      <w:lvlText w:val="•"/>
      <w:lvlJc w:val="left"/>
      <w:pPr>
        <w:ind w:left="5802" w:hanging="668"/>
      </w:pPr>
      <w:rPr>
        <w:rFonts w:hint="default"/>
      </w:rPr>
    </w:lvl>
    <w:lvl w:ilvl="7">
      <w:start w:val="1"/>
      <w:numFmt w:val="bullet"/>
      <w:lvlText w:val="•"/>
      <w:lvlJc w:val="left"/>
      <w:pPr>
        <w:ind w:left="6686" w:hanging="668"/>
      </w:pPr>
      <w:rPr>
        <w:rFonts w:hint="default"/>
      </w:rPr>
    </w:lvl>
    <w:lvl w:ilvl="8">
      <w:start w:val="1"/>
      <w:numFmt w:val="bullet"/>
      <w:lvlText w:val="•"/>
      <w:lvlJc w:val="left"/>
      <w:pPr>
        <w:ind w:left="7571" w:hanging="668"/>
      </w:pPr>
      <w:rPr>
        <w:rFonts w:hint="default"/>
      </w:rPr>
    </w:lvl>
  </w:abstractNum>
  <w:abstractNum w:abstractNumId="0">
    <w:multiLevelType w:val="hybridMultilevel"/>
    <w:lvl w:ilvl="0">
      <w:start w:val="1"/>
      <w:numFmt w:val="upperRoman"/>
      <w:lvlText w:val="%1."/>
      <w:lvlJc w:val="left"/>
      <w:pPr>
        <w:ind w:left="439" w:hanging="200"/>
        <w:jc w:val="left"/>
      </w:pPr>
      <w:rPr>
        <w:rFonts w:hint="default" w:ascii="Arial" w:hAnsi="Arial" w:eastAsia="Arial" w:cs="Arial"/>
        <w:w w:val="100"/>
        <w:sz w:val="24"/>
        <w:szCs w:val="24"/>
      </w:rPr>
    </w:lvl>
    <w:lvl w:ilvl="1">
      <w:start w:val="1"/>
      <w:numFmt w:val="upperRoman"/>
      <w:lvlText w:val="%2."/>
      <w:lvlJc w:val="left"/>
      <w:pPr>
        <w:ind w:left="2720" w:hanging="267"/>
        <w:jc w:val="right"/>
      </w:pPr>
      <w:rPr>
        <w:rFonts w:hint="default"/>
        <w:b/>
        <w:bCs/>
        <w:w w:val="102"/>
      </w:rPr>
    </w:lvl>
    <w:lvl w:ilvl="2">
      <w:start w:val="1"/>
      <w:numFmt w:val="bullet"/>
      <w:lvlText w:val="•"/>
      <w:lvlJc w:val="left"/>
      <w:pPr>
        <w:ind w:left="3455" w:hanging="267"/>
      </w:pPr>
      <w:rPr>
        <w:rFonts w:hint="default"/>
      </w:rPr>
    </w:lvl>
    <w:lvl w:ilvl="3">
      <w:start w:val="1"/>
      <w:numFmt w:val="bullet"/>
      <w:lvlText w:val="•"/>
      <w:lvlJc w:val="left"/>
      <w:pPr>
        <w:ind w:left="4191" w:hanging="267"/>
      </w:pPr>
      <w:rPr>
        <w:rFonts w:hint="default"/>
      </w:rPr>
    </w:lvl>
    <w:lvl w:ilvl="4">
      <w:start w:val="1"/>
      <w:numFmt w:val="bullet"/>
      <w:lvlText w:val="•"/>
      <w:lvlJc w:val="left"/>
      <w:pPr>
        <w:ind w:left="4926" w:hanging="267"/>
      </w:pPr>
      <w:rPr>
        <w:rFonts w:hint="default"/>
      </w:rPr>
    </w:lvl>
    <w:lvl w:ilvl="5">
      <w:start w:val="1"/>
      <w:numFmt w:val="bullet"/>
      <w:lvlText w:val="•"/>
      <w:lvlJc w:val="left"/>
      <w:pPr>
        <w:ind w:left="5662" w:hanging="267"/>
      </w:pPr>
      <w:rPr>
        <w:rFonts w:hint="default"/>
      </w:rPr>
    </w:lvl>
    <w:lvl w:ilvl="6">
      <w:start w:val="1"/>
      <w:numFmt w:val="bullet"/>
      <w:lvlText w:val="•"/>
      <w:lvlJc w:val="left"/>
      <w:pPr>
        <w:ind w:left="6397" w:hanging="267"/>
      </w:pPr>
      <w:rPr>
        <w:rFonts w:hint="default"/>
      </w:rPr>
    </w:lvl>
    <w:lvl w:ilvl="7">
      <w:start w:val="1"/>
      <w:numFmt w:val="bullet"/>
      <w:lvlText w:val="•"/>
      <w:lvlJc w:val="left"/>
      <w:pPr>
        <w:ind w:left="7133" w:hanging="267"/>
      </w:pPr>
      <w:rPr>
        <w:rFonts w:hint="default"/>
      </w:rPr>
    </w:lvl>
    <w:lvl w:ilvl="8">
      <w:start w:val="1"/>
      <w:numFmt w:val="bullet"/>
      <w:lvlText w:val="•"/>
      <w:lvlJc w:val="left"/>
      <w:pPr>
        <w:ind w:left="7868" w:hanging="267"/>
      </w:pPr>
      <w:rPr>
        <w:rFonts w:hint="default"/>
      </w:rPr>
    </w:lvl>
  </w:abstractNum>
  <w:num w:numId="15">
    <w:abstractNumId w:val="14"/>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22"/>
      <w:ind w:left="239"/>
    </w:pPr>
    <w:rPr>
      <w:rFonts w:ascii="Arial" w:hAnsi="Arial" w:eastAsia="Arial" w:cs="Arial"/>
      <w:sz w:val="24"/>
      <w:szCs w:val="24"/>
    </w:rPr>
  </w:style>
  <w:style w:styleId="TOC2" w:type="paragraph">
    <w:name w:val="TOC 2"/>
    <w:basedOn w:val="Normal"/>
    <w:uiPriority w:val="1"/>
    <w:qFormat/>
    <w:pPr>
      <w:spacing w:line="275" w:lineRule="exact"/>
      <w:ind w:left="946" w:hanging="467"/>
    </w:pPr>
    <w:rPr>
      <w:rFonts w:ascii="Arial" w:hAnsi="Arial" w:eastAsia="Arial" w:cs="Arial"/>
      <w:sz w:val="24"/>
      <w:szCs w:val="24"/>
    </w:rPr>
  </w:style>
  <w:style w:styleId="TOC3" w:type="paragraph">
    <w:name w:val="TOC 3"/>
    <w:basedOn w:val="Normal"/>
    <w:uiPriority w:val="1"/>
    <w:qFormat/>
    <w:pPr>
      <w:spacing w:line="275" w:lineRule="exact"/>
      <w:ind w:left="479"/>
    </w:pPr>
    <w:rPr>
      <w:rFonts w:ascii="Arial" w:hAnsi="Arial" w:eastAsia="Arial" w:cs="Arial"/>
      <w:i/>
      <w:sz w:val="24"/>
      <w:szCs w:val="24"/>
    </w:rPr>
  </w:style>
  <w:style w:styleId="TOC4" w:type="paragraph">
    <w:name w:val="TOC 4"/>
    <w:basedOn w:val="Normal"/>
    <w:uiPriority w:val="1"/>
    <w:qFormat/>
    <w:pPr>
      <w:spacing w:before="2"/>
      <w:ind w:left="479"/>
    </w:pPr>
    <w:rPr>
      <w:rFonts w:ascii="Arial" w:hAnsi="Arial" w:eastAsia="Arial" w:cs="Arial"/>
      <w:b/>
      <w:bCs/>
      <w:i/>
    </w:rPr>
  </w:style>
  <w:style w:styleId="TOC5" w:type="paragraph">
    <w:name w:val="TOC 5"/>
    <w:basedOn w:val="Normal"/>
    <w:uiPriority w:val="1"/>
    <w:qFormat/>
    <w:pPr>
      <w:spacing w:line="275" w:lineRule="exact"/>
      <w:ind w:left="1386" w:hanging="667"/>
    </w:pPr>
    <w:rPr>
      <w:rFonts w:ascii="Arial" w:hAnsi="Arial" w:eastAsia="Arial" w:cs="Arial"/>
      <w:sz w:val="24"/>
      <w:szCs w:val="24"/>
    </w:rPr>
  </w:style>
  <w:style w:styleId="TOC6" w:type="paragraph">
    <w:name w:val="TOC 6"/>
    <w:basedOn w:val="Normal"/>
    <w:uiPriority w:val="1"/>
    <w:qFormat/>
    <w:pPr>
      <w:spacing w:line="275" w:lineRule="exact"/>
      <w:ind w:left="719"/>
    </w:pPr>
    <w:rPr>
      <w:rFonts w:ascii="Arial" w:hAnsi="Arial" w:eastAsia="Arial" w:cs="Arial"/>
      <w:i/>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66"/>
      <w:ind w:left="63"/>
      <w:outlineLvl w:val="1"/>
    </w:pPr>
    <w:rPr>
      <w:rFonts w:ascii="Arial" w:hAnsi="Arial" w:eastAsia="Arial" w:cs="Arial"/>
      <w:b/>
      <w:bCs/>
      <w:sz w:val="31"/>
      <w:szCs w:val="31"/>
    </w:rPr>
  </w:style>
  <w:style w:styleId="Heading2" w:type="paragraph">
    <w:name w:val="Heading 2"/>
    <w:basedOn w:val="Normal"/>
    <w:uiPriority w:val="1"/>
    <w:qFormat/>
    <w:pPr>
      <w:spacing w:before="70"/>
      <w:ind w:left="906" w:hanging="667"/>
      <w:jc w:val="both"/>
      <w:outlineLvl w:val="2"/>
    </w:pPr>
    <w:rPr>
      <w:rFonts w:ascii="Arial" w:hAnsi="Arial" w:eastAsia="Arial" w:cs="Arial"/>
      <w:b/>
      <w:bCs/>
      <w:sz w:val="24"/>
      <w:szCs w:val="24"/>
    </w:rPr>
  </w:style>
  <w:style w:styleId="Heading3" w:type="paragraph">
    <w:name w:val="Heading 3"/>
    <w:basedOn w:val="Normal"/>
    <w:uiPriority w:val="1"/>
    <w:qFormat/>
    <w:pPr>
      <w:ind w:left="239"/>
      <w:jc w:val="both"/>
      <w:outlineLvl w:val="3"/>
    </w:pPr>
    <w:rPr>
      <w:rFonts w:ascii="Arial" w:hAnsi="Arial" w:eastAsia="Arial" w:cs="Arial"/>
      <w:b/>
      <w:bCs/>
      <w:i/>
      <w:sz w:val="24"/>
      <w:szCs w:val="24"/>
    </w:rPr>
  </w:style>
  <w:style w:styleId="ListParagraph" w:type="paragraph">
    <w:name w:val="List Paragraph"/>
    <w:basedOn w:val="Normal"/>
    <w:uiPriority w:val="1"/>
    <w:qFormat/>
    <w:pPr>
      <w:spacing w:before="80"/>
      <w:ind w:left="1453" w:hanging="551"/>
    </w:pPr>
    <w:rPr>
      <w:rFonts w:ascii="Times New Roman" w:hAnsi="Times New Roman" w:eastAsia="Times New Roman" w:cs="Times New Roman"/>
    </w:rPr>
  </w:style>
  <w:style w:styleId="TableParagraph" w:type="paragraph">
    <w:name w:val="Table Paragraph"/>
    <w:basedOn w:val="Normal"/>
    <w:uiPriority w:val="1"/>
    <w:qForma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png"/><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header" Target="header1.xml"/><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footer" Target="footer6.xml"/><Relationship Id="rId13" Type="http://schemas.openxmlformats.org/officeDocument/2006/relationships/image" Target="media/image2.png"/><Relationship Id="rId14" Type="http://schemas.openxmlformats.org/officeDocument/2006/relationships/image" Target="media/image3.jpeg"/><Relationship Id="rId15" Type="http://schemas.openxmlformats.org/officeDocument/2006/relationships/hyperlink" Target="http://www2.inecc.gob.mx/sistemas/plaguicidas/pdf/metalaxil.pdf" TargetMode="External"/><Relationship Id="rId16" Type="http://schemas.openxmlformats.org/officeDocument/2006/relationships/footer" Target="footer7.xml"/><Relationship Id="rId17" Type="http://schemas.openxmlformats.org/officeDocument/2006/relationships/footer" Target="footer8.xml"/><Relationship Id="rId18" Type="http://schemas.openxmlformats.org/officeDocument/2006/relationships/image" Target="media/image4.jpeg"/><Relationship Id="rId19" Type="http://schemas.openxmlformats.org/officeDocument/2006/relationships/footer" Target="footer9.xml"/><Relationship Id="rId20" Type="http://schemas.openxmlformats.org/officeDocument/2006/relationships/footer" Target="footer10.xml"/><Relationship Id="rId21" Type="http://schemas.openxmlformats.org/officeDocument/2006/relationships/hyperlink" Target="mailto:amartimacar@yahoo.com.mx" TargetMode="External"/><Relationship Id="rId22" Type="http://schemas.openxmlformats.org/officeDocument/2006/relationships/hyperlink" Target="mailto:acar@yahoo.com.mx" TargetMode="External"/><Relationship Id="rId23" Type="http://schemas.openxmlformats.org/officeDocument/2006/relationships/image" Target="media/image5.png"/><Relationship Id="rId24" Type="http://schemas.openxmlformats.org/officeDocument/2006/relationships/image" Target="media/image6.png"/><Relationship Id="rId25" Type="http://schemas.openxmlformats.org/officeDocument/2006/relationships/image" Target="media/image7.png"/><Relationship Id="rId26" Type="http://schemas.openxmlformats.org/officeDocument/2006/relationships/image" Target="media/image8.png"/><Relationship Id="rId27" Type="http://schemas.openxmlformats.org/officeDocument/2006/relationships/image" Target="media/image9.png"/><Relationship Id="rId28" Type="http://schemas.openxmlformats.org/officeDocument/2006/relationships/image" Target="media/image10.png"/><Relationship Id="rId29" Type="http://schemas.openxmlformats.org/officeDocument/2006/relationships/image" Target="media/image11.png"/><Relationship Id="rId30" Type="http://schemas.openxmlformats.org/officeDocument/2006/relationships/image" Target="media/image12.png"/><Relationship Id="rId31" Type="http://schemas.openxmlformats.org/officeDocument/2006/relationships/image" Target="media/image13.png"/><Relationship Id="rId32" Type="http://schemas.openxmlformats.org/officeDocument/2006/relationships/image" Target="media/image14.png"/><Relationship Id="rId33" Type="http://schemas.openxmlformats.org/officeDocument/2006/relationships/image" Target="media/image15.png"/><Relationship Id="rId34" Type="http://schemas.openxmlformats.org/officeDocument/2006/relationships/image" Target="media/image16.png"/><Relationship Id="rId35" Type="http://schemas.openxmlformats.org/officeDocument/2006/relationships/image" Target="media/image17.png"/><Relationship Id="rId36" Type="http://schemas.openxmlformats.org/officeDocument/2006/relationships/image" Target="media/image18.png"/><Relationship Id="rId37" Type="http://schemas.openxmlformats.org/officeDocument/2006/relationships/image" Target="media/image19.png"/><Relationship Id="rId38" Type="http://schemas.openxmlformats.org/officeDocument/2006/relationships/image" Target="media/image20.png"/><Relationship Id="rId39" Type="http://schemas.openxmlformats.org/officeDocument/2006/relationships/image" Target="media/image21.png"/><Relationship Id="rId40" Type="http://schemas.openxmlformats.org/officeDocument/2006/relationships/footer" Target="footer11.xml"/><Relationship Id="rId41" Type="http://schemas.openxmlformats.org/officeDocument/2006/relationships/image" Target="media/image22.png"/><Relationship Id="rId42" Type="http://schemas.openxmlformats.org/officeDocument/2006/relationships/image" Target="media/image23.png"/><Relationship Id="rId43" Type="http://schemas.openxmlformats.org/officeDocument/2006/relationships/footer" Target="footer12.xml"/><Relationship Id="rId44" Type="http://schemas.openxmlformats.org/officeDocument/2006/relationships/image" Target="media/image24.png"/><Relationship Id="rId45" Type="http://schemas.openxmlformats.org/officeDocument/2006/relationships/image" Target="media/image25.png"/><Relationship Id="rId46" Type="http://schemas.openxmlformats.org/officeDocument/2006/relationships/hyperlink" Target="http://www.frac.info/frac/" TargetMode="External"/><Relationship Id="rId47" Type="http://schemas.openxmlformats.org/officeDocument/2006/relationships/hyperlink" Target="http://dgcnesyp.inegi.org.mx/cgi-win/" TargetMode="External"/><Relationship Id="rId48" Type="http://schemas.openxmlformats.org/officeDocument/2006/relationships/hyperlink" Target="http://www.siap.gob.mx/index.php?option=com_" TargetMode="External"/><Relationship Id="rId49" Type="http://schemas.openxmlformats.org/officeDocument/2006/relationships/hyperlink" Target="http://sitem/" TargetMode="External"/><Relationship Id="rId50" Type="http://schemas.openxmlformats.org/officeDocument/2006/relationships/hyperlink" Target="http://dx.doi.org/10.1094/PDIS-10-12-0962-PDN" TargetMode="External"/><Relationship Id="rId51" Type="http://schemas.openxmlformats.org/officeDocument/2006/relationships/hyperlink" Target="http://dx.doi.org/10.1094/PDIS-11-12-1048-PDN" TargetMode="External"/><Relationship Id="rId52" Type="http://schemas.openxmlformats.org/officeDocument/2006/relationships/hyperlink" Target="mailto:daniel.palmero@upm.es" TargetMode="External"/><Relationship Id="rId53" Type="http://schemas.openxmlformats.org/officeDocument/2006/relationships/hyperlink" Target="http://dx.doi.org/10.12706/itea.2013.024" TargetMode="External"/><Relationship Id="rId54" Type="http://schemas.openxmlformats.org/officeDocument/2006/relationships/image" Target="media/image26.png"/><Relationship Id="rId55" Type="http://schemas.openxmlformats.org/officeDocument/2006/relationships/footer" Target="footer13.xml"/><Relationship Id="rId56" Type="http://schemas.openxmlformats.org/officeDocument/2006/relationships/footer" Target="footer14.xml"/><Relationship Id="rId57" Type="http://schemas.openxmlformats.org/officeDocument/2006/relationships/footer" Target="footer15.xml"/><Relationship Id="rId58" Type="http://schemas.openxmlformats.org/officeDocument/2006/relationships/footer" Target="footer16.xml"/><Relationship Id="rId59" Type="http://schemas.openxmlformats.org/officeDocument/2006/relationships/footer" Target="footer17.xml"/><Relationship Id="rId60" Type="http://schemas.openxmlformats.org/officeDocument/2006/relationships/footer" Target="footer18.xml"/><Relationship Id="rId61" Type="http://schemas.openxmlformats.org/officeDocument/2006/relationships/footer" Target="footer19.xml"/><Relationship Id="rId62" Type="http://schemas.openxmlformats.org/officeDocument/2006/relationships/hyperlink" Target="http://cipotato.org/potato" TargetMode="External"/><Relationship Id="rId63" Type="http://schemas.openxmlformats.org/officeDocument/2006/relationships/footer" Target="footer20.xml"/><Relationship Id="rId64" Type="http://schemas.openxmlformats.org/officeDocument/2006/relationships/hyperlink" Target="http://www.frac.info/frac/index.htm" TargetMode="External"/><Relationship Id="rId65" Type="http://schemas.openxmlformats.org/officeDocument/2006/relationships/hyperlink" Target="http://dgcnesyp.inegi.org.mx/cgi-" TargetMode="External"/><Relationship Id="rId66" Type="http://schemas.openxmlformats.org/officeDocument/2006/relationships/hyperlink" Target="http://www.siap.gob.mx/index.php?option=com_wrapper&amp;amp;view=wrapper&amp;amp;Item" TargetMode="External"/><Relationship Id="rId67" Type="http://schemas.openxmlformats.org/officeDocument/2006/relationships/hyperlink" Target="http://sitem.herts.ac.uk/aeru/footprint/es" TargetMode="External"/><Relationship Id="rId6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2017-05-24T02:06:53Z</dcterms:created>
  <dcterms:modified xsi:type="dcterms:W3CDTF">2017-05-24T02:06:53Z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2017-05-24T00:00:00Z</vt:filetime>
  </property>
</Properties>
</file>