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9"/>
        <w:rPr>
          <w:sz w:val="29"/>
        </w:rPr>
      </w:pPr>
    </w:p>
    <w:p>
      <w:pPr>
        <w:spacing w:before="58"/>
        <w:ind w:left="1757" w:right="76" w:firstLine="0"/>
        <w:jc w:val="center"/>
        <w:rPr>
          <w:b/>
          <w:sz w:val="32"/>
        </w:rPr>
      </w:pPr>
      <w:r>
        <w:rPr/>
        <w:drawing>
          <wp:anchor distT="0" distB="0" distL="0" distR="0" allowOverlap="1" layoutInCell="1" locked="0" behindDoc="0" simplePos="0" relativeHeight="0">
            <wp:simplePos x="0" y="0"/>
            <wp:positionH relativeFrom="page">
              <wp:posOffset>280034</wp:posOffset>
            </wp:positionH>
            <wp:positionV relativeFrom="paragraph">
              <wp:posOffset>-365918</wp:posOffset>
            </wp:positionV>
            <wp:extent cx="1004569" cy="89027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04569" cy="890270"/>
                    </a:xfrm>
                    <a:prstGeom prst="rect">
                      <a:avLst/>
                    </a:prstGeom>
                  </pic:spPr>
                </pic:pic>
              </a:graphicData>
            </a:graphic>
          </wp:anchor>
        </w:drawing>
      </w:r>
      <w:r>
        <w:rPr>
          <w:b/>
          <w:sz w:val="32"/>
        </w:rPr>
        <w:t>UNIVERSIDAD AUTÓNOMA DEL ESTADO DE MÉXICO</w:t>
      </w:r>
    </w:p>
    <w:p>
      <w:pPr>
        <w:pStyle w:val="BodyText"/>
        <w:rPr>
          <w:b/>
          <w:sz w:val="32"/>
        </w:rPr>
      </w:pPr>
    </w:p>
    <w:p>
      <w:pPr>
        <w:spacing w:before="1"/>
        <w:ind w:left="2074" w:right="391" w:hanging="9"/>
        <w:jc w:val="center"/>
        <w:rPr>
          <w:b/>
          <w:sz w:val="32"/>
        </w:rPr>
      </w:pPr>
      <w:r>
        <w:rPr>
          <w:b/>
          <w:sz w:val="32"/>
        </w:rPr>
        <w:t>MAESTRÍA Y DOCTORADO EN CIENCIAS AGROPECUARIAS Y RECURSOS NATURALES</w:t>
      </w:r>
    </w:p>
    <w:p>
      <w:pPr>
        <w:pStyle w:val="BodyText"/>
        <w:rPr>
          <w:b/>
          <w:sz w:val="32"/>
        </w:rPr>
      </w:pPr>
    </w:p>
    <w:p>
      <w:pPr>
        <w:pStyle w:val="BodyText"/>
        <w:rPr>
          <w:b/>
          <w:sz w:val="32"/>
        </w:rPr>
      </w:pPr>
    </w:p>
    <w:p>
      <w:pPr>
        <w:pStyle w:val="BodyText"/>
        <w:spacing w:before="1"/>
        <w:rPr>
          <w:b/>
          <w:sz w:val="32"/>
        </w:rPr>
      </w:pPr>
    </w:p>
    <w:p>
      <w:pPr>
        <w:spacing w:before="0"/>
        <w:ind w:left="1784" w:right="108" w:firstLine="7"/>
        <w:jc w:val="center"/>
        <w:rPr>
          <w:b/>
          <w:sz w:val="32"/>
        </w:rPr>
      </w:pPr>
      <w:r>
        <w:rPr>
          <w:b/>
          <w:sz w:val="32"/>
        </w:rPr>
        <w:t>DINÁMICA POBLACIONAL DE </w:t>
      </w:r>
      <w:r>
        <w:rPr>
          <w:b/>
          <w:i/>
          <w:sz w:val="32"/>
        </w:rPr>
        <w:t>Puma concolor </w:t>
      </w:r>
      <w:r>
        <w:rPr>
          <w:b/>
          <w:sz w:val="32"/>
        </w:rPr>
        <w:t>Y SUS PRESAS PRINCIPALES, EN LA SIERRA</w:t>
      </w:r>
      <w:r>
        <w:rPr>
          <w:b/>
          <w:spacing w:val="-16"/>
          <w:sz w:val="32"/>
        </w:rPr>
        <w:t> </w:t>
      </w:r>
      <w:r>
        <w:rPr>
          <w:b/>
          <w:sz w:val="32"/>
        </w:rPr>
        <w:t>NANCHITITLA, MÉXICO</w:t>
      </w:r>
    </w:p>
    <w:p>
      <w:pPr>
        <w:pStyle w:val="BodyText"/>
        <w:rPr>
          <w:b/>
          <w:sz w:val="32"/>
        </w:rPr>
      </w:pPr>
    </w:p>
    <w:p>
      <w:pPr>
        <w:pStyle w:val="BodyText"/>
        <w:rPr>
          <w:b/>
          <w:sz w:val="32"/>
        </w:rPr>
      </w:pPr>
    </w:p>
    <w:p>
      <w:pPr>
        <w:pStyle w:val="BodyText"/>
        <w:spacing w:before="1"/>
        <w:rPr>
          <w:b/>
          <w:sz w:val="32"/>
        </w:rPr>
      </w:pPr>
    </w:p>
    <w:p>
      <w:pPr>
        <w:spacing w:before="0"/>
        <w:ind w:left="1757" w:right="76" w:firstLine="0"/>
        <w:jc w:val="center"/>
        <w:rPr>
          <w:b/>
          <w:sz w:val="40"/>
        </w:rPr>
      </w:pPr>
      <w:r>
        <w:rPr>
          <w:b/>
          <w:sz w:val="40"/>
        </w:rPr>
        <w:t>T E S I S</w:t>
      </w:r>
    </w:p>
    <w:p>
      <w:pPr>
        <w:pStyle w:val="BodyText"/>
        <w:rPr>
          <w:b/>
          <w:sz w:val="40"/>
        </w:rPr>
      </w:pPr>
    </w:p>
    <w:p>
      <w:pPr>
        <w:pStyle w:val="Heading1"/>
        <w:spacing w:before="274"/>
        <w:ind w:left="1756" w:right="76"/>
        <w:jc w:val="center"/>
        <w:rPr>
          <w:rFonts w:ascii="Times New Roman"/>
        </w:rPr>
      </w:pPr>
      <w:r>
        <w:rPr>
          <w:rFonts w:ascii="Times New Roman"/>
        </w:rPr>
        <w:t>QUE PARA OBTENER EL GRADO DE DOCTOR EN CIENCIAS AGROPECUARIAS Y RECURSOS NATURALES</w:t>
      </w:r>
    </w:p>
    <w:p>
      <w:pPr>
        <w:pStyle w:val="BodyText"/>
        <w:spacing w:before="10"/>
        <w:rPr>
          <w:b/>
          <w:sz w:val="31"/>
        </w:rPr>
      </w:pPr>
    </w:p>
    <w:p>
      <w:pPr>
        <w:spacing w:before="0"/>
        <w:ind w:left="1755" w:right="76" w:firstLine="0"/>
        <w:jc w:val="center"/>
        <w:rPr>
          <w:b/>
          <w:sz w:val="28"/>
        </w:rPr>
      </w:pPr>
      <w:r>
        <w:rPr>
          <w:b/>
          <w:sz w:val="28"/>
        </w:rPr>
        <w:t>PRESENTA:</w:t>
      </w:r>
    </w:p>
    <w:p>
      <w:pPr>
        <w:pStyle w:val="BodyText"/>
        <w:spacing w:before="2"/>
        <w:rPr>
          <w:b/>
          <w:sz w:val="28"/>
        </w:rPr>
      </w:pPr>
    </w:p>
    <w:p>
      <w:pPr>
        <w:spacing w:before="0"/>
        <w:ind w:left="3714" w:right="863" w:firstLine="0"/>
        <w:jc w:val="left"/>
        <w:rPr>
          <w:b/>
          <w:sz w:val="32"/>
        </w:rPr>
      </w:pPr>
      <w:r>
        <w:rPr>
          <w:b/>
          <w:sz w:val="32"/>
        </w:rPr>
        <w:t>M. EN.C. LEROY SORIA DÍAZ</w:t>
      </w:r>
    </w:p>
    <w:p>
      <w:pPr>
        <w:pStyle w:val="BodyText"/>
        <w:rPr>
          <w:b/>
          <w:sz w:val="32"/>
        </w:rPr>
      </w:pPr>
    </w:p>
    <w:p>
      <w:pPr>
        <w:pStyle w:val="BodyText"/>
        <w:rPr>
          <w:b/>
          <w:sz w:val="32"/>
        </w:rPr>
      </w:pPr>
    </w:p>
    <w:p>
      <w:pPr>
        <w:pStyle w:val="Heading1"/>
        <w:spacing w:before="229"/>
        <w:ind w:left="1755" w:right="76"/>
        <w:jc w:val="center"/>
        <w:rPr>
          <w:rFonts w:ascii="Times New Roman" w:hAnsi="Times New Roman"/>
        </w:rPr>
      </w:pPr>
      <w:r>
        <w:rPr>
          <w:rFonts w:ascii="Times New Roman" w:hAnsi="Times New Roman"/>
        </w:rPr>
        <w:t>COMITÉ DE TUTORES</w:t>
      </w:r>
    </w:p>
    <w:p>
      <w:pPr>
        <w:pStyle w:val="BodyText"/>
        <w:spacing w:before="10"/>
        <w:rPr>
          <w:b/>
          <w:sz w:val="27"/>
        </w:rPr>
      </w:pPr>
    </w:p>
    <w:p>
      <w:pPr>
        <w:spacing w:line="322" w:lineRule="exact" w:before="0"/>
        <w:ind w:left="1749" w:right="76" w:firstLine="0"/>
        <w:jc w:val="center"/>
        <w:rPr>
          <w:b/>
          <w:sz w:val="28"/>
        </w:rPr>
      </w:pPr>
      <w:r>
        <w:rPr>
          <w:b/>
          <w:sz w:val="28"/>
        </w:rPr>
        <w:t>Dr. Octavio Monroy Vilchis. Tutor Académico</w:t>
      </w:r>
    </w:p>
    <w:p>
      <w:pPr>
        <w:spacing w:before="0"/>
        <w:ind w:left="2559" w:right="863" w:firstLine="350"/>
        <w:jc w:val="left"/>
        <w:rPr>
          <w:b/>
          <w:sz w:val="28"/>
        </w:rPr>
      </w:pPr>
      <w:r>
        <w:rPr>
          <w:b/>
          <w:sz w:val="28"/>
        </w:rPr>
        <w:t>Dr. Francisco Javier Manjarrez Silva. Tutor Adjunto Dr. Victor Manuel Fajardo Guadarrama. Tutor Adjunto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0"/>
        <w:rPr>
          <w:b/>
          <w:sz w:val="27"/>
        </w:rPr>
      </w:pPr>
    </w:p>
    <w:p>
      <w:pPr>
        <w:pStyle w:val="Heading2"/>
        <w:ind w:left="1362" w:right="863"/>
      </w:pPr>
      <w:r>
        <w:rPr/>
        <w:t>El Cerrillo Piedras Blancas, Toluca, Estado de México.  Marzo 2014</w:t>
      </w:r>
    </w:p>
    <w:p>
      <w:pPr>
        <w:spacing w:after="0"/>
        <w:sectPr>
          <w:type w:val="continuous"/>
          <w:pgSz w:w="12240" w:h="15840"/>
          <w:pgMar w:top="1060" w:bottom="280" w:left="340" w:right="1660"/>
        </w:sectPr>
      </w:pPr>
    </w:p>
    <w:p>
      <w:pPr>
        <w:pStyle w:val="BodyText"/>
        <w:rPr>
          <w:b/>
          <w:sz w:val="20"/>
        </w:rPr>
      </w:pPr>
    </w:p>
    <w:p>
      <w:pPr>
        <w:pStyle w:val="Heading1"/>
        <w:spacing w:before="192"/>
      </w:pPr>
      <w:r>
        <w:rPr/>
        <w:t>ÍNDICE</w:t>
      </w:r>
    </w:p>
    <w:sdt>
      <w:sdtPr>
        <w:docPartObj>
          <w:docPartGallery w:val="Table of Contents"/>
          <w:docPartUnique/>
        </w:docPartObj>
      </w:sdtPr>
      <w:sdtEndPr/>
      <w:sdtContent>
        <w:p>
          <w:pPr>
            <w:pStyle w:val="TOC1"/>
            <w:tabs>
              <w:tab w:pos="8930" w:val="right" w:leader="none"/>
            </w:tabs>
            <w:spacing w:before="245"/>
            <w:rPr>
              <w:rFonts w:ascii="Cambria" w:hAnsi="Cambria"/>
              <w:b w:val="0"/>
            </w:rPr>
          </w:pPr>
          <w:hyperlink w:history="true" w:anchor="_bookmark0">
            <w:r>
              <w:rPr/>
              <w:t>ÍNDICE DE FIGURAS</w:t>
            </w:r>
            <w:r>
              <w:rPr>
                <w:spacing w:val="-1"/>
              </w:rPr>
              <w:t> </w:t>
            </w:r>
            <w:r>
              <w:rPr/>
              <w:t>Y TABLAS</w:t>
            </w:r>
            <w:r>
              <w:rPr>
                <w:rFonts w:ascii="Cambria" w:hAnsi="Cambria"/>
                <w:b w:val="0"/>
              </w:rPr>
              <w:tab/>
              <w:t>3</w:t>
            </w:r>
          </w:hyperlink>
        </w:p>
        <w:p>
          <w:pPr>
            <w:pStyle w:val="TOC1"/>
            <w:tabs>
              <w:tab w:pos="8930" w:val="right" w:leader="none"/>
            </w:tabs>
            <w:rPr>
              <w:rFonts w:ascii="Cambria"/>
              <w:b w:val="0"/>
            </w:rPr>
          </w:pPr>
          <w:hyperlink w:history="true" w:anchor="_bookmark1">
            <w:r>
              <w:rPr/>
              <w:t>AGRADECIMIENTOS</w:t>
            </w:r>
            <w:r>
              <w:rPr>
                <w:rFonts w:ascii="Cambria"/>
                <w:b w:val="0"/>
              </w:rPr>
              <w:tab/>
              <w:t>5</w:t>
            </w:r>
          </w:hyperlink>
        </w:p>
        <w:p>
          <w:pPr>
            <w:pStyle w:val="TOC2"/>
            <w:tabs>
              <w:tab w:pos="8930" w:val="right" w:leader="none"/>
            </w:tabs>
            <w:spacing w:before="118"/>
            <w:rPr>
              <w:rFonts w:ascii="Cambria"/>
              <w:b w:val="0"/>
              <w:i w:val="0"/>
              <w:sz w:val="24"/>
            </w:rPr>
          </w:pPr>
          <w:hyperlink w:history="true" w:anchor="_bookmark2">
            <w:r>
              <w:rPr>
                <w:i w:val="0"/>
                <w:sz w:val="24"/>
              </w:rPr>
              <w:t>RESUMEN</w:t>
            </w:r>
            <w:r>
              <w:rPr>
                <w:rFonts w:ascii="Cambria"/>
                <w:b w:val="0"/>
                <w:i w:val="0"/>
                <w:sz w:val="24"/>
              </w:rPr>
              <w:tab/>
              <w:t>6</w:t>
            </w:r>
          </w:hyperlink>
        </w:p>
        <w:p>
          <w:pPr>
            <w:pStyle w:val="TOC1"/>
            <w:tabs>
              <w:tab w:pos="8930" w:val="right" w:leader="none"/>
            </w:tabs>
            <w:rPr>
              <w:rFonts w:ascii="Cambria"/>
              <w:b w:val="0"/>
            </w:rPr>
          </w:pPr>
          <w:hyperlink w:history="true" w:anchor="_bookmark3">
            <w:r>
              <w:rPr/>
              <w:t>ABSTRACT</w:t>
            </w:r>
            <w:r>
              <w:rPr>
                <w:rFonts w:ascii="Cambria"/>
                <w:b w:val="0"/>
              </w:rPr>
              <w:tab/>
              <w:t>8</w:t>
            </w:r>
          </w:hyperlink>
        </w:p>
        <w:p>
          <w:pPr>
            <w:pStyle w:val="TOC1"/>
            <w:tabs>
              <w:tab w:pos="8930" w:val="right" w:leader="none"/>
            </w:tabs>
            <w:spacing w:before="118"/>
            <w:rPr>
              <w:rFonts w:ascii="Cambria" w:hAnsi="Cambria"/>
              <w:b w:val="0"/>
            </w:rPr>
          </w:pPr>
          <w:hyperlink w:history="true" w:anchor="_bookmark4">
            <w:r>
              <w:rPr/>
              <w:t>INTRODUCCIÓN</w:t>
            </w:r>
            <w:r>
              <w:rPr>
                <w:spacing w:val="-2"/>
              </w:rPr>
              <w:t> </w:t>
            </w:r>
            <w:r>
              <w:rPr/>
              <w:t>GENERAL</w:t>
            </w:r>
            <w:r>
              <w:rPr>
                <w:rFonts w:ascii="Cambria" w:hAnsi="Cambria"/>
                <w:b w:val="0"/>
              </w:rPr>
              <w:tab/>
              <w:t>10</w:t>
            </w:r>
          </w:hyperlink>
        </w:p>
        <w:p>
          <w:pPr>
            <w:pStyle w:val="TOC1"/>
            <w:tabs>
              <w:tab w:pos="8930" w:val="right" w:leader="none"/>
            </w:tabs>
            <w:rPr>
              <w:rFonts w:ascii="Cambria" w:hAnsi="Cambria"/>
              <w:b w:val="0"/>
            </w:rPr>
          </w:pPr>
          <w:hyperlink w:history="true" w:anchor="_bookmark5">
            <w:r>
              <w:rPr/>
              <w:t>REVISIÓN</w:t>
            </w:r>
            <w:r>
              <w:rPr>
                <w:spacing w:val="-2"/>
              </w:rPr>
              <w:t> </w:t>
            </w:r>
            <w:r>
              <w:rPr/>
              <w:t>DE</w:t>
            </w:r>
            <w:r>
              <w:rPr>
                <w:spacing w:val="-2"/>
              </w:rPr>
              <w:t> </w:t>
            </w:r>
            <w:r>
              <w:rPr/>
              <w:t>LITERATURA</w:t>
            </w:r>
            <w:r>
              <w:rPr>
                <w:rFonts w:ascii="Cambria" w:hAnsi="Cambria"/>
                <w:b w:val="0"/>
              </w:rPr>
              <w:tab/>
              <w:t>16</w:t>
            </w:r>
          </w:hyperlink>
        </w:p>
        <w:p>
          <w:pPr>
            <w:pStyle w:val="TOC1"/>
            <w:tabs>
              <w:tab w:pos="8930" w:val="right" w:leader="none"/>
            </w:tabs>
            <w:rPr>
              <w:rFonts w:ascii="Cambria"/>
              <w:b w:val="0"/>
            </w:rPr>
          </w:pPr>
          <w:hyperlink w:history="true" w:anchor="_bookmark6">
            <w:r>
              <w:rPr/>
              <w:t>OBJETIVO</w:t>
            </w:r>
            <w:r>
              <w:rPr>
                <w:spacing w:val="-2"/>
              </w:rPr>
              <w:t> </w:t>
            </w:r>
            <w:r>
              <w:rPr/>
              <w:t>PARTICULAR</w:t>
            </w:r>
            <w:r>
              <w:rPr>
                <w:rFonts w:ascii="Cambria"/>
                <w:b w:val="0"/>
              </w:rPr>
              <w:tab/>
              <w:t>23</w:t>
            </w:r>
          </w:hyperlink>
        </w:p>
        <w:p>
          <w:pPr>
            <w:pStyle w:val="TOC1"/>
            <w:tabs>
              <w:tab w:pos="8930" w:val="right" w:leader="none"/>
            </w:tabs>
            <w:spacing w:before="118"/>
            <w:rPr>
              <w:rFonts w:ascii="Cambria"/>
              <w:b w:val="0"/>
            </w:rPr>
          </w:pPr>
          <w:hyperlink w:history="true" w:anchor="_bookmark7">
            <w:r>
              <w:rPr/>
              <w:t>OBJETIVOS</w:t>
            </w:r>
            <w:r>
              <w:rPr>
                <w:spacing w:val="-2"/>
              </w:rPr>
              <w:t> </w:t>
            </w:r>
            <w:r>
              <w:rPr/>
              <w:t>GENERALES</w:t>
            </w:r>
            <w:r>
              <w:rPr>
                <w:rFonts w:ascii="Cambria"/>
                <w:b w:val="0"/>
              </w:rPr>
              <w:tab/>
              <w:t>23</w:t>
            </w:r>
          </w:hyperlink>
        </w:p>
        <w:p>
          <w:pPr>
            <w:pStyle w:val="TOC2"/>
            <w:tabs>
              <w:tab w:pos="8930" w:val="right" w:leader="none"/>
            </w:tabs>
            <w:spacing w:before="120"/>
            <w:rPr>
              <w:rFonts w:ascii="Cambria" w:hAnsi="Cambria"/>
              <w:b w:val="0"/>
              <w:i w:val="0"/>
              <w:sz w:val="24"/>
            </w:rPr>
          </w:pPr>
          <w:hyperlink w:history="true" w:anchor="_bookmark8">
            <w:r>
              <w:rPr>
                <w:i w:val="0"/>
                <w:sz w:val="24"/>
              </w:rPr>
              <w:t>CAPÍTILO</w:t>
            </w:r>
            <w:r>
              <w:rPr>
                <w:i w:val="0"/>
                <w:spacing w:val="-2"/>
                <w:sz w:val="24"/>
              </w:rPr>
              <w:t> </w:t>
            </w:r>
            <w:r>
              <w:rPr>
                <w:i w:val="0"/>
                <w:sz w:val="24"/>
              </w:rPr>
              <w:t>I</w:t>
            </w:r>
            <w:r>
              <w:rPr>
                <w:rFonts w:ascii="Cambria" w:hAnsi="Cambria"/>
                <w:b w:val="0"/>
                <w:i w:val="0"/>
                <w:sz w:val="24"/>
              </w:rPr>
              <w:tab/>
              <w:t>24</w:t>
            </w:r>
          </w:hyperlink>
        </w:p>
        <w:p>
          <w:pPr>
            <w:pStyle w:val="TOC4"/>
            <w:tabs>
              <w:tab w:pos="761" w:val="left" w:leader="none"/>
              <w:tab w:pos="8933" w:val="right" w:leader="none"/>
            </w:tabs>
            <w:rPr>
              <w:rFonts w:ascii="Calibri" w:hAnsi="Calibri"/>
              <w:b w:val="0"/>
              <w:i w:val="0"/>
              <w:sz w:val="22"/>
            </w:rPr>
          </w:pPr>
          <w:hyperlink w:history="true" w:anchor="_bookmark9">
            <w:r>
              <w:rPr>
                <w:b w:val="0"/>
                <w:i w:val="0"/>
                <w:sz w:val="22"/>
              </w:rPr>
              <w:t>1.</w:t>
              <w:tab/>
              <w:t>SITUACIÓN ACTUAL DE </w:t>
            </w:r>
            <w:r>
              <w:rPr>
                <w:b w:val="0"/>
                <w:i/>
                <w:sz w:val="22"/>
              </w:rPr>
              <w:t>Puma concolor</w:t>
            </w:r>
            <w:r>
              <w:rPr>
                <w:b w:val="0"/>
                <w:i/>
                <w:spacing w:val="-4"/>
                <w:sz w:val="22"/>
              </w:rPr>
              <w:t> </w:t>
            </w:r>
            <w:r>
              <w:rPr>
                <w:b w:val="0"/>
                <w:i w:val="0"/>
                <w:sz w:val="22"/>
              </w:rPr>
              <w:t>EN</w:t>
            </w:r>
            <w:r>
              <w:rPr>
                <w:b w:val="0"/>
                <w:i w:val="0"/>
                <w:spacing w:val="-3"/>
                <w:sz w:val="22"/>
              </w:rPr>
              <w:t> </w:t>
            </w:r>
            <w:r>
              <w:rPr>
                <w:b w:val="0"/>
                <w:i w:val="0"/>
                <w:sz w:val="22"/>
              </w:rPr>
              <w:t>MÉXICO.</w:t>
            </w:r>
            <w:r>
              <w:rPr>
                <w:rFonts w:ascii="Calibri" w:hAnsi="Calibri"/>
                <w:b w:val="0"/>
                <w:i w:val="0"/>
                <w:sz w:val="22"/>
              </w:rPr>
              <w:tab/>
              <w:t>31</w:t>
            </w:r>
          </w:hyperlink>
        </w:p>
        <w:p>
          <w:pPr>
            <w:pStyle w:val="TOC2"/>
            <w:tabs>
              <w:tab w:pos="8930" w:val="right" w:leader="none"/>
            </w:tabs>
            <w:spacing w:before="121"/>
            <w:rPr>
              <w:rFonts w:ascii="Cambria" w:hAnsi="Cambria"/>
              <w:b w:val="0"/>
              <w:i w:val="0"/>
              <w:sz w:val="24"/>
            </w:rPr>
          </w:pPr>
          <w:hyperlink w:history="true" w:anchor="_bookmark10">
            <w:r>
              <w:rPr>
                <w:i w:val="0"/>
                <w:sz w:val="24"/>
              </w:rPr>
              <w:t>CAPÍTILO</w:t>
            </w:r>
            <w:r>
              <w:rPr>
                <w:i w:val="0"/>
                <w:spacing w:val="-2"/>
                <w:sz w:val="24"/>
              </w:rPr>
              <w:t> </w:t>
            </w:r>
            <w:r>
              <w:rPr>
                <w:i w:val="0"/>
                <w:sz w:val="24"/>
              </w:rPr>
              <w:t>II</w:t>
            </w:r>
            <w:r>
              <w:rPr>
                <w:rFonts w:ascii="Cambria" w:hAnsi="Cambria"/>
                <w:b w:val="0"/>
                <w:i w:val="0"/>
                <w:sz w:val="24"/>
              </w:rPr>
              <w:tab/>
              <w:t>40</w:t>
            </w:r>
          </w:hyperlink>
        </w:p>
        <w:p>
          <w:pPr>
            <w:pStyle w:val="TOC3"/>
            <w:numPr>
              <w:ilvl w:val="0"/>
              <w:numId w:val="1"/>
            </w:numPr>
            <w:tabs>
              <w:tab w:pos="578" w:val="left" w:leader="none"/>
            </w:tabs>
            <w:spacing w:line="240" w:lineRule="auto" w:before="135" w:after="0"/>
            <w:ind w:left="322" w:right="0" w:firstLine="0"/>
            <w:jc w:val="center"/>
            <w:rPr>
              <w:i/>
            </w:rPr>
          </w:pPr>
          <w:hyperlink w:history="true" w:anchor="_bookmark11">
            <w:r>
              <w:rPr/>
              <w:t>COMPARACIÓN DE DOS MÉTODOS PARA ESTIMAR DENSIDAD DE </w:t>
            </w:r>
            <w:r>
              <w:rPr>
                <w:i/>
              </w:rPr>
              <w:t>Puma</w:t>
            </w:r>
            <w:r>
              <w:rPr>
                <w:i/>
                <w:spacing w:val="-14"/>
              </w:rPr>
              <w:t> </w:t>
            </w:r>
            <w:r>
              <w:rPr>
                <w:i/>
              </w:rPr>
              <w:t>concolor</w:t>
            </w:r>
          </w:hyperlink>
        </w:p>
        <w:p>
          <w:pPr>
            <w:pStyle w:val="TOC3"/>
            <w:tabs>
              <w:tab w:pos="8933" w:val="right" w:leader="none"/>
            </w:tabs>
            <w:spacing w:before="40"/>
            <w:rPr>
              <w:rFonts w:ascii="Calibri" w:hAnsi="Calibri"/>
            </w:rPr>
          </w:pPr>
          <w:hyperlink w:history="true" w:anchor="_bookmark11">
            <w:r>
              <w:rPr/>
              <w:t>EN LA RESERVA NATURAL SIERRA</w:t>
            </w:r>
            <w:r>
              <w:rPr>
                <w:spacing w:val="-8"/>
              </w:rPr>
              <w:t> </w:t>
            </w:r>
            <w:r>
              <w:rPr/>
              <w:t>NANCHITITLA,</w:t>
            </w:r>
            <w:r>
              <w:rPr>
                <w:spacing w:val="-1"/>
              </w:rPr>
              <w:t> </w:t>
            </w:r>
            <w:r>
              <w:rPr/>
              <w:t>MÉXICO.</w:t>
            </w:r>
            <w:r>
              <w:rPr>
                <w:rFonts w:ascii="Calibri" w:hAnsi="Calibri"/>
              </w:rPr>
              <w:tab/>
              <w:t>43</w:t>
            </w:r>
          </w:hyperlink>
        </w:p>
        <w:p>
          <w:pPr>
            <w:pStyle w:val="TOC1"/>
            <w:tabs>
              <w:tab w:pos="8930" w:val="right" w:leader="none"/>
            </w:tabs>
            <w:spacing w:before="121"/>
            <w:rPr>
              <w:rFonts w:ascii="Cambria" w:hAnsi="Cambria"/>
              <w:b w:val="0"/>
            </w:rPr>
          </w:pPr>
          <w:hyperlink w:history="true" w:anchor="_bookmark16">
            <w:r>
              <w:rPr/>
              <w:t>CAPÍTILO</w:t>
            </w:r>
            <w:r>
              <w:rPr>
                <w:spacing w:val="-2"/>
              </w:rPr>
              <w:t> </w:t>
            </w:r>
            <w:r>
              <w:rPr/>
              <w:t>III</w:t>
            </w:r>
            <w:r>
              <w:rPr>
                <w:rFonts w:ascii="Cambria" w:hAnsi="Cambria"/>
                <w:b w:val="0"/>
              </w:rPr>
              <w:tab/>
              <w:t>56</w:t>
            </w:r>
          </w:hyperlink>
        </w:p>
        <w:p>
          <w:pPr>
            <w:pStyle w:val="TOC3"/>
            <w:numPr>
              <w:ilvl w:val="0"/>
              <w:numId w:val="1"/>
            </w:numPr>
            <w:tabs>
              <w:tab w:pos="652" w:val="left" w:leader="none"/>
              <w:tab w:pos="8933" w:val="right" w:leader="none"/>
            </w:tabs>
            <w:spacing w:line="280" w:lineRule="auto" w:before="135" w:after="0"/>
            <w:ind w:left="322" w:right="104" w:firstLine="0"/>
            <w:jc w:val="left"/>
            <w:rPr>
              <w:rFonts w:ascii="Calibri"/>
            </w:rPr>
          </w:pPr>
          <w:hyperlink w:history="true" w:anchor="_bookmark17">
            <w:r>
              <w:rPr/>
              <w:t>Monitoring population density and activity pattern of white-tailed deer (</w:t>
            </w:r>
            <w:r>
              <w:rPr>
                <w:i/>
              </w:rPr>
              <w:t>Odocoileus</w:t>
            </w:r>
          </w:hyperlink>
          <w:r>
            <w:rPr>
              <w:i/>
            </w:rPr>
            <w:t> </w:t>
          </w:r>
          <w:hyperlink w:history="true" w:anchor="_bookmark17">
            <w:r>
              <w:rPr>
                <w:i/>
              </w:rPr>
              <w:t>virginianus</w:t>
            </w:r>
            <w:r>
              <w:rPr/>
              <w:t>) in Central Mexico, using</w:t>
            </w:r>
            <w:r>
              <w:rPr>
                <w:spacing w:val="-3"/>
              </w:rPr>
              <w:t> </w:t>
            </w:r>
            <w:r>
              <w:rPr/>
              <w:t>camera</w:t>
            </w:r>
            <w:r>
              <w:rPr>
                <w:spacing w:val="-1"/>
              </w:rPr>
              <w:t> </w:t>
            </w:r>
            <w:r>
              <w:rPr/>
              <w:t>trapping</w:t>
            </w:r>
            <w:r>
              <w:rPr>
                <w:rFonts w:ascii="Calibri"/>
              </w:rPr>
              <w:tab/>
              <w:t>59</w:t>
            </w:r>
          </w:hyperlink>
        </w:p>
        <w:p>
          <w:pPr>
            <w:pStyle w:val="TOC2"/>
            <w:tabs>
              <w:tab w:pos="8930" w:val="right" w:leader="none"/>
            </w:tabs>
            <w:rPr>
              <w:rFonts w:ascii="Cambria" w:hAnsi="Cambria"/>
              <w:b w:val="0"/>
              <w:i w:val="0"/>
              <w:sz w:val="24"/>
            </w:rPr>
          </w:pPr>
          <w:hyperlink w:history="true" w:anchor="_bookmark22">
            <w:r>
              <w:rPr>
                <w:i w:val="0"/>
                <w:sz w:val="24"/>
              </w:rPr>
              <w:t>CAPÍTULO</w:t>
            </w:r>
            <w:r>
              <w:rPr>
                <w:i w:val="0"/>
                <w:spacing w:val="-2"/>
                <w:sz w:val="24"/>
              </w:rPr>
              <w:t> </w:t>
            </w:r>
            <w:r>
              <w:rPr>
                <w:i w:val="0"/>
                <w:sz w:val="24"/>
              </w:rPr>
              <w:t>IV</w:t>
            </w:r>
            <w:r>
              <w:rPr>
                <w:rFonts w:ascii="Cambria" w:hAnsi="Cambria"/>
                <w:b w:val="0"/>
                <w:i w:val="0"/>
                <w:sz w:val="24"/>
              </w:rPr>
              <w:tab/>
              <w:t>82</w:t>
            </w:r>
          </w:hyperlink>
        </w:p>
        <w:p>
          <w:pPr>
            <w:pStyle w:val="TOC3"/>
            <w:numPr>
              <w:ilvl w:val="0"/>
              <w:numId w:val="1"/>
            </w:numPr>
            <w:tabs>
              <w:tab w:pos="664" w:val="left" w:leader="none"/>
              <w:tab w:pos="8933" w:val="right" w:leader="none"/>
            </w:tabs>
            <w:spacing w:line="240" w:lineRule="auto" w:before="138" w:after="0"/>
            <w:ind w:left="663" w:right="0" w:hanging="341"/>
            <w:jc w:val="left"/>
            <w:rPr>
              <w:rFonts w:ascii="Calibri"/>
            </w:rPr>
          </w:pPr>
          <w:hyperlink w:history="true" w:anchor="_bookmark23">
            <w:r>
              <w:rPr/>
              <w:t>Functional response of </w:t>
            </w:r>
            <w:r>
              <w:rPr>
                <w:i/>
              </w:rPr>
              <w:t>Puma concolor </w:t>
            </w:r>
            <w:r>
              <w:rPr/>
              <w:t>to its three main prey in</w:t>
            </w:r>
            <w:r>
              <w:rPr>
                <w:spacing w:val="-16"/>
              </w:rPr>
              <w:t> </w:t>
            </w:r>
            <w:r>
              <w:rPr/>
              <w:t>Central Mexico</w:t>
            </w:r>
            <w:r>
              <w:rPr>
                <w:rFonts w:ascii="Calibri"/>
              </w:rPr>
              <w:tab/>
              <w:t>84</w:t>
            </w:r>
          </w:hyperlink>
        </w:p>
        <w:p>
          <w:pPr>
            <w:pStyle w:val="TOC2"/>
            <w:tabs>
              <w:tab w:pos="8930" w:val="right" w:leader="none"/>
            </w:tabs>
            <w:spacing w:before="121"/>
            <w:rPr>
              <w:rFonts w:ascii="Cambria" w:hAnsi="Cambria"/>
              <w:b w:val="0"/>
              <w:i w:val="0"/>
              <w:sz w:val="24"/>
            </w:rPr>
          </w:pPr>
          <w:hyperlink w:history="true" w:anchor="_bookmark27">
            <w:r>
              <w:rPr>
                <w:i w:val="0"/>
                <w:sz w:val="24"/>
              </w:rPr>
              <w:t>CAPÍTULO</w:t>
            </w:r>
            <w:r>
              <w:rPr>
                <w:i w:val="0"/>
                <w:spacing w:val="-2"/>
                <w:sz w:val="24"/>
              </w:rPr>
              <w:t> </w:t>
            </w:r>
            <w:r>
              <w:rPr>
                <w:i w:val="0"/>
                <w:sz w:val="24"/>
              </w:rPr>
              <w:t>V</w:t>
            </w:r>
            <w:r>
              <w:rPr>
                <w:rFonts w:ascii="Cambria" w:hAnsi="Cambria"/>
                <w:b w:val="0"/>
                <w:i w:val="0"/>
                <w:sz w:val="24"/>
              </w:rPr>
              <w:tab/>
              <w:t>104</w:t>
            </w:r>
          </w:hyperlink>
        </w:p>
        <w:p>
          <w:pPr>
            <w:pStyle w:val="TOC3"/>
            <w:numPr>
              <w:ilvl w:val="0"/>
              <w:numId w:val="1"/>
            </w:numPr>
            <w:tabs>
              <w:tab w:pos="594" w:val="left" w:leader="none"/>
              <w:tab w:pos="8932" w:val="right" w:leader="none"/>
            </w:tabs>
            <w:spacing w:line="280" w:lineRule="auto" w:before="135" w:after="0"/>
            <w:ind w:left="322" w:right="105" w:firstLine="0"/>
            <w:jc w:val="left"/>
            <w:rPr>
              <w:rFonts w:ascii="Calibri" w:hAnsi="Calibri"/>
            </w:rPr>
          </w:pPr>
          <w:hyperlink w:history="true" w:anchor="_bookmark28">
            <w:r>
              <w:rPr/>
              <w:t>PATRÓN DE ACTIVIDAD DE </w:t>
            </w:r>
            <w:r>
              <w:rPr>
                <w:i/>
              </w:rPr>
              <w:t>Puma concolor </w:t>
            </w:r>
            <w:r>
              <w:rPr/>
              <w:t>Y SUS PRESAS PRINCIPALES EN EL</w:t>
            </w:r>
          </w:hyperlink>
          <w:r>
            <w:rPr/>
            <w:t> </w:t>
          </w:r>
          <w:hyperlink w:history="true" w:anchor="_bookmark28">
            <w:r>
              <w:rPr/>
              <w:t>CENTRO</w:t>
            </w:r>
            <w:r>
              <w:rPr>
                <w:spacing w:val="-2"/>
              </w:rPr>
              <w:t> </w:t>
            </w:r>
            <w:r>
              <w:rPr/>
              <w:t>DE</w:t>
            </w:r>
            <w:r>
              <w:rPr>
                <w:spacing w:val="-1"/>
              </w:rPr>
              <w:t> </w:t>
            </w:r>
            <w:r>
              <w:rPr/>
              <w:t>MÉXICO.</w:t>
            </w:r>
            <w:r>
              <w:rPr>
                <w:rFonts w:ascii="Calibri" w:hAnsi="Calibri"/>
              </w:rPr>
              <w:tab/>
              <w:t>106</w:t>
            </w:r>
          </w:hyperlink>
        </w:p>
        <w:p>
          <w:pPr>
            <w:pStyle w:val="TOC2"/>
            <w:tabs>
              <w:tab w:pos="8930" w:val="right" w:leader="none"/>
            </w:tabs>
            <w:rPr>
              <w:rFonts w:ascii="Cambria" w:hAnsi="Cambria"/>
              <w:b w:val="0"/>
              <w:i w:val="0"/>
              <w:sz w:val="24"/>
            </w:rPr>
          </w:pPr>
          <w:hyperlink w:history="true" w:anchor="_bookmark34">
            <w:r>
              <w:rPr>
                <w:i w:val="0"/>
                <w:sz w:val="24"/>
              </w:rPr>
              <w:t>CAPÍTULO</w:t>
            </w:r>
            <w:r>
              <w:rPr>
                <w:i w:val="0"/>
                <w:spacing w:val="-2"/>
                <w:sz w:val="24"/>
              </w:rPr>
              <w:t> </w:t>
            </w:r>
            <w:r>
              <w:rPr>
                <w:i w:val="0"/>
                <w:sz w:val="24"/>
              </w:rPr>
              <w:t>VI</w:t>
            </w:r>
            <w:r>
              <w:rPr>
                <w:rFonts w:ascii="Cambria" w:hAnsi="Cambria"/>
                <w:b w:val="0"/>
                <w:i w:val="0"/>
                <w:sz w:val="24"/>
              </w:rPr>
              <w:tab/>
              <w:t>124</w:t>
            </w:r>
          </w:hyperlink>
        </w:p>
        <w:p>
          <w:pPr>
            <w:pStyle w:val="TOC3"/>
            <w:numPr>
              <w:ilvl w:val="0"/>
              <w:numId w:val="1"/>
            </w:numPr>
            <w:tabs>
              <w:tab w:pos="664" w:val="left" w:leader="none"/>
              <w:tab w:pos="8932" w:val="right" w:leader="none"/>
            </w:tabs>
            <w:spacing w:line="278" w:lineRule="auto" w:before="138" w:after="0"/>
            <w:ind w:left="322" w:right="105" w:firstLine="0"/>
            <w:jc w:val="left"/>
            <w:rPr>
              <w:rFonts w:ascii="Calibri" w:hAnsi="Calibri"/>
            </w:rPr>
          </w:pPr>
          <w:hyperlink w:history="true" w:anchor="_bookmark35">
            <w:r>
              <w:rPr/>
              <w:t>Effect top-down or bottom-up on population </w:t>
            </w:r>
            <w:r>
              <w:rPr>
                <w:i/>
              </w:rPr>
              <w:t>Puma concolor </w:t>
            </w:r>
            <w:r>
              <w:rPr/>
              <w:t>and its main prey in Sierra</w:t>
            </w:r>
          </w:hyperlink>
          <w:r>
            <w:rPr/>
            <w:t> </w:t>
          </w:r>
          <w:hyperlink w:history="true" w:anchor="_bookmark35">
            <w:r>
              <w:rPr/>
              <w:t>Nanchititla Natural Reserve,</w:t>
            </w:r>
            <w:r>
              <w:rPr>
                <w:spacing w:val="-1"/>
              </w:rPr>
              <w:t> </w:t>
            </w:r>
            <w:r>
              <w:rPr/>
              <w:t>México.</w:t>
            </w:r>
            <w:r>
              <w:rPr>
                <w:rFonts w:ascii="Calibri" w:hAnsi="Calibri"/>
              </w:rPr>
              <w:tab/>
              <w:t>125</w:t>
            </w:r>
          </w:hyperlink>
        </w:p>
        <w:p>
          <w:pPr>
            <w:pStyle w:val="TOC2"/>
            <w:tabs>
              <w:tab w:pos="8930" w:val="right" w:leader="none"/>
            </w:tabs>
            <w:spacing w:before="75"/>
            <w:rPr>
              <w:rFonts w:ascii="Cambria" w:hAnsi="Cambria"/>
              <w:b w:val="0"/>
              <w:i w:val="0"/>
              <w:sz w:val="24"/>
            </w:rPr>
          </w:pPr>
          <w:hyperlink w:history="true" w:anchor="_bookmark39">
            <w:r>
              <w:rPr>
                <w:i w:val="0"/>
                <w:sz w:val="24"/>
              </w:rPr>
              <w:t>CAPÍTULO</w:t>
            </w:r>
            <w:r>
              <w:rPr>
                <w:i w:val="0"/>
                <w:spacing w:val="-2"/>
                <w:sz w:val="24"/>
              </w:rPr>
              <w:t> </w:t>
            </w:r>
            <w:r>
              <w:rPr>
                <w:i w:val="0"/>
                <w:sz w:val="24"/>
              </w:rPr>
              <w:t>VII</w:t>
            </w:r>
            <w:r>
              <w:rPr>
                <w:rFonts w:ascii="Cambria" w:hAnsi="Cambria"/>
                <w:b w:val="0"/>
                <w:i w:val="0"/>
                <w:sz w:val="24"/>
              </w:rPr>
              <w:tab/>
              <w:t>146</w:t>
            </w:r>
          </w:hyperlink>
        </w:p>
        <w:p>
          <w:pPr>
            <w:pStyle w:val="TOC3"/>
            <w:numPr>
              <w:ilvl w:val="0"/>
              <w:numId w:val="1"/>
            </w:numPr>
            <w:tabs>
              <w:tab w:pos="736" w:val="left" w:leader="none"/>
              <w:tab w:pos="8932" w:val="right" w:leader="none"/>
            </w:tabs>
            <w:spacing w:line="278" w:lineRule="auto" w:before="138" w:after="0"/>
            <w:ind w:left="322" w:right="105" w:firstLine="0"/>
            <w:jc w:val="left"/>
            <w:rPr>
              <w:rFonts w:ascii="Calibri"/>
            </w:rPr>
          </w:pPr>
          <w:hyperlink w:history="true" w:anchor="_bookmark40">
            <w:r>
              <w:rPr/>
              <w:t>Demographic parameters of cougar (</w:t>
            </w:r>
            <w:r>
              <w:rPr>
                <w:i/>
              </w:rPr>
              <w:t>Puma concolor</w:t>
            </w:r>
            <w:r>
              <w:rPr/>
              <w:t>), in Sierra Nanchititla Natural Reserve,</w:t>
            </w:r>
          </w:hyperlink>
          <w:r>
            <w:rPr/>
            <w:t> </w:t>
          </w:r>
          <w:hyperlink w:history="true" w:anchor="_bookmark40">
            <w:r>
              <w:rPr/>
              <w:t>central Mexico.</w:t>
            </w:r>
            <w:r>
              <w:rPr>
                <w:rFonts w:ascii="Calibri"/>
              </w:rPr>
              <w:tab/>
              <w:t>147</w:t>
            </w:r>
          </w:hyperlink>
        </w:p>
        <w:p>
          <w:pPr>
            <w:pStyle w:val="TOC1"/>
            <w:tabs>
              <w:tab w:pos="8930" w:val="right" w:leader="none"/>
            </w:tabs>
            <w:spacing w:before="75"/>
            <w:rPr>
              <w:rFonts w:ascii="Cambria" w:hAnsi="Cambria"/>
              <w:b w:val="0"/>
            </w:rPr>
          </w:pPr>
          <w:hyperlink w:history="true" w:anchor="_bookmark43">
            <w:r>
              <w:rPr/>
              <w:t>DISCUSIÓN</w:t>
            </w:r>
            <w:r>
              <w:rPr>
                <w:spacing w:val="-2"/>
              </w:rPr>
              <w:t> </w:t>
            </w:r>
            <w:r>
              <w:rPr/>
              <w:t>GENERAL.</w:t>
            </w:r>
            <w:r>
              <w:rPr>
                <w:rFonts w:ascii="Cambria" w:hAnsi="Cambria"/>
                <w:b w:val="0"/>
              </w:rPr>
              <w:tab/>
              <w:t>161</w:t>
            </w:r>
          </w:hyperlink>
        </w:p>
        <w:p>
          <w:pPr>
            <w:pStyle w:val="TOC1"/>
            <w:tabs>
              <w:tab w:pos="8930" w:val="right" w:leader="none"/>
            </w:tabs>
            <w:rPr>
              <w:rFonts w:ascii="Cambria"/>
              <w:b w:val="0"/>
            </w:rPr>
          </w:pPr>
          <w:hyperlink w:history="true" w:anchor="_bookmark44">
            <w:r>
              <w:rPr/>
              <w:t>CONCLUSIONES</w:t>
            </w:r>
            <w:r>
              <w:rPr>
                <w:spacing w:val="-1"/>
              </w:rPr>
              <w:t> </w:t>
            </w:r>
            <w:r>
              <w:rPr/>
              <w:t>GENERALES</w:t>
            </w:r>
            <w:r>
              <w:rPr>
                <w:rFonts w:ascii="Cambria"/>
                <w:b w:val="0"/>
              </w:rPr>
              <w:tab/>
              <w:t>169</w:t>
            </w:r>
          </w:hyperlink>
        </w:p>
      </w:sdtContent>
    </w:sdt>
    <w:p>
      <w:pPr>
        <w:spacing w:after="0"/>
        <w:rPr>
          <w:rFonts w:ascii="Cambria"/>
        </w:rPr>
        <w:sectPr>
          <w:headerReference w:type="default" r:id="rId6"/>
          <w:footerReference w:type="default" r:id="rId7"/>
          <w:pgSz w:w="12240" w:h="15840"/>
          <w:pgMar w:header="740" w:footer="779" w:top="960" w:bottom="960" w:left="1600" w:right="1600"/>
          <w:pgNumType w:start="2"/>
        </w:sectPr>
      </w:pPr>
    </w:p>
    <w:p>
      <w:pPr>
        <w:pStyle w:val="BodyText"/>
        <w:rPr>
          <w:rFonts w:ascii="Cambria"/>
          <w:sz w:val="28"/>
        </w:rPr>
      </w:pPr>
    </w:p>
    <w:p>
      <w:pPr>
        <w:pStyle w:val="BodyText"/>
        <w:rPr>
          <w:rFonts w:ascii="Cambria"/>
          <w:sz w:val="28"/>
        </w:rPr>
      </w:pPr>
    </w:p>
    <w:p>
      <w:pPr>
        <w:pStyle w:val="BodyText"/>
        <w:rPr>
          <w:rFonts w:ascii="Cambria"/>
          <w:sz w:val="28"/>
        </w:rPr>
      </w:pPr>
    </w:p>
    <w:p>
      <w:pPr>
        <w:pStyle w:val="BodyText"/>
        <w:spacing w:before="10"/>
        <w:rPr>
          <w:rFonts w:ascii="Cambria"/>
          <w:sz w:val="21"/>
        </w:rPr>
      </w:pPr>
    </w:p>
    <w:p>
      <w:pPr>
        <w:pStyle w:val="Heading1"/>
      </w:pPr>
      <w:bookmarkStart w:name="_bookmark0" w:id="1"/>
      <w:bookmarkEnd w:id="1"/>
      <w:r>
        <w:rPr>
          <w:b w:val="0"/>
        </w:rPr>
      </w:r>
      <w:r>
        <w:rPr/>
        <w:t>ÍNDICE DE FIGURAS Y TABLAS</w:t>
      </w:r>
    </w:p>
    <w:p>
      <w:pPr>
        <w:pStyle w:val="BodyText"/>
        <w:spacing w:before="13"/>
        <w:rPr>
          <w:rFonts w:ascii="Palatino Linotype"/>
          <w:b/>
          <w:sz w:val="31"/>
        </w:rPr>
      </w:pPr>
    </w:p>
    <w:p>
      <w:pPr>
        <w:tabs>
          <w:tab w:pos="8707" w:val="left" w:leader="none"/>
        </w:tabs>
        <w:spacing w:before="0"/>
        <w:ind w:left="541" w:right="0" w:firstLine="0"/>
        <w:jc w:val="left"/>
        <w:rPr>
          <w:rFonts w:ascii="Calibri"/>
          <w:sz w:val="22"/>
        </w:rPr>
      </w:pPr>
      <w:hyperlink w:history="true" w:anchor="_bookmark12">
        <w:r>
          <w:rPr>
            <w:sz w:val="22"/>
          </w:rPr>
          <w:t>Figura 2.1 Huella y excremento de puma en</w:t>
        </w:r>
        <w:r>
          <w:rPr>
            <w:spacing w:val="-8"/>
            <w:sz w:val="22"/>
          </w:rPr>
          <w:t> </w:t>
        </w:r>
        <w:r>
          <w:rPr>
            <w:sz w:val="22"/>
          </w:rPr>
          <w:t>el RNSN.</w:t>
        </w:r>
        <w:r>
          <w:rPr>
            <w:rFonts w:ascii="Calibri"/>
            <w:sz w:val="22"/>
          </w:rPr>
          <w:tab/>
          <w:t>45</w:t>
        </w:r>
      </w:hyperlink>
    </w:p>
    <w:p>
      <w:pPr>
        <w:tabs>
          <w:tab w:pos="8707" w:val="left" w:leader="none"/>
        </w:tabs>
        <w:spacing w:before="142"/>
        <w:ind w:left="541" w:right="0" w:firstLine="0"/>
        <w:jc w:val="left"/>
        <w:rPr>
          <w:rFonts w:ascii="Calibri" w:hAnsi="Calibri"/>
          <w:sz w:val="22"/>
        </w:rPr>
      </w:pPr>
      <w:hyperlink w:history="true" w:anchor="_bookmark13">
        <w:r>
          <w:rPr>
            <w:sz w:val="22"/>
          </w:rPr>
          <w:t>Figura 2.2 Trampa cámara (Camtrakker) ubicada en</w:t>
        </w:r>
        <w:r>
          <w:rPr>
            <w:spacing w:val="-11"/>
            <w:sz w:val="22"/>
          </w:rPr>
          <w:t> </w:t>
        </w:r>
        <w:r>
          <w:rPr>
            <w:sz w:val="22"/>
          </w:rPr>
          <w:t>el</w:t>
        </w:r>
        <w:r>
          <w:rPr>
            <w:spacing w:val="-3"/>
            <w:sz w:val="22"/>
          </w:rPr>
          <w:t> </w:t>
        </w:r>
        <w:r>
          <w:rPr>
            <w:sz w:val="22"/>
          </w:rPr>
          <w:t>RNSN</w:t>
        </w:r>
        <w:r>
          <w:rPr>
            <w:rFonts w:ascii="Calibri" w:hAnsi="Calibri"/>
            <w:sz w:val="22"/>
          </w:rPr>
          <w:tab/>
          <w:t>46</w:t>
        </w:r>
      </w:hyperlink>
    </w:p>
    <w:p>
      <w:pPr>
        <w:tabs>
          <w:tab w:pos="8707" w:val="left" w:leader="none"/>
        </w:tabs>
        <w:spacing w:line="278" w:lineRule="auto" w:before="136"/>
        <w:ind w:left="541" w:right="104" w:firstLine="0"/>
        <w:jc w:val="left"/>
        <w:rPr>
          <w:rFonts w:ascii="Calibri" w:hAnsi="Calibri"/>
          <w:sz w:val="22"/>
        </w:rPr>
      </w:pPr>
      <w:hyperlink w:history="true" w:anchor="_bookmark14">
        <w:r>
          <w:rPr>
            <w:sz w:val="22"/>
          </w:rPr>
          <w:t>Cuadro 2.1 Comparación de la densidad de </w:t>
        </w:r>
        <w:r>
          <w:rPr>
            <w:i/>
            <w:sz w:val="22"/>
          </w:rPr>
          <w:t>Puma concolor </w:t>
        </w:r>
        <w:r>
          <w:rPr>
            <w:sz w:val="22"/>
          </w:rPr>
          <w:t>obtenida a través del método</w:t>
        </w:r>
      </w:hyperlink>
      <w:r>
        <w:rPr>
          <w:sz w:val="22"/>
        </w:rPr>
        <w:t> </w:t>
      </w:r>
      <w:hyperlink w:history="true" w:anchor="_bookmark14">
        <w:r>
          <w:rPr>
            <w:sz w:val="22"/>
          </w:rPr>
          <w:t>indirecto y directo por bloque</w:t>
        </w:r>
        <w:r>
          <w:rPr>
            <w:spacing w:val="-10"/>
            <w:sz w:val="22"/>
          </w:rPr>
          <w:t> </w:t>
        </w:r>
        <w:r>
          <w:rPr>
            <w:sz w:val="22"/>
          </w:rPr>
          <w:t>de</w:t>
        </w:r>
        <w:r>
          <w:rPr>
            <w:spacing w:val="-2"/>
            <w:sz w:val="22"/>
          </w:rPr>
          <w:t> </w:t>
        </w:r>
        <w:r>
          <w:rPr>
            <w:sz w:val="22"/>
          </w:rPr>
          <w:t>muestreo.</w:t>
        </w:r>
        <w:r>
          <w:rPr>
            <w:rFonts w:ascii="Calibri" w:hAnsi="Calibri"/>
            <w:sz w:val="22"/>
          </w:rPr>
          <w:tab/>
          <w:t>48</w:t>
        </w:r>
      </w:hyperlink>
    </w:p>
    <w:p>
      <w:pPr>
        <w:tabs>
          <w:tab w:pos="8707" w:val="left" w:leader="none"/>
        </w:tabs>
        <w:spacing w:line="278" w:lineRule="auto" w:before="70"/>
        <w:ind w:left="541" w:right="104" w:firstLine="0"/>
        <w:jc w:val="left"/>
        <w:rPr>
          <w:rFonts w:ascii="Calibri" w:hAnsi="Calibri"/>
          <w:sz w:val="22"/>
        </w:rPr>
      </w:pPr>
      <w:hyperlink w:history="true" w:anchor="_bookmark15">
        <w:r>
          <w:rPr>
            <w:sz w:val="22"/>
          </w:rPr>
          <w:t>Figura 2.3 Análisis de correlación de Sperman entre la densidad absoluta (pumas/100 km</w:t>
        </w:r>
        <w:r>
          <w:rPr>
            <w:position w:val="10"/>
            <w:sz w:val="14"/>
          </w:rPr>
          <w:t>2</w:t>
        </w:r>
        <w:r>
          <w:rPr>
            <w:sz w:val="22"/>
          </w:rPr>
          <w:t>) y el</w:t>
        </w:r>
      </w:hyperlink>
      <w:r>
        <w:rPr>
          <w:sz w:val="22"/>
        </w:rPr>
        <w:t> </w:t>
      </w:r>
      <w:hyperlink w:history="true" w:anchor="_bookmark15">
        <w:r>
          <w:rPr>
            <w:sz w:val="22"/>
          </w:rPr>
          <w:t>índice de densidad relativa (excrementos/100 km), r</w:t>
        </w:r>
        <w:r>
          <w:rPr>
            <w:i/>
            <w:position w:val="-2"/>
            <w:sz w:val="14"/>
          </w:rPr>
          <w:t>s</w:t>
        </w:r>
        <w:r>
          <w:rPr>
            <w:sz w:val="22"/>
          </w:rPr>
          <w:t>=0.32</w:t>
        </w:r>
        <w:r>
          <w:rPr>
            <w:spacing w:val="-7"/>
            <w:sz w:val="22"/>
          </w:rPr>
          <w:t> </w:t>
        </w:r>
        <w:r>
          <w:rPr>
            <w:sz w:val="22"/>
          </w:rPr>
          <w:t>y</w:t>
        </w:r>
        <w:r>
          <w:rPr>
            <w:spacing w:val="-4"/>
            <w:sz w:val="22"/>
          </w:rPr>
          <w:t> </w:t>
        </w:r>
        <w:r>
          <w:rPr>
            <w:sz w:val="22"/>
          </w:rPr>
          <w:t>p&gt;0.05.</w:t>
        </w:r>
        <w:r>
          <w:rPr>
            <w:rFonts w:ascii="Calibri" w:hAnsi="Calibri"/>
            <w:sz w:val="22"/>
          </w:rPr>
          <w:tab/>
          <w:t>49</w:t>
        </w:r>
      </w:hyperlink>
    </w:p>
    <w:p>
      <w:pPr>
        <w:tabs>
          <w:tab w:pos="8707" w:val="left" w:leader="none"/>
        </w:tabs>
        <w:spacing w:line="268" w:lineRule="auto" w:before="92"/>
        <w:ind w:left="541" w:right="104" w:firstLine="0"/>
        <w:jc w:val="left"/>
        <w:rPr>
          <w:rFonts w:ascii="Calibri" w:hAnsi="Calibri"/>
          <w:sz w:val="22"/>
        </w:rPr>
      </w:pPr>
      <w:hyperlink w:history="true" w:anchor="_bookmark18">
        <w:r>
          <w:rPr>
            <w:sz w:val="22"/>
          </w:rPr>
          <w:t>Table 3.1 Sampling effort and recommended model (M(h) or M(o)) to estimate abundance and</w:t>
        </w:r>
      </w:hyperlink>
      <w:r>
        <w:rPr>
          <w:sz w:val="22"/>
        </w:rPr>
        <w:t> </w:t>
      </w:r>
      <w:hyperlink w:history="true" w:anchor="_bookmark18">
        <w:r>
          <w:rPr>
            <w:sz w:val="22"/>
          </w:rPr>
          <w:t>standard error (</w:t>
        </w:r>
        <w:r>
          <w:rPr>
            <w:i/>
            <w:sz w:val="22"/>
          </w:rPr>
          <w:t>Ň </w:t>
        </w:r>
        <w:r>
          <w:rPr>
            <w:sz w:val="22"/>
          </w:rPr>
          <w:t>± s.e.), capture probability (p), and density (individuals/km</w:t>
        </w:r>
        <w:r>
          <w:rPr>
            <w:position w:val="10"/>
            <w:sz w:val="14"/>
          </w:rPr>
          <w:t>2</w:t>
        </w:r>
        <w:r>
          <w:rPr>
            <w:sz w:val="22"/>
          </w:rPr>
          <w:t>) estimates for</w:t>
        </w:r>
      </w:hyperlink>
      <w:r>
        <w:rPr>
          <w:sz w:val="22"/>
        </w:rPr>
        <w:t> </w:t>
      </w:r>
      <w:hyperlink w:history="true" w:anchor="_bookmark18">
        <w:r>
          <w:rPr>
            <w:sz w:val="22"/>
          </w:rPr>
          <w:t>three home range values of white-tailed deer (Marchinton and Hirth 1984, González-Pérez</w:t>
        </w:r>
      </w:hyperlink>
      <w:r>
        <w:rPr>
          <w:sz w:val="22"/>
        </w:rPr>
        <w:t> </w:t>
      </w:r>
      <w:hyperlink w:history="true" w:anchor="_bookmark18">
        <w:r>
          <w:rPr>
            <w:sz w:val="22"/>
          </w:rPr>
          <w:t>2003 in Ortega et</w:t>
        </w:r>
        <w:r>
          <w:rPr>
            <w:spacing w:val="-4"/>
            <w:sz w:val="22"/>
          </w:rPr>
          <w:t> </w:t>
        </w:r>
        <w:r>
          <w:rPr>
            <w:sz w:val="22"/>
          </w:rPr>
          <w:t>al.</w:t>
        </w:r>
        <w:r>
          <w:rPr>
            <w:spacing w:val="-1"/>
            <w:sz w:val="22"/>
          </w:rPr>
          <w:t> </w:t>
        </w:r>
        <w:r>
          <w:rPr>
            <w:sz w:val="22"/>
          </w:rPr>
          <w:t>2011).</w:t>
        </w:r>
        <w:r>
          <w:rPr>
            <w:rFonts w:ascii="Calibri" w:hAnsi="Calibri"/>
            <w:sz w:val="22"/>
          </w:rPr>
          <w:tab/>
          <w:t>67</w:t>
        </w:r>
      </w:hyperlink>
    </w:p>
    <w:p>
      <w:pPr>
        <w:tabs>
          <w:tab w:pos="8707" w:val="left" w:leader="none"/>
        </w:tabs>
        <w:spacing w:line="278" w:lineRule="auto" w:before="104"/>
        <w:ind w:left="541" w:right="104" w:firstLine="0"/>
        <w:jc w:val="left"/>
        <w:rPr>
          <w:rFonts w:ascii="Calibri"/>
          <w:sz w:val="22"/>
        </w:rPr>
      </w:pPr>
      <w:hyperlink w:history="true" w:anchor="_bookmark19">
        <w:r>
          <w:rPr>
            <w:sz w:val="22"/>
          </w:rPr>
          <w:t>Figure 3.1 Geographical location of Sierra Nanchititla Natural Reserve (southwestern state of</w:t>
        </w:r>
      </w:hyperlink>
      <w:r>
        <w:rPr>
          <w:sz w:val="22"/>
        </w:rPr>
        <w:t> </w:t>
      </w:r>
      <w:hyperlink w:history="true" w:anchor="_bookmark19">
        <w:r>
          <w:rPr>
            <w:sz w:val="22"/>
          </w:rPr>
          <w:t>Mexico), core protected zone and</w:t>
        </w:r>
        <w:r>
          <w:rPr>
            <w:spacing w:val="-8"/>
            <w:sz w:val="22"/>
          </w:rPr>
          <w:t> </w:t>
        </w:r>
        <w:r>
          <w:rPr>
            <w:sz w:val="22"/>
          </w:rPr>
          <w:t>camera</w:t>
        </w:r>
        <w:r>
          <w:rPr>
            <w:spacing w:val="-1"/>
            <w:sz w:val="22"/>
          </w:rPr>
          <w:t> </w:t>
        </w:r>
        <w:r>
          <w:rPr>
            <w:sz w:val="22"/>
          </w:rPr>
          <w:t>traps.</w:t>
        </w:r>
        <w:r>
          <w:rPr>
            <w:rFonts w:ascii="Calibri"/>
            <w:sz w:val="22"/>
          </w:rPr>
          <w:tab/>
          <w:t>79</w:t>
        </w:r>
      </w:hyperlink>
    </w:p>
    <w:p>
      <w:pPr>
        <w:tabs>
          <w:tab w:pos="8707" w:val="left" w:leader="none"/>
        </w:tabs>
        <w:spacing w:line="276" w:lineRule="auto" w:before="95"/>
        <w:ind w:left="541" w:right="104" w:firstLine="0"/>
        <w:jc w:val="left"/>
        <w:rPr>
          <w:rFonts w:ascii="Calibri"/>
          <w:sz w:val="22"/>
        </w:rPr>
      </w:pPr>
      <w:hyperlink w:history="true" w:anchor="_bookmark20">
        <w:r>
          <w:rPr>
            <w:sz w:val="22"/>
          </w:rPr>
          <w:t>Figure 3.2 Some features for the identification of individual white tailed deer (</w:t>
        </w:r>
        <w:r>
          <w:rPr>
            <w:i/>
            <w:sz w:val="22"/>
          </w:rPr>
          <w:t>Odocoileus</w:t>
        </w:r>
      </w:hyperlink>
      <w:r>
        <w:rPr>
          <w:i/>
          <w:sz w:val="22"/>
        </w:rPr>
        <w:t> </w:t>
      </w:r>
      <w:hyperlink w:history="true" w:anchor="_bookmark20">
        <w:r>
          <w:rPr>
            <w:i/>
            <w:sz w:val="22"/>
          </w:rPr>
          <w:t>virginianus</w:t>
        </w:r>
        <w:r>
          <w:rPr>
            <w:sz w:val="22"/>
          </w:rPr>
          <w:t>); scars A), spots B) and antlers. Photographs C) and D) show the same male</w:t>
        </w:r>
      </w:hyperlink>
      <w:r>
        <w:rPr>
          <w:sz w:val="22"/>
        </w:rPr>
        <w:t> </w:t>
      </w:r>
      <w:hyperlink w:history="true" w:anchor="_bookmark20">
        <w:r>
          <w:rPr>
            <w:sz w:val="22"/>
          </w:rPr>
          <w:t>photographed at different times in the same</w:t>
        </w:r>
        <w:r>
          <w:rPr>
            <w:spacing w:val="-10"/>
            <w:sz w:val="22"/>
          </w:rPr>
          <w:t> </w:t>
        </w:r>
        <w:r>
          <w:rPr>
            <w:sz w:val="22"/>
          </w:rPr>
          <w:t>sampling</w:t>
        </w:r>
        <w:r>
          <w:rPr>
            <w:spacing w:val="-4"/>
            <w:sz w:val="22"/>
          </w:rPr>
          <w:t> </w:t>
        </w:r>
        <w:r>
          <w:rPr>
            <w:sz w:val="22"/>
          </w:rPr>
          <w:t>site.</w:t>
        </w:r>
        <w:r>
          <w:rPr>
            <w:rFonts w:ascii="Calibri"/>
            <w:sz w:val="22"/>
          </w:rPr>
          <w:tab/>
          <w:t>80</w:t>
        </w:r>
      </w:hyperlink>
    </w:p>
    <w:p>
      <w:pPr>
        <w:tabs>
          <w:tab w:pos="8707" w:val="left" w:leader="none"/>
        </w:tabs>
        <w:spacing w:line="280" w:lineRule="auto" w:before="96"/>
        <w:ind w:left="541" w:right="104" w:firstLine="0"/>
        <w:jc w:val="left"/>
        <w:rPr>
          <w:rFonts w:ascii="Calibri"/>
          <w:sz w:val="22"/>
        </w:rPr>
      </w:pPr>
      <w:hyperlink w:history="true" w:anchor="_bookmark21">
        <w:r>
          <w:rPr>
            <w:sz w:val="22"/>
          </w:rPr>
          <w:t>Figure 3.3 Daily activity pattern of white tailed deer (</w:t>
        </w:r>
        <w:r>
          <w:rPr>
            <w:i/>
            <w:sz w:val="22"/>
          </w:rPr>
          <w:t>Odocoileus virginianus</w:t>
        </w:r>
        <w:r>
          <w:rPr>
            <w:sz w:val="22"/>
          </w:rPr>
          <w:t>) in Sierra</w:t>
        </w:r>
      </w:hyperlink>
      <w:r>
        <w:rPr>
          <w:sz w:val="22"/>
        </w:rPr>
        <w:t> </w:t>
      </w:r>
      <w:hyperlink w:history="true" w:anchor="_bookmark21">
        <w:r>
          <w:rPr>
            <w:sz w:val="22"/>
          </w:rPr>
          <w:t>Nanchititla Natural Reserve (southwestern state</w:t>
        </w:r>
        <w:r>
          <w:rPr>
            <w:spacing w:val="-13"/>
            <w:sz w:val="22"/>
          </w:rPr>
          <w:t> </w:t>
        </w:r>
        <w:r>
          <w:rPr>
            <w:sz w:val="22"/>
          </w:rPr>
          <w:t>of</w:t>
        </w:r>
        <w:r>
          <w:rPr>
            <w:spacing w:val="-3"/>
            <w:sz w:val="22"/>
          </w:rPr>
          <w:t> </w:t>
        </w:r>
        <w:r>
          <w:rPr>
            <w:sz w:val="22"/>
          </w:rPr>
          <w:t>Mexico).</w:t>
        </w:r>
        <w:r>
          <w:rPr>
            <w:rFonts w:ascii="Calibri"/>
            <w:sz w:val="22"/>
          </w:rPr>
          <w:tab/>
          <w:t>81</w:t>
        </w:r>
      </w:hyperlink>
    </w:p>
    <w:p>
      <w:pPr>
        <w:tabs>
          <w:tab w:pos="8597" w:val="left" w:leader="none"/>
        </w:tabs>
        <w:spacing w:line="278" w:lineRule="auto" w:before="90"/>
        <w:ind w:left="541" w:right="105" w:firstLine="0"/>
        <w:jc w:val="left"/>
        <w:rPr>
          <w:rFonts w:ascii="Calibri"/>
          <w:sz w:val="22"/>
        </w:rPr>
      </w:pPr>
      <w:hyperlink w:history="true" w:anchor="_bookmark24">
        <w:r>
          <w:rPr>
            <w:sz w:val="22"/>
          </w:rPr>
          <w:t>Table 4.1 Quarterly blocks of consumed biomass proportion (BP) and relative abundance</w:t>
        </w:r>
      </w:hyperlink>
      <w:r>
        <w:rPr>
          <w:sz w:val="22"/>
        </w:rPr>
        <w:t> </w:t>
      </w:r>
      <w:hyperlink w:history="true" w:anchor="_bookmark24">
        <w:r>
          <w:rPr>
            <w:sz w:val="22"/>
          </w:rPr>
          <w:t>index (RIA), once added the value of minimal errors, 0.10 and 0.16 respectively of the main</w:t>
        </w:r>
      </w:hyperlink>
      <w:r>
        <w:rPr>
          <w:sz w:val="22"/>
        </w:rPr>
        <w:t> </w:t>
      </w:r>
      <w:hyperlink w:history="true" w:anchor="_bookmark24">
        <w:r>
          <w:rPr>
            <w:sz w:val="22"/>
          </w:rPr>
          <w:t>prey in the</w:t>
        </w:r>
        <w:r>
          <w:rPr>
            <w:spacing w:val="-3"/>
            <w:sz w:val="22"/>
          </w:rPr>
          <w:t> </w:t>
        </w:r>
        <w:r>
          <w:rPr>
            <w:sz w:val="22"/>
          </w:rPr>
          <w:t>cougar diet.</w:t>
        </w:r>
        <w:r>
          <w:rPr>
            <w:rFonts w:ascii="Calibri"/>
            <w:sz w:val="22"/>
          </w:rPr>
          <w:tab/>
          <w:t>101</w:t>
        </w:r>
      </w:hyperlink>
    </w:p>
    <w:p>
      <w:pPr>
        <w:tabs>
          <w:tab w:pos="8597" w:val="left" w:leader="none"/>
        </w:tabs>
        <w:spacing w:before="96"/>
        <w:ind w:left="541" w:right="0" w:firstLine="0"/>
        <w:jc w:val="left"/>
        <w:rPr>
          <w:rFonts w:ascii="Calibri"/>
          <w:sz w:val="22"/>
        </w:rPr>
      </w:pPr>
      <w:hyperlink w:history="true" w:anchor="_bookmark25">
        <w:r>
          <w:rPr>
            <w:sz w:val="22"/>
          </w:rPr>
          <w:t>Figure 4.1 Sierra Nanchititla Natural Reserve in Balsas River</w:t>
        </w:r>
        <w:r>
          <w:rPr>
            <w:spacing w:val="-15"/>
            <w:sz w:val="22"/>
          </w:rPr>
          <w:t> </w:t>
        </w:r>
        <w:r>
          <w:rPr>
            <w:sz w:val="22"/>
          </w:rPr>
          <w:t>basin,</w:t>
        </w:r>
        <w:r>
          <w:rPr>
            <w:spacing w:val="-5"/>
            <w:sz w:val="22"/>
          </w:rPr>
          <w:t> </w:t>
        </w:r>
        <w:r>
          <w:rPr>
            <w:sz w:val="22"/>
          </w:rPr>
          <w:t>Mexico.</w:t>
        </w:r>
        <w:r>
          <w:rPr>
            <w:rFonts w:ascii="Calibri"/>
            <w:sz w:val="22"/>
          </w:rPr>
          <w:tab/>
          <w:t>102</w:t>
        </w:r>
      </w:hyperlink>
    </w:p>
    <w:p>
      <w:pPr>
        <w:tabs>
          <w:tab w:pos="8597" w:val="left" w:leader="none"/>
        </w:tabs>
        <w:spacing w:line="278" w:lineRule="auto" w:before="136"/>
        <w:ind w:left="541" w:right="105" w:firstLine="0"/>
        <w:jc w:val="left"/>
        <w:rPr>
          <w:rFonts w:ascii="Calibri"/>
          <w:sz w:val="22"/>
        </w:rPr>
      </w:pPr>
      <w:hyperlink w:history="true" w:anchor="_bookmark26">
        <w:r>
          <w:rPr>
            <w:sz w:val="22"/>
          </w:rPr>
          <w:t>Figure 4.2 Association between the proportions of consumed biomass of armadillo by cougars</w:t>
        </w:r>
      </w:hyperlink>
      <w:r>
        <w:rPr>
          <w:sz w:val="22"/>
        </w:rPr>
        <w:t> </w:t>
      </w:r>
      <w:hyperlink w:history="true" w:anchor="_bookmark26">
        <w:r>
          <w:rPr>
            <w:sz w:val="22"/>
          </w:rPr>
          <w:t>and the relative abundance of armadillo showing a type III</w:t>
        </w:r>
        <w:r>
          <w:rPr>
            <w:spacing w:val="-13"/>
            <w:sz w:val="22"/>
          </w:rPr>
          <w:t> </w:t>
        </w:r>
        <w:r>
          <w:rPr>
            <w:sz w:val="22"/>
          </w:rPr>
          <w:t>functional</w:t>
        </w:r>
        <w:r>
          <w:rPr>
            <w:spacing w:val="-3"/>
            <w:sz w:val="22"/>
          </w:rPr>
          <w:t> </w:t>
        </w:r>
        <w:r>
          <w:rPr>
            <w:sz w:val="22"/>
          </w:rPr>
          <w:t>response.</w:t>
        </w:r>
        <w:r>
          <w:rPr>
            <w:rFonts w:ascii="Calibri"/>
            <w:sz w:val="22"/>
          </w:rPr>
          <w:tab/>
          <w:t>103</w:t>
        </w:r>
      </w:hyperlink>
    </w:p>
    <w:p>
      <w:pPr>
        <w:spacing w:before="95"/>
        <w:ind w:left="541" w:right="0" w:firstLine="0"/>
        <w:jc w:val="left"/>
        <w:rPr>
          <w:sz w:val="22"/>
        </w:rPr>
      </w:pPr>
      <w:hyperlink w:history="true" w:anchor="_bookmark29">
        <w:r>
          <w:rPr>
            <w:sz w:val="22"/>
          </w:rPr>
          <w:t>Figura 5.1 Ubicación de la Reserva Natural Sierra Nanchititla y Cuenca del Balsas, México.</w:t>
        </w:r>
      </w:hyperlink>
    </w:p>
    <w:p>
      <w:pPr>
        <w:spacing w:before="40"/>
        <w:ind w:left="0" w:right="105" w:firstLine="0"/>
        <w:jc w:val="right"/>
        <w:rPr>
          <w:rFonts w:ascii="Calibri"/>
          <w:sz w:val="22"/>
        </w:rPr>
      </w:pPr>
      <w:hyperlink w:history="true" w:anchor="_bookmark29">
        <w:r>
          <w:rPr>
            <w:rFonts w:ascii="Calibri"/>
            <w:sz w:val="22"/>
          </w:rPr>
          <w:t>110</w:t>
        </w:r>
      </w:hyperlink>
    </w:p>
    <w:p>
      <w:pPr>
        <w:tabs>
          <w:tab w:pos="8932" w:val="right" w:leader="none"/>
        </w:tabs>
        <w:spacing w:line="280" w:lineRule="auto" w:before="136"/>
        <w:ind w:left="541" w:right="105" w:firstLine="0"/>
        <w:jc w:val="left"/>
        <w:rPr>
          <w:rFonts w:ascii="Calibri" w:hAnsi="Calibri"/>
          <w:sz w:val="22"/>
        </w:rPr>
      </w:pPr>
      <w:hyperlink w:history="true" w:anchor="_bookmark30">
        <w:r>
          <w:rPr>
            <w:sz w:val="22"/>
          </w:rPr>
          <w:t>Figura 5.2 Porcentaje de actividad de puma en relación al de sus presas principales en la</w:t>
        </w:r>
      </w:hyperlink>
      <w:r>
        <w:rPr>
          <w:sz w:val="22"/>
        </w:rPr>
        <w:t> </w:t>
      </w:r>
      <w:hyperlink w:history="true" w:anchor="_bookmark30">
        <w:r>
          <w:rPr>
            <w:sz w:val="22"/>
          </w:rPr>
          <w:t>RNSN.</w:t>
        </w:r>
        <w:r>
          <w:rPr>
            <w:rFonts w:ascii="Calibri" w:hAnsi="Calibri"/>
            <w:sz w:val="22"/>
          </w:rPr>
          <w:tab/>
          <w:t>114</w:t>
        </w:r>
      </w:hyperlink>
    </w:p>
    <w:p>
      <w:pPr>
        <w:tabs>
          <w:tab w:pos="8932" w:val="right" w:leader="none"/>
        </w:tabs>
        <w:spacing w:line="266" w:lineRule="auto" w:before="90"/>
        <w:ind w:left="541" w:right="105" w:firstLine="0"/>
        <w:jc w:val="left"/>
        <w:rPr>
          <w:rFonts w:ascii="Calibri" w:hAnsi="Calibri"/>
          <w:sz w:val="22"/>
        </w:rPr>
      </w:pPr>
      <w:hyperlink w:history="true" w:anchor="_bookmark31">
        <w:r>
          <w:rPr>
            <w:sz w:val="22"/>
          </w:rPr>
          <w:t>Tabla 5.1 Coeficientes de correlación de Sperman e índice de solapamiento de Pianka (</w:t>
        </w:r>
        <w:r>
          <w:rPr>
            <w:i/>
            <w:sz w:val="22"/>
          </w:rPr>
          <w:t>O</w:t>
        </w:r>
        <w:r>
          <w:rPr>
            <w:i/>
            <w:position w:val="-2"/>
            <w:sz w:val="14"/>
          </w:rPr>
          <w:t>jk</w:t>
        </w:r>
        <w:r>
          <w:rPr>
            <w:sz w:val="22"/>
          </w:rPr>
          <w:t>),</w:t>
        </w:r>
      </w:hyperlink>
      <w:r>
        <w:rPr>
          <w:sz w:val="22"/>
        </w:rPr>
        <w:t> </w:t>
      </w:r>
      <w:hyperlink w:history="true" w:anchor="_bookmark31">
        <w:r>
          <w:rPr>
            <w:sz w:val="22"/>
          </w:rPr>
          <w:t>entre el patrón de actividad de puma con cada una de sus</w:t>
        </w:r>
        <w:r>
          <w:rPr>
            <w:spacing w:val="-8"/>
            <w:sz w:val="22"/>
          </w:rPr>
          <w:t> </w:t>
        </w:r>
        <w:r>
          <w:rPr>
            <w:sz w:val="22"/>
          </w:rPr>
          <w:t>presas</w:t>
        </w:r>
        <w:r>
          <w:rPr>
            <w:spacing w:val="-3"/>
            <w:sz w:val="22"/>
          </w:rPr>
          <w:t> </w:t>
        </w:r>
        <w:r>
          <w:rPr>
            <w:sz w:val="22"/>
          </w:rPr>
          <w:t>(N=24).</w:t>
        </w:r>
        <w:r>
          <w:rPr>
            <w:rFonts w:ascii="Calibri" w:hAnsi="Calibri"/>
            <w:sz w:val="22"/>
          </w:rPr>
          <w:tab/>
          <w:t>115</w:t>
        </w:r>
      </w:hyperlink>
    </w:p>
    <w:p>
      <w:pPr>
        <w:tabs>
          <w:tab w:pos="8597" w:val="left" w:leader="none"/>
        </w:tabs>
        <w:spacing w:line="280" w:lineRule="auto" w:before="106"/>
        <w:ind w:left="541" w:right="103" w:firstLine="0"/>
        <w:jc w:val="left"/>
        <w:rPr>
          <w:rFonts w:ascii="Calibri" w:hAnsi="Calibri"/>
          <w:sz w:val="22"/>
        </w:rPr>
      </w:pPr>
      <w:hyperlink w:history="true" w:anchor="_bookmark32">
        <w:r>
          <w:rPr>
            <w:sz w:val="22"/>
          </w:rPr>
          <w:t>Figura 5.3. Porcentaje de actividad de puma y armadillo en relación a las fases lunares (0=</w:t>
        </w:r>
        <w:r>
          <w:rPr>
            <w:spacing w:val="-24"/>
            <w:sz w:val="22"/>
          </w:rPr>
          <w:t> </w:t>
        </w:r>
        <w:r>
          <w:rPr>
            <w:sz w:val="22"/>
          </w:rPr>
          <w:t>luna</w:t>
        </w:r>
      </w:hyperlink>
      <w:r>
        <w:rPr>
          <w:sz w:val="22"/>
        </w:rPr>
        <w:t> </w:t>
      </w:r>
      <w:hyperlink w:history="true" w:anchor="_bookmark32">
        <w:r>
          <w:rPr>
            <w:sz w:val="22"/>
          </w:rPr>
          <w:t>llena y 14= luna nueva) y n es el número de fotografías independientes que</w:t>
        </w:r>
        <w:r>
          <w:rPr>
            <w:spacing w:val="-17"/>
            <w:sz w:val="22"/>
          </w:rPr>
          <w:t> </w:t>
        </w:r>
        <w:r>
          <w:rPr>
            <w:sz w:val="22"/>
          </w:rPr>
          <w:t>se</w:t>
        </w:r>
        <w:r>
          <w:rPr>
            <w:spacing w:val="-1"/>
            <w:sz w:val="22"/>
          </w:rPr>
          <w:t> </w:t>
        </w:r>
        <w:r>
          <w:rPr>
            <w:sz w:val="22"/>
          </w:rPr>
          <w:t>utilizaron.</w:t>
          <w:tab/>
        </w:r>
        <w:r>
          <w:rPr>
            <w:rFonts w:ascii="Calibri" w:hAnsi="Calibri"/>
            <w:sz w:val="22"/>
          </w:rPr>
          <w:t>115</w:t>
        </w:r>
      </w:hyperlink>
    </w:p>
    <w:p>
      <w:pPr>
        <w:tabs>
          <w:tab w:pos="8932" w:val="right" w:leader="none"/>
        </w:tabs>
        <w:spacing w:line="278" w:lineRule="auto" w:before="90"/>
        <w:ind w:left="541" w:right="105" w:firstLine="0"/>
        <w:jc w:val="left"/>
        <w:rPr>
          <w:rFonts w:ascii="Calibri" w:hAnsi="Calibri"/>
          <w:sz w:val="22"/>
        </w:rPr>
      </w:pPr>
      <w:hyperlink w:history="true" w:anchor="_bookmark33">
        <w:r>
          <w:rPr>
            <w:sz w:val="22"/>
          </w:rPr>
          <w:t>Tabla. 5.2 Patrón de actividad de puma en la Reserva Natural Sierra Nanchititla, México y</w:t>
        </w:r>
      </w:hyperlink>
      <w:r>
        <w:rPr>
          <w:sz w:val="22"/>
        </w:rPr>
        <w:t> </w:t>
      </w:r>
      <w:hyperlink w:history="true" w:anchor="_bookmark33">
        <w:r>
          <w:rPr>
            <w:sz w:val="22"/>
          </w:rPr>
          <w:t>otros sitios</w:t>
        </w:r>
        <w:r>
          <w:rPr>
            <w:spacing w:val="-1"/>
            <w:sz w:val="22"/>
          </w:rPr>
          <w:t> </w:t>
        </w:r>
        <w:r>
          <w:rPr>
            <w:sz w:val="22"/>
          </w:rPr>
          <w:t>de</w:t>
        </w:r>
        <w:r>
          <w:rPr>
            <w:spacing w:val="-1"/>
            <w:sz w:val="22"/>
          </w:rPr>
          <w:t> </w:t>
        </w:r>
        <w:r>
          <w:rPr>
            <w:sz w:val="22"/>
          </w:rPr>
          <w:t>muestreo.</w:t>
        </w:r>
        <w:r>
          <w:rPr>
            <w:rFonts w:ascii="Calibri" w:hAnsi="Calibri"/>
            <w:sz w:val="22"/>
          </w:rPr>
          <w:tab/>
          <w:t>116</w:t>
        </w:r>
      </w:hyperlink>
    </w:p>
    <w:p>
      <w:pPr>
        <w:spacing w:after="0" w:line="278" w:lineRule="auto"/>
        <w:jc w:val="left"/>
        <w:rPr>
          <w:rFonts w:ascii="Calibri" w:hAnsi="Calibri"/>
          <w:sz w:val="22"/>
        </w:rPr>
        <w:sectPr>
          <w:pgSz w:w="12240" w:h="15840"/>
          <w:pgMar w:header="740" w:footer="779" w:top="960" w:bottom="960" w:left="1600" w:right="1600"/>
        </w:sectPr>
      </w:pPr>
    </w:p>
    <w:p>
      <w:pPr>
        <w:tabs>
          <w:tab w:pos="8812" w:val="right" w:leader="none"/>
        </w:tabs>
        <w:spacing w:line="280" w:lineRule="auto" w:before="448"/>
        <w:ind w:left="421" w:right="100" w:firstLine="0"/>
        <w:jc w:val="left"/>
        <w:rPr>
          <w:rFonts w:ascii="Calibri"/>
          <w:sz w:val="22"/>
        </w:rPr>
      </w:pPr>
      <w:hyperlink w:history="true" w:anchor="_bookmark36">
        <w:r>
          <w:rPr>
            <w:sz w:val="22"/>
          </w:rPr>
          <w:t>Table 6.1 Seasonal results of RAI (Relative Abundance Index) and </w:t>
        </w:r>
        <w:r>
          <w:rPr>
            <w:i/>
            <w:sz w:val="22"/>
          </w:rPr>
          <w:t>pgr </w:t>
        </w:r>
        <w:r>
          <w:rPr>
            <w:sz w:val="22"/>
          </w:rPr>
          <w:t>(population grown rate)</w:t>
        </w:r>
      </w:hyperlink>
      <w:r>
        <w:rPr>
          <w:sz w:val="22"/>
        </w:rPr>
        <w:t> </w:t>
      </w:r>
      <w:hyperlink w:history="true" w:anchor="_bookmark36">
        <w:r>
          <w:rPr>
            <w:sz w:val="22"/>
          </w:rPr>
          <w:t>of </w:t>
        </w:r>
        <w:r>
          <w:rPr>
            <w:i/>
            <w:sz w:val="22"/>
          </w:rPr>
          <w:t>P. concolor </w:t>
        </w:r>
        <w:r>
          <w:rPr>
            <w:sz w:val="22"/>
          </w:rPr>
          <w:t>and their prey</w:t>
        </w:r>
        <w:r>
          <w:rPr>
            <w:spacing w:val="-3"/>
            <w:sz w:val="22"/>
          </w:rPr>
          <w:t> </w:t>
        </w:r>
        <w:r>
          <w:rPr>
            <w:sz w:val="22"/>
          </w:rPr>
          <w:t>and</w:t>
        </w:r>
        <w:r>
          <w:rPr>
            <w:spacing w:val="-1"/>
            <w:sz w:val="22"/>
          </w:rPr>
          <w:t> </w:t>
        </w:r>
        <w:r>
          <w:rPr>
            <w:sz w:val="22"/>
          </w:rPr>
          <w:t>precipitation.</w:t>
        </w:r>
        <w:r>
          <w:rPr>
            <w:rFonts w:ascii="Calibri"/>
            <w:sz w:val="22"/>
          </w:rPr>
          <w:tab/>
          <w:t>131</w:t>
        </w:r>
      </w:hyperlink>
    </w:p>
    <w:p>
      <w:pPr>
        <w:tabs>
          <w:tab w:pos="8810" w:val="right" w:leader="none"/>
        </w:tabs>
        <w:spacing w:line="278" w:lineRule="auto" w:before="90"/>
        <w:ind w:left="421" w:right="107" w:firstLine="0"/>
        <w:jc w:val="left"/>
        <w:rPr>
          <w:rFonts w:ascii="Calibri"/>
          <w:sz w:val="22"/>
        </w:rPr>
      </w:pPr>
      <w:hyperlink w:history="true" w:anchor="_bookmark37">
        <w:r>
          <w:rPr>
            <w:sz w:val="22"/>
          </w:rPr>
          <w:t>Figure 6.1: Positive impacts of </w:t>
        </w:r>
        <w:r>
          <w:rPr>
            <w:i/>
            <w:sz w:val="22"/>
          </w:rPr>
          <w:t>D. novemcinctus </w:t>
        </w:r>
        <w:r>
          <w:rPr>
            <w:sz w:val="22"/>
          </w:rPr>
          <w:t>and </w:t>
        </w:r>
        <w:r>
          <w:rPr>
            <w:i/>
            <w:sz w:val="22"/>
          </w:rPr>
          <w:t>N. narica </w:t>
        </w:r>
        <w:r>
          <w:rPr>
            <w:sz w:val="22"/>
          </w:rPr>
          <w:t>RAI on the change in </w:t>
        </w:r>
        <w:r>
          <w:rPr>
            <w:i/>
            <w:sz w:val="22"/>
          </w:rPr>
          <w:t>P.</w:t>
        </w:r>
      </w:hyperlink>
      <w:r>
        <w:rPr>
          <w:i/>
          <w:sz w:val="22"/>
        </w:rPr>
        <w:t> </w:t>
      </w:r>
      <w:hyperlink w:history="true" w:anchor="_bookmark37">
        <w:r>
          <w:rPr>
            <w:i/>
            <w:sz w:val="22"/>
          </w:rPr>
          <w:t>concolor pgr </w:t>
        </w:r>
        <w:r>
          <w:rPr>
            <w:sz w:val="22"/>
          </w:rPr>
          <w:t>over time (across wet and dry seasons, 2004-2009), illustrating bottom-up control</w:t>
        </w:r>
      </w:hyperlink>
      <w:r>
        <w:rPr>
          <w:sz w:val="22"/>
        </w:rPr>
        <w:t> </w:t>
      </w:r>
      <w:hyperlink w:history="true" w:anchor="_bookmark37">
        <w:r>
          <w:rPr>
            <w:sz w:val="22"/>
          </w:rPr>
          <w:t>at the apex of SNNR food web. Plotted results are based on the mean </w:t>
        </w:r>
        <w:r>
          <w:rPr>
            <w:i/>
            <w:sz w:val="22"/>
          </w:rPr>
          <w:t>P. concolor pgr </w:t>
        </w:r>
        <w:r>
          <w:rPr>
            <w:sz w:val="22"/>
          </w:rPr>
          <w:t>mean</w:t>
        </w:r>
      </w:hyperlink>
      <w:r>
        <w:rPr>
          <w:sz w:val="22"/>
        </w:rPr>
        <w:t> </w:t>
      </w:r>
      <w:hyperlink w:history="true" w:anchor="_bookmark37">
        <w:r>
          <w:rPr>
            <w:sz w:val="22"/>
          </w:rPr>
          <w:t>and the minimum and maximum prey</w:t>
        </w:r>
        <w:r>
          <w:rPr>
            <w:spacing w:val="-10"/>
            <w:sz w:val="22"/>
          </w:rPr>
          <w:t> </w:t>
        </w:r>
        <w:r>
          <w:rPr>
            <w:sz w:val="22"/>
          </w:rPr>
          <w:t>RAI</w:t>
        </w:r>
        <w:r>
          <w:rPr>
            <w:spacing w:val="-4"/>
            <w:sz w:val="22"/>
          </w:rPr>
          <w:t> </w:t>
        </w:r>
        <w:r>
          <w:rPr>
            <w:sz w:val="22"/>
          </w:rPr>
          <w:t>recorded.</w:t>
        </w:r>
        <w:r>
          <w:rPr>
            <w:rFonts w:ascii="Calibri"/>
            <w:sz w:val="22"/>
          </w:rPr>
          <w:tab/>
          <w:t>132</w:t>
        </w:r>
      </w:hyperlink>
    </w:p>
    <w:p>
      <w:pPr>
        <w:spacing w:line="278" w:lineRule="auto" w:before="93"/>
        <w:ind w:left="421" w:right="98" w:firstLine="0"/>
        <w:jc w:val="left"/>
        <w:rPr>
          <w:rFonts w:ascii="Calibri"/>
          <w:sz w:val="22"/>
        </w:rPr>
      </w:pPr>
      <w:hyperlink w:history="true" w:anchor="_bookmark38">
        <w:r>
          <w:rPr>
            <w:sz w:val="22"/>
          </w:rPr>
          <w:t>Table 6.2: Multiple regression model results showing parameter estimates for trophic and</w:t>
        </w:r>
      </w:hyperlink>
      <w:r>
        <w:rPr>
          <w:sz w:val="22"/>
        </w:rPr>
        <w:t> </w:t>
      </w:r>
      <w:hyperlink w:history="true" w:anchor="_bookmark38">
        <w:r>
          <w:rPr>
            <w:sz w:val="22"/>
          </w:rPr>
          <w:t>environmental interactions on an apex predator and its prey species in the SNNR food web.</w:t>
        </w:r>
        <w:r>
          <w:rPr>
            <w:rFonts w:ascii="Calibri"/>
            <w:sz w:val="22"/>
          </w:rPr>
          <w:t>134</w:t>
        </w:r>
      </w:hyperlink>
    </w:p>
    <w:p>
      <w:pPr>
        <w:tabs>
          <w:tab w:pos="8812" w:val="right" w:leader="none"/>
        </w:tabs>
        <w:spacing w:line="278" w:lineRule="auto" w:before="95"/>
        <w:ind w:left="421" w:right="105" w:firstLine="0"/>
        <w:jc w:val="left"/>
        <w:rPr>
          <w:rFonts w:ascii="Calibri"/>
          <w:sz w:val="22"/>
        </w:rPr>
      </w:pPr>
      <w:hyperlink w:history="true" w:anchor="_bookmark41">
        <w:r>
          <w:rPr>
            <w:sz w:val="22"/>
          </w:rPr>
          <w:t>FIGURE 7.1 Sierra Nanchititla Natural Reserve (SNNR), Core zone and camera traps in</w:t>
        </w:r>
      </w:hyperlink>
      <w:r>
        <w:rPr>
          <w:sz w:val="22"/>
        </w:rPr>
        <w:t> </w:t>
      </w:r>
      <w:hyperlink w:history="true" w:anchor="_bookmark41">
        <w:r>
          <w:rPr>
            <w:sz w:val="22"/>
          </w:rPr>
          <w:t>Balsas Basin,</w:t>
        </w:r>
        <w:r>
          <w:rPr>
            <w:spacing w:val="-3"/>
            <w:sz w:val="22"/>
          </w:rPr>
          <w:t> </w:t>
        </w:r>
        <w:r>
          <w:rPr>
            <w:sz w:val="22"/>
          </w:rPr>
          <w:t>Mexico</w:t>
        </w:r>
        <w:r>
          <w:rPr>
            <w:rFonts w:ascii="Calibri"/>
            <w:sz w:val="22"/>
          </w:rPr>
          <w:tab/>
          <w:t>151</w:t>
        </w:r>
      </w:hyperlink>
    </w:p>
    <w:p>
      <w:pPr>
        <w:tabs>
          <w:tab w:pos="8812" w:val="right" w:leader="none"/>
        </w:tabs>
        <w:spacing w:line="278" w:lineRule="auto" w:before="93"/>
        <w:ind w:left="421" w:right="105" w:firstLine="0"/>
        <w:jc w:val="left"/>
        <w:rPr>
          <w:rFonts w:ascii="Calibri"/>
          <w:sz w:val="22"/>
        </w:rPr>
      </w:pPr>
      <w:hyperlink w:history="true" w:anchor="_bookmark42">
        <w:r>
          <w:rPr>
            <w:sz w:val="22"/>
          </w:rPr>
          <w:t>Table 7.1 Model selection statistic for robust design analysis of cougar capture recaptures data</w:t>
        </w:r>
      </w:hyperlink>
      <w:r>
        <w:rPr>
          <w:sz w:val="22"/>
        </w:rPr>
        <w:t> </w:t>
      </w:r>
      <w:hyperlink w:history="true" w:anchor="_bookmark42">
        <w:r>
          <w:rPr>
            <w:sz w:val="22"/>
          </w:rPr>
          <w:t>of Sierra Nanchititla Natural Reserve,</w:t>
        </w:r>
        <w:r>
          <w:rPr>
            <w:spacing w:val="-1"/>
            <w:sz w:val="22"/>
          </w:rPr>
          <w:t> </w:t>
        </w:r>
        <w:r>
          <w:rPr>
            <w:sz w:val="22"/>
          </w:rPr>
          <w:t>Mexico.</w:t>
        </w:r>
        <w:r>
          <w:rPr>
            <w:rFonts w:ascii="Calibri"/>
            <w:sz w:val="22"/>
          </w:rPr>
          <w:tab/>
          <w:t>154</w:t>
        </w:r>
      </w:hyperlink>
    </w:p>
    <w:p>
      <w:pPr>
        <w:spacing w:after="0" w:line="278" w:lineRule="auto"/>
        <w:jc w:val="left"/>
        <w:rPr>
          <w:rFonts w:ascii="Calibri"/>
          <w:sz w:val="22"/>
        </w:rPr>
        <w:sectPr>
          <w:pgSz w:w="12240" w:h="15840"/>
          <w:pgMar w:header="740" w:footer="779" w:top="960" w:bottom="960" w:left="1720" w:right="1600"/>
        </w:sectPr>
      </w:pPr>
    </w:p>
    <w:p>
      <w:pPr>
        <w:pStyle w:val="BodyText"/>
        <w:rPr>
          <w:rFonts w:ascii="Calibri"/>
          <w:sz w:val="28"/>
        </w:rPr>
      </w:pPr>
    </w:p>
    <w:p>
      <w:pPr>
        <w:pStyle w:val="BodyText"/>
        <w:rPr>
          <w:rFonts w:ascii="Calibri"/>
          <w:sz w:val="28"/>
        </w:rPr>
      </w:pPr>
    </w:p>
    <w:p>
      <w:pPr>
        <w:pStyle w:val="BodyText"/>
        <w:rPr>
          <w:rFonts w:ascii="Calibri"/>
          <w:sz w:val="28"/>
        </w:rPr>
      </w:pPr>
    </w:p>
    <w:p>
      <w:pPr>
        <w:pStyle w:val="BodyText"/>
        <w:rPr>
          <w:rFonts w:ascii="Calibri"/>
          <w:sz w:val="28"/>
        </w:rPr>
      </w:pPr>
    </w:p>
    <w:p>
      <w:pPr>
        <w:pStyle w:val="BodyText"/>
        <w:rPr>
          <w:rFonts w:ascii="Calibri"/>
          <w:sz w:val="28"/>
        </w:rPr>
      </w:pPr>
    </w:p>
    <w:p>
      <w:pPr>
        <w:pStyle w:val="BodyText"/>
        <w:spacing w:before="8"/>
        <w:rPr>
          <w:rFonts w:ascii="Calibri"/>
          <w:sz w:val="28"/>
        </w:rPr>
      </w:pPr>
    </w:p>
    <w:p>
      <w:pPr>
        <w:pStyle w:val="Heading1"/>
        <w:jc w:val="both"/>
      </w:pPr>
      <w:bookmarkStart w:name="_bookmark1" w:id="2"/>
      <w:bookmarkEnd w:id="2"/>
      <w:r>
        <w:rPr>
          <w:b w:val="0"/>
        </w:rPr>
      </w:r>
      <w:r>
        <w:rPr/>
        <w:t>AGRADECIMIENTOS</w:t>
      </w:r>
    </w:p>
    <w:p>
      <w:pPr>
        <w:pStyle w:val="BodyText"/>
        <w:spacing w:before="5"/>
        <w:rPr>
          <w:rFonts w:ascii="Palatino Linotype"/>
          <w:b/>
          <w:sz w:val="40"/>
        </w:rPr>
      </w:pPr>
    </w:p>
    <w:p>
      <w:pPr>
        <w:pStyle w:val="BodyText"/>
        <w:spacing w:line="508" w:lineRule="auto"/>
        <w:ind w:left="102" w:right="6695"/>
        <w:rPr>
          <w:rFonts w:ascii="Cambria" w:hAnsi="Cambria"/>
        </w:rPr>
      </w:pPr>
      <w:r>
        <w:rPr>
          <w:rFonts w:ascii="Cambria" w:hAnsi="Cambria"/>
          <w:w w:val="110"/>
        </w:rPr>
        <w:t>A mi mamá y papá. </w:t>
      </w:r>
      <w:r>
        <w:rPr>
          <w:rFonts w:ascii="Cambria" w:hAnsi="Cambria"/>
          <w:w w:val="105"/>
        </w:rPr>
        <w:t>A mis hermanos</w:t>
      </w:r>
    </w:p>
    <w:p>
      <w:pPr>
        <w:pStyle w:val="BodyText"/>
        <w:spacing w:line="281" w:lineRule="exact"/>
        <w:ind w:left="102"/>
        <w:jc w:val="both"/>
        <w:rPr>
          <w:rFonts w:ascii="Cambria" w:hAnsi="Cambria"/>
        </w:rPr>
      </w:pPr>
      <w:r>
        <w:rPr>
          <w:rFonts w:ascii="Cambria" w:hAnsi="Cambria"/>
          <w:w w:val="110"/>
        </w:rPr>
        <w:t>A mis abuelos y tíos.</w:t>
      </w:r>
    </w:p>
    <w:p>
      <w:pPr>
        <w:pStyle w:val="BodyText"/>
        <w:spacing w:before="11"/>
        <w:rPr>
          <w:rFonts w:ascii="Cambria"/>
          <w:sz w:val="26"/>
        </w:rPr>
      </w:pPr>
    </w:p>
    <w:p>
      <w:pPr>
        <w:pStyle w:val="BodyText"/>
        <w:spacing w:line="254" w:lineRule="auto"/>
        <w:ind w:left="102" w:right="115"/>
        <w:jc w:val="both"/>
        <w:rPr>
          <w:rFonts w:ascii="Cambria" w:hAnsi="Cambria"/>
        </w:rPr>
      </w:pPr>
      <w:r>
        <w:rPr>
          <w:rFonts w:ascii="Cambria" w:hAnsi="Cambria"/>
          <w:w w:val="105"/>
        </w:rPr>
        <w:t>A los revisores de esta tesis; Tizbe, Tavo, Miguel Balderas, Víctor Fajardo, Javier Manjarrez, Tuga, Ulises, Alejandro Martínez-Abraín, Giacomo, Xell por  los  valiosos</w:t>
      </w:r>
      <w:r>
        <w:rPr>
          <w:rFonts w:ascii="Cambria" w:hAnsi="Cambria"/>
          <w:spacing w:val="-20"/>
          <w:w w:val="105"/>
        </w:rPr>
        <w:t> </w:t>
      </w:r>
      <w:r>
        <w:rPr>
          <w:rFonts w:ascii="Cambria" w:hAnsi="Cambria"/>
          <w:w w:val="105"/>
        </w:rPr>
        <w:t>comentarios</w:t>
      </w:r>
      <w:r>
        <w:rPr>
          <w:rFonts w:ascii="Cambria" w:hAnsi="Cambria"/>
          <w:spacing w:val="-20"/>
          <w:w w:val="105"/>
        </w:rPr>
        <w:t> </w:t>
      </w:r>
      <w:r>
        <w:rPr>
          <w:rFonts w:ascii="Cambria" w:hAnsi="Cambria"/>
          <w:w w:val="105"/>
        </w:rPr>
        <w:t>y</w:t>
      </w:r>
      <w:r>
        <w:rPr>
          <w:rFonts w:ascii="Cambria" w:hAnsi="Cambria"/>
          <w:spacing w:val="-21"/>
          <w:w w:val="105"/>
        </w:rPr>
        <w:t> </w:t>
      </w:r>
      <w:r>
        <w:rPr>
          <w:rFonts w:ascii="Cambria" w:hAnsi="Cambria"/>
          <w:w w:val="105"/>
        </w:rPr>
        <w:t>aportaciones</w:t>
      </w:r>
      <w:r>
        <w:rPr>
          <w:rFonts w:ascii="Cambria" w:hAnsi="Cambria"/>
          <w:spacing w:val="-20"/>
          <w:w w:val="105"/>
        </w:rPr>
        <w:t> </w:t>
      </w:r>
      <w:r>
        <w:rPr>
          <w:rFonts w:ascii="Cambria" w:hAnsi="Cambria"/>
          <w:w w:val="105"/>
        </w:rPr>
        <w:t>que</w:t>
      </w:r>
      <w:r>
        <w:rPr>
          <w:rFonts w:ascii="Cambria" w:hAnsi="Cambria"/>
          <w:spacing w:val="-20"/>
          <w:w w:val="105"/>
        </w:rPr>
        <w:t> </w:t>
      </w:r>
      <w:r>
        <w:rPr>
          <w:rFonts w:ascii="Cambria" w:hAnsi="Cambria"/>
          <w:w w:val="105"/>
        </w:rPr>
        <w:t>realizaron</w:t>
      </w:r>
      <w:r>
        <w:rPr>
          <w:rFonts w:ascii="Cambria" w:hAnsi="Cambria"/>
          <w:spacing w:val="-20"/>
          <w:w w:val="105"/>
        </w:rPr>
        <w:t> </w:t>
      </w:r>
      <w:r>
        <w:rPr>
          <w:rFonts w:ascii="Cambria" w:hAnsi="Cambria"/>
          <w:w w:val="105"/>
        </w:rPr>
        <w:t>a</w:t>
      </w:r>
      <w:r>
        <w:rPr>
          <w:rFonts w:ascii="Cambria" w:hAnsi="Cambria"/>
          <w:spacing w:val="-20"/>
          <w:w w:val="105"/>
        </w:rPr>
        <w:t> </w:t>
      </w:r>
      <w:r>
        <w:rPr>
          <w:rFonts w:ascii="Cambria" w:hAnsi="Cambria"/>
          <w:w w:val="105"/>
        </w:rPr>
        <w:t>este</w:t>
      </w:r>
      <w:r>
        <w:rPr>
          <w:rFonts w:ascii="Cambria" w:hAnsi="Cambria"/>
          <w:spacing w:val="-20"/>
          <w:w w:val="105"/>
        </w:rPr>
        <w:t> </w:t>
      </w:r>
      <w:r>
        <w:rPr>
          <w:rFonts w:ascii="Cambria" w:hAnsi="Cambria"/>
          <w:w w:val="105"/>
        </w:rPr>
        <w:t>manuscrito.</w:t>
      </w:r>
    </w:p>
    <w:p>
      <w:pPr>
        <w:pStyle w:val="BodyText"/>
        <w:spacing w:before="6"/>
        <w:rPr>
          <w:rFonts w:ascii="Cambria"/>
          <w:sz w:val="25"/>
        </w:rPr>
      </w:pPr>
    </w:p>
    <w:p>
      <w:pPr>
        <w:pStyle w:val="BodyText"/>
        <w:spacing w:line="254" w:lineRule="auto"/>
        <w:ind w:left="102" w:right="197"/>
        <w:rPr>
          <w:rFonts w:ascii="Cambria" w:hAnsi="Cambria"/>
        </w:rPr>
      </w:pPr>
      <w:r>
        <w:rPr>
          <w:rFonts w:ascii="Cambria" w:hAnsi="Cambria"/>
          <w:w w:val="105"/>
        </w:rPr>
        <w:t>A Daniel Oro y todo su grupo de investigación del IMEDEA (España) y  Mike  Fowler y Rury Wilson de la Swansea University.</w:t>
      </w:r>
    </w:p>
    <w:p>
      <w:pPr>
        <w:pStyle w:val="BodyText"/>
        <w:spacing w:before="6"/>
        <w:rPr>
          <w:rFonts w:ascii="Cambria"/>
          <w:sz w:val="25"/>
        </w:rPr>
      </w:pPr>
    </w:p>
    <w:p>
      <w:pPr>
        <w:pStyle w:val="BodyText"/>
        <w:spacing w:line="508" w:lineRule="auto"/>
        <w:ind w:left="102" w:right="1262"/>
        <w:rPr>
          <w:rFonts w:ascii="Cambria" w:hAnsi="Cambria"/>
        </w:rPr>
      </w:pPr>
      <w:r>
        <w:rPr>
          <w:rFonts w:ascii="Cambria" w:hAnsi="Cambria"/>
          <w:w w:val="105"/>
        </w:rPr>
        <w:t>Al personal del Zoológico de Zacango; Jesús Frieven y Fernando Mejía. A la CEPANAF por las facilidades para el trabajo de campo en la  </w:t>
      </w:r>
      <w:r>
        <w:rPr>
          <w:rFonts w:ascii="Cambria" w:hAnsi="Cambria"/>
          <w:spacing w:val="51"/>
          <w:w w:val="105"/>
        </w:rPr>
        <w:t> </w:t>
      </w:r>
      <w:r>
        <w:rPr>
          <w:rFonts w:ascii="Cambria" w:hAnsi="Cambria"/>
          <w:w w:val="105"/>
        </w:rPr>
        <w:t>RNSN.</w:t>
      </w:r>
    </w:p>
    <w:p>
      <w:pPr>
        <w:pStyle w:val="BodyText"/>
        <w:spacing w:line="254" w:lineRule="auto" w:before="1"/>
        <w:ind w:left="102" w:right="197"/>
        <w:rPr>
          <w:rFonts w:ascii="Cambria" w:hAnsi="Cambria"/>
        </w:rPr>
      </w:pPr>
      <w:r>
        <w:rPr>
          <w:rFonts w:ascii="Cambria" w:hAnsi="Cambria"/>
          <w:w w:val="105"/>
        </w:rPr>
        <w:t>A todos los compañeros del Laboratorio de Manejo y Conservación, que con su esfuerzo, es como se pudo lograr la realización de esta tesis.</w:t>
      </w:r>
    </w:p>
    <w:p>
      <w:pPr>
        <w:pStyle w:val="BodyText"/>
        <w:spacing w:before="6"/>
        <w:rPr>
          <w:rFonts w:ascii="Cambria"/>
          <w:sz w:val="25"/>
        </w:rPr>
      </w:pPr>
    </w:p>
    <w:p>
      <w:pPr>
        <w:pStyle w:val="BodyText"/>
        <w:ind w:left="102"/>
        <w:jc w:val="both"/>
        <w:rPr>
          <w:rFonts w:ascii="Cambria"/>
        </w:rPr>
      </w:pPr>
      <w:r>
        <w:rPr>
          <w:rFonts w:ascii="Cambria"/>
          <w:w w:val="105"/>
        </w:rPr>
        <w:t>A los trabajadores de la Sierra Nanchititla.</w:t>
      </w:r>
    </w:p>
    <w:p>
      <w:pPr>
        <w:pStyle w:val="BodyText"/>
        <w:spacing w:before="9"/>
        <w:rPr>
          <w:rFonts w:ascii="Cambria"/>
          <w:sz w:val="26"/>
        </w:rPr>
      </w:pPr>
    </w:p>
    <w:p>
      <w:pPr>
        <w:pStyle w:val="BodyText"/>
        <w:spacing w:line="508" w:lineRule="auto"/>
        <w:ind w:left="102" w:right="1290"/>
        <w:rPr>
          <w:rFonts w:ascii="Cambria" w:hAnsi="Cambria"/>
        </w:rPr>
      </w:pPr>
      <w:r>
        <w:rPr>
          <w:rFonts w:ascii="Cambria" w:hAnsi="Cambria"/>
          <w:w w:val="105"/>
        </w:rPr>
        <w:t>A las familias Santander Ocampo, Fajardo Rodríguez, (Don Margarito). A mis mejores amigos: Clau*, Yuri, Hubles, Cla, Carlos, Victor,   Tam.</w:t>
      </w:r>
    </w:p>
    <w:p>
      <w:pPr>
        <w:pStyle w:val="BodyText"/>
        <w:spacing w:line="280" w:lineRule="exact"/>
        <w:ind w:left="102"/>
        <w:jc w:val="both"/>
        <w:rPr>
          <w:rFonts w:ascii="Cambria"/>
        </w:rPr>
      </w:pPr>
      <w:r>
        <w:rPr>
          <w:rFonts w:ascii="Cambria"/>
          <w:w w:val="105"/>
        </w:rPr>
        <w:t>Al CONACYT por la beca de doctorado 255820/214042.</w:t>
      </w:r>
    </w:p>
    <w:p>
      <w:pPr>
        <w:pStyle w:val="BodyText"/>
        <w:spacing w:before="1"/>
        <w:rPr>
          <w:rFonts w:ascii="Cambria"/>
          <w:sz w:val="26"/>
        </w:rPr>
      </w:pPr>
    </w:p>
    <w:p>
      <w:pPr>
        <w:pStyle w:val="BodyText"/>
        <w:spacing w:line="298" w:lineRule="exact"/>
        <w:ind w:left="102" w:right="197"/>
        <w:rPr>
          <w:rFonts w:ascii="Palatino Linotype" w:hAnsi="Palatino Linotype"/>
        </w:rPr>
      </w:pPr>
      <w:r>
        <w:rPr>
          <w:rFonts w:ascii="Cambria" w:hAnsi="Cambria"/>
        </w:rPr>
        <w:t>A todos los amigos que conocí durante el tiempo de mi  tesis  doctoral,  muchas  </w:t>
      </w:r>
      <w:r>
        <w:rPr>
          <w:rFonts w:ascii="Palatino Linotype" w:hAnsi="Palatino Linotype"/>
        </w:rPr>
        <w:t>gracias por su</w:t>
      </w:r>
      <w:r>
        <w:rPr>
          <w:rFonts w:ascii="Palatino Linotype" w:hAnsi="Palatino Linotype"/>
          <w:spacing w:val="-10"/>
        </w:rPr>
        <w:t> </w:t>
      </w:r>
      <w:r>
        <w:rPr>
          <w:rFonts w:ascii="Palatino Linotype" w:hAnsi="Palatino Linotype"/>
        </w:rPr>
        <w:t>amistad…….</w:t>
      </w:r>
    </w:p>
    <w:p>
      <w:pPr>
        <w:spacing w:after="0" w:line="298" w:lineRule="exact"/>
        <w:rPr>
          <w:rFonts w:ascii="Palatino Linotype" w:hAnsi="Palatino Linotype"/>
        </w:rPr>
        <w:sectPr>
          <w:pgSz w:w="12240" w:h="15840"/>
          <w:pgMar w:header="740" w:footer="779" w:top="960" w:bottom="960" w:left="1600" w:right="1580"/>
        </w:sect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Heading1"/>
        <w:spacing w:before="162"/>
      </w:pPr>
      <w:bookmarkStart w:name="_bookmark2" w:id="3"/>
      <w:bookmarkEnd w:id="3"/>
      <w:r>
        <w:rPr>
          <w:b w:val="0"/>
        </w:rPr>
      </w:r>
      <w:r>
        <w:rPr/>
        <w:t>RESUMEN</w:t>
      </w:r>
    </w:p>
    <w:p>
      <w:pPr>
        <w:pStyle w:val="BodyText"/>
        <w:spacing w:before="7"/>
        <w:rPr>
          <w:rFonts w:ascii="Palatino Linotype"/>
          <w:b/>
          <w:sz w:val="40"/>
        </w:rPr>
      </w:pPr>
    </w:p>
    <w:p>
      <w:pPr>
        <w:pStyle w:val="BodyText"/>
        <w:spacing w:line="504" w:lineRule="auto"/>
        <w:ind w:left="102" w:right="338" w:firstLine="707"/>
        <w:rPr>
          <w:rFonts w:ascii="Cambria" w:hAnsi="Cambria"/>
        </w:rPr>
      </w:pPr>
      <w:r>
        <w:rPr>
          <w:rFonts w:ascii="Cambria" w:hAnsi="Cambria"/>
          <w:w w:val="105"/>
        </w:rPr>
        <w:t>Los estudios de dinámicas poblacionales y demográficas, son útiles en los ecosistemas, ya que ayudan a comprender el papel ecológico y la relación que desempeñan los carnívoros y sus presas dentro de una comunidad ecológica y ayudan</w:t>
      </w:r>
      <w:r>
        <w:rPr>
          <w:rFonts w:ascii="Cambria" w:hAnsi="Cambria"/>
          <w:spacing w:val="-15"/>
          <w:w w:val="105"/>
        </w:rPr>
        <w:t> </w:t>
      </w:r>
      <w:r>
        <w:rPr>
          <w:rFonts w:ascii="Cambria" w:hAnsi="Cambria"/>
          <w:w w:val="105"/>
        </w:rPr>
        <w:t>a</w:t>
      </w:r>
      <w:r>
        <w:rPr>
          <w:rFonts w:ascii="Cambria" w:hAnsi="Cambria"/>
          <w:spacing w:val="-15"/>
          <w:w w:val="105"/>
        </w:rPr>
        <w:t> </w:t>
      </w:r>
      <w:r>
        <w:rPr>
          <w:rFonts w:ascii="Cambria" w:hAnsi="Cambria"/>
          <w:w w:val="105"/>
        </w:rPr>
        <w:t>establecer</w:t>
      </w:r>
      <w:r>
        <w:rPr>
          <w:rFonts w:ascii="Cambria" w:hAnsi="Cambria"/>
          <w:spacing w:val="-15"/>
          <w:w w:val="105"/>
        </w:rPr>
        <w:t> </w:t>
      </w:r>
      <w:r>
        <w:rPr>
          <w:rFonts w:ascii="Cambria" w:hAnsi="Cambria"/>
          <w:w w:val="105"/>
        </w:rPr>
        <w:t>estrategias</w:t>
      </w:r>
      <w:r>
        <w:rPr>
          <w:rFonts w:ascii="Cambria" w:hAnsi="Cambria"/>
          <w:spacing w:val="-15"/>
          <w:w w:val="105"/>
        </w:rPr>
        <w:t> </w:t>
      </w:r>
      <w:r>
        <w:rPr>
          <w:rFonts w:ascii="Cambria" w:hAnsi="Cambria"/>
          <w:w w:val="105"/>
        </w:rPr>
        <w:t>para</w:t>
      </w:r>
      <w:r>
        <w:rPr>
          <w:rFonts w:ascii="Cambria" w:hAnsi="Cambria"/>
          <w:spacing w:val="-15"/>
          <w:w w:val="105"/>
        </w:rPr>
        <w:t> </w:t>
      </w:r>
      <w:r>
        <w:rPr>
          <w:rFonts w:ascii="Cambria" w:hAnsi="Cambria"/>
          <w:w w:val="105"/>
        </w:rPr>
        <w:t>su</w:t>
      </w:r>
      <w:r>
        <w:rPr>
          <w:rFonts w:ascii="Cambria" w:hAnsi="Cambria"/>
          <w:spacing w:val="-15"/>
          <w:w w:val="105"/>
        </w:rPr>
        <w:t> </w:t>
      </w:r>
      <w:r>
        <w:rPr>
          <w:rFonts w:ascii="Cambria" w:hAnsi="Cambria"/>
          <w:w w:val="105"/>
        </w:rPr>
        <w:t>conservación.</w:t>
      </w:r>
      <w:r>
        <w:rPr>
          <w:rFonts w:ascii="Cambria" w:hAnsi="Cambria"/>
          <w:spacing w:val="-15"/>
          <w:w w:val="105"/>
        </w:rPr>
        <w:t> </w:t>
      </w:r>
      <w:r>
        <w:rPr>
          <w:rFonts w:ascii="Cambria" w:hAnsi="Cambria"/>
          <w:w w:val="105"/>
        </w:rPr>
        <w:t>En</w:t>
      </w:r>
      <w:r>
        <w:rPr>
          <w:rFonts w:ascii="Cambria" w:hAnsi="Cambria"/>
          <w:spacing w:val="-15"/>
          <w:w w:val="105"/>
        </w:rPr>
        <w:t> </w:t>
      </w:r>
      <w:r>
        <w:rPr>
          <w:rFonts w:ascii="Cambria" w:hAnsi="Cambria"/>
          <w:w w:val="105"/>
        </w:rPr>
        <w:t>este</w:t>
      </w:r>
      <w:r>
        <w:rPr>
          <w:rFonts w:ascii="Cambria" w:hAnsi="Cambria"/>
          <w:spacing w:val="-15"/>
          <w:w w:val="105"/>
        </w:rPr>
        <w:t> </w:t>
      </w:r>
      <w:r>
        <w:rPr>
          <w:rFonts w:ascii="Cambria" w:hAnsi="Cambria"/>
          <w:w w:val="105"/>
        </w:rPr>
        <w:t>estudio</w:t>
      </w:r>
      <w:r>
        <w:rPr>
          <w:rFonts w:ascii="Cambria" w:hAnsi="Cambria"/>
          <w:spacing w:val="-15"/>
          <w:w w:val="105"/>
        </w:rPr>
        <w:t> </w:t>
      </w:r>
      <w:r>
        <w:rPr>
          <w:rFonts w:ascii="Cambria" w:hAnsi="Cambria"/>
          <w:w w:val="105"/>
        </w:rPr>
        <w:t>se</w:t>
      </w:r>
      <w:r>
        <w:rPr>
          <w:rFonts w:ascii="Cambria" w:hAnsi="Cambria"/>
          <w:spacing w:val="-15"/>
          <w:w w:val="105"/>
        </w:rPr>
        <w:t> </w:t>
      </w:r>
      <w:r>
        <w:rPr>
          <w:rFonts w:ascii="Cambria" w:hAnsi="Cambria"/>
          <w:w w:val="105"/>
        </w:rPr>
        <w:t>estimó</w:t>
      </w:r>
      <w:r>
        <w:rPr>
          <w:rFonts w:ascii="Cambria" w:hAnsi="Cambria"/>
          <w:spacing w:val="-15"/>
          <w:w w:val="105"/>
        </w:rPr>
        <w:t> </w:t>
      </w:r>
      <w:r>
        <w:rPr>
          <w:rFonts w:ascii="Cambria" w:hAnsi="Cambria"/>
          <w:w w:val="105"/>
        </w:rPr>
        <w:t>la abundancia,</w:t>
      </w:r>
      <w:r>
        <w:rPr>
          <w:rFonts w:ascii="Cambria" w:hAnsi="Cambria"/>
          <w:spacing w:val="-4"/>
          <w:w w:val="105"/>
        </w:rPr>
        <w:t> </w:t>
      </w:r>
      <w:r>
        <w:rPr>
          <w:rFonts w:ascii="Cambria" w:hAnsi="Cambria"/>
          <w:w w:val="105"/>
        </w:rPr>
        <w:t>densidad</w:t>
      </w:r>
      <w:r>
        <w:rPr>
          <w:rFonts w:ascii="Cambria" w:hAnsi="Cambria"/>
          <w:spacing w:val="-3"/>
          <w:w w:val="105"/>
        </w:rPr>
        <w:t> </w:t>
      </w:r>
      <w:r>
        <w:rPr>
          <w:rFonts w:ascii="Cambria" w:hAnsi="Cambria"/>
          <w:w w:val="105"/>
        </w:rPr>
        <w:t>y</w:t>
      </w:r>
      <w:r>
        <w:rPr>
          <w:rFonts w:ascii="Cambria" w:hAnsi="Cambria"/>
          <w:spacing w:val="-4"/>
          <w:w w:val="105"/>
        </w:rPr>
        <w:t> </w:t>
      </w:r>
      <w:r>
        <w:rPr>
          <w:rFonts w:ascii="Cambria" w:hAnsi="Cambria"/>
          <w:w w:val="105"/>
        </w:rPr>
        <w:t>patrón</w:t>
      </w:r>
      <w:r>
        <w:rPr>
          <w:rFonts w:ascii="Cambria" w:hAnsi="Cambria"/>
          <w:spacing w:val="-4"/>
          <w:w w:val="105"/>
        </w:rPr>
        <w:t> </w:t>
      </w:r>
      <w:r>
        <w:rPr>
          <w:rFonts w:ascii="Cambria" w:hAnsi="Cambria"/>
          <w:w w:val="105"/>
        </w:rPr>
        <w:t>de</w:t>
      </w:r>
      <w:r>
        <w:rPr>
          <w:rFonts w:ascii="Cambria" w:hAnsi="Cambria"/>
          <w:spacing w:val="-4"/>
          <w:w w:val="105"/>
        </w:rPr>
        <w:t> </w:t>
      </w:r>
      <w:r>
        <w:rPr>
          <w:rFonts w:ascii="Cambria" w:hAnsi="Cambria"/>
          <w:w w:val="105"/>
        </w:rPr>
        <w:t>actividad</w:t>
      </w:r>
      <w:r>
        <w:rPr>
          <w:rFonts w:ascii="Cambria" w:hAnsi="Cambria"/>
          <w:spacing w:val="-5"/>
          <w:w w:val="105"/>
        </w:rPr>
        <w:t> </w:t>
      </w:r>
      <w:r>
        <w:rPr>
          <w:rFonts w:ascii="Cambria" w:hAnsi="Cambria"/>
          <w:w w:val="105"/>
        </w:rPr>
        <w:t>de</w:t>
      </w:r>
      <w:r>
        <w:rPr>
          <w:rFonts w:ascii="Cambria" w:hAnsi="Cambria"/>
          <w:spacing w:val="-3"/>
          <w:w w:val="105"/>
        </w:rPr>
        <w:t> </w:t>
      </w:r>
      <w:r>
        <w:rPr>
          <w:rFonts w:ascii="Palatino Linotype" w:hAnsi="Palatino Linotype"/>
          <w:i/>
          <w:w w:val="105"/>
        </w:rPr>
        <w:t>Puma</w:t>
      </w:r>
      <w:r>
        <w:rPr>
          <w:rFonts w:ascii="Palatino Linotype" w:hAnsi="Palatino Linotype"/>
          <w:i/>
          <w:spacing w:val="-13"/>
          <w:w w:val="105"/>
        </w:rPr>
        <w:t> </w:t>
      </w:r>
      <w:r>
        <w:rPr>
          <w:rFonts w:ascii="Palatino Linotype" w:hAnsi="Palatino Linotype"/>
          <w:i/>
          <w:w w:val="105"/>
        </w:rPr>
        <w:t>concolor</w:t>
      </w:r>
      <w:r>
        <w:rPr>
          <w:rFonts w:ascii="Palatino Linotype" w:hAnsi="Palatino Linotype"/>
          <w:i/>
          <w:spacing w:val="-12"/>
          <w:w w:val="105"/>
        </w:rPr>
        <w:t> </w:t>
      </w:r>
      <w:r>
        <w:rPr>
          <w:rFonts w:ascii="Cambria" w:hAnsi="Cambria"/>
          <w:w w:val="105"/>
        </w:rPr>
        <w:t>y</w:t>
      </w:r>
      <w:r>
        <w:rPr>
          <w:rFonts w:ascii="Cambria" w:hAnsi="Cambria"/>
          <w:spacing w:val="-3"/>
          <w:w w:val="105"/>
        </w:rPr>
        <w:t> </w:t>
      </w:r>
      <w:r>
        <w:rPr>
          <w:rFonts w:ascii="Cambria" w:hAnsi="Cambria"/>
          <w:w w:val="105"/>
        </w:rPr>
        <w:t>para</w:t>
      </w:r>
      <w:r>
        <w:rPr>
          <w:rFonts w:ascii="Cambria" w:hAnsi="Cambria"/>
          <w:spacing w:val="-4"/>
          <w:w w:val="105"/>
        </w:rPr>
        <w:t> </w:t>
      </w:r>
      <w:r>
        <w:rPr>
          <w:rFonts w:ascii="Cambria" w:hAnsi="Cambria"/>
          <w:w w:val="105"/>
        </w:rPr>
        <w:t>cada</w:t>
      </w:r>
      <w:r>
        <w:rPr>
          <w:rFonts w:ascii="Cambria" w:hAnsi="Cambria"/>
          <w:spacing w:val="-4"/>
          <w:w w:val="105"/>
        </w:rPr>
        <w:t> </w:t>
      </w:r>
      <w:r>
        <w:rPr>
          <w:rFonts w:ascii="Cambria" w:hAnsi="Cambria"/>
          <w:w w:val="105"/>
        </w:rPr>
        <w:t>una</w:t>
      </w:r>
      <w:r>
        <w:rPr>
          <w:rFonts w:ascii="Cambria" w:hAnsi="Cambria"/>
          <w:spacing w:val="-4"/>
          <w:w w:val="105"/>
        </w:rPr>
        <w:t> </w:t>
      </w:r>
      <w:r>
        <w:rPr>
          <w:rFonts w:ascii="Cambria" w:hAnsi="Cambria"/>
          <w:w w:val="105"/>
        </w:rPr>
        <w:t>de</w:t>
      </w:r>
    </w:p>
    <w:p>
      <w:pPr>
        <w:pStyle w:val="BodyText"/>
        <w:spacing w:line="221" w:lineRule="exact"/>
        <w:ind w:left="102"/>
        <w:rPr>
          <w:rFonts w:ascii="Cambria" w:hAnsi="Cambria"/>
        </w:rPr>
      </w:pPr>
      <w:r>
        <w:rPr>
          <w:rFonts w:ascii="Cambria" w:hAnsi="Cambria"/>
          <w:w w:val="105"/>
        </w:rPr>
        <w:t>sus presas principales (armadillo, coatí y venado) y se determino la interacción</w:t>
      </w:r>
    </w:p>
    <w:p>
      <w:pPr>
        <w:pStyle w:val="BodyText"/>
        <w:spacing w:before="11"/>
        <w:rPr>
          <w:rFonts w:ascii="Cambria"/>
          <w:sz w:val="26"/>
        </w:rPr>
      </w:pPr>
    </w:p>
    <w:p>
      <w:pPr>
        <w:pStyle w:val="BodyText"/>
        <w:spacing w:line="508" w:lineRule="auto"/>
        <w:ind w:left="102" w:right="100"/>
        <w:rPr>
          <w:rFonts w:ascii="Cambria" w:hAnsi="Cambria"/>
        </w:rPr>
      </w:pPr>
      <w:r>
        <w:rPr>
          <w:rFonts w:ascii="Cambria" w:hAnsi="Cambria"/>
          <w:w w:val="105"/>
        </w:rPr>
        <w:t>depredador-presa. También se estimo la supervivencia, emigración e inmigración para puma. La zona de estudio fue la Reserva Natural Sierra Nanchititla, ubicada en la cuenca del Balsas en el centro de México. Se utilizaron trampas cámara para obtener</w:t>
      </w:r>
      <w:r>
        <w:rPr>
          <w:rFonts w:ascii="Cambria" w:hAnsi="Cambria"/>
          <w:spacing w:val="-6"/>
          <w:w w:val="105"/>
        </w:rPr>
        <w:t> </w:t>
      </w:r>
      <w:r>
        <w:rPr>
          <w:rFonts w:ascii="Cambria" w:hAnsi="Cambria"/>
          <w:w w:val="105"/>
        </w:rPr>
        <w:t>registros</w:t>
      </w:r>
      <w:r>
        <w:rPr>
          <w:rFonts w:ascii="Cambria" w:hAnsi="Cambria"/>
          <w:spacing w:val="-7"/>
          <w:w w:val="105"/>
        </w:rPr>
        <w:t> </w:t>
      </w:r>
      <w:r>
        <w:rPr>
          <w:rFonts w:ascii="Cambria" w:hAnsi="Cambria"/>
          <w:w w:val="105"/>
        </w:rPr>
        <w:t>fotográficos</w:t>
      </w:r>
      <w:r>
        <w:rPr>
          <w:rFonts w:ascii="Cambria" w:hAnsi="Cambria"/>
          <w:spacing w:val="-7"/>
          <w:w w:val="105"/>
        </w:rPr>
        <w:t> </w:t>
      </w:r>
      <w:r>
        <w:rPr>
          <w:rFonts w:ascii="Cambria" w:hAnsi="Cambria"/>
          <w:w w:val="105"/>
        </w:rPr>
        <w:t>de</w:t>
      </w:r>
      <w:r>
        <w:rPr>
          <w:rFonts w:ascii="Cambria" w:hAnsi="Cambria"/>
          <w:spacing w:val="-7"/>
          <w:w w:val="105"/>
        </w:rPr>
        <w:t> </w:t>
      </w:r>
      <w:r>
        <w:rPr>
          <w:rFonts w:ascii="Cambria" w:hAnsi="Cambria"/>
          <w:w w:val="105"/>
        </w:rPr>
        <w:t>puma</w:t>
      </w:r>
      <w:r>
        <w:rPr>
          <w:rFonts w:ascii="Cambria" w:hAnsi="Cambria"/>
          <w:spacing w:val="-7"/>
          <w:w w:val="105"/>
        </w:rPr>
        <w:t> </w:t>
      </w:r>
      <w:r>
        <w:rPr>
          <w:rFonts w:ascii="Cambria" w:hAnsi="Cambria"/>
          <w:w w:val="105"/>
        </w:rPr>
        <w:t>y</w:t>
      </w:r>
      <w:r>
        <w:rPr>
          <w:rFonts w:ascii="Cambria" w:hAnsi="Cambria"/>
          <w:spacing w:val="-7"/>
          <w:w w:val="105"/>
        </w:rPr>
        <w:t> </w:t>
      </w:r>
      <w:r>
        <w:rPr>
          <w:rFonts w:ascii="Cambria" w:hAnsi="Cambria"/>
          <w:w w:val="105"/>
        </w:rPr>
        <w:t>cada</w:t>
      </w:r>
      <w:r>
        <w:rPr>
          <w:rFonts w:ascii="Cambria" w:hAnsi="Cambria"/>
          <w:spacing w:val="-5"/>
          <w:w w:val="105"/>
        </w:rPr>
        <w:t> </w:t>
      </w:r>
      <w:r>
        <w:rPr>
          <w:rFonts w:ascii="Cambria" w:hAnsi="Cambria"/>
          <w:w w:val="105"/>
        </w:rPr>
        <w:t>una</w:t>
      </w:r>
      <w:r>
        <w:rPr>
          <w:rFonts w:ascii="Cambria" w:hAnsi="Cambria"/>
          <w:spacing w:val="-7"/>
          <w:w w:val="105"/>
        </w:rPr>
        <w:t> </w:t>
      </w:r>
      <w:r>
        <w:rPr>
          <w:rFonts w:ascii="Cambria" w:hAnsi="Cambria"/>
          <w:w w:val="105"/>
        </w:rPr>
        <w:t>de</w:t>
      </w:r>
      <w:r>
        <w:rPr>
          <w:rFonts w:ascii="Cambria" w:hAnsi="Cambria"/>
          <w:spacing w:val="-7"/>
          <w:w w:val="105"/>
        </w:rPr>
        <w:t> </w:t>
      </w:r>
      <w:r>
        <w:rPr>
          <w:rFonts w:ascii="Cambria" w:hAnsi="Cambria"/>
          <w:w w:val="105"/>
        </w:rPr>
        <w:t>sus</w:t>
      </w:r>
      <w:r>
        <w:rPr>
          <w:rFonts w:ascii="Cambria" w:hAnsi="Cambria"/>
          <w:spacing w:val="-7"/>
          <w:w w:val="105"/>
        </w:rPr>
        <w:t> </w:t>
      </w:r>
      <w:r>
        <w:rPr>
          <w:rFonts w:ascii="Cambria" w:hAnsi="Cambria"/>
          <w:w w:val="105"/>
        </w:rPr>
        <w:t>presas.</w:t>
      </w:r>
      <w:r>
        <w:rPr>
          <w:rFonts w:ascii="Cambria" w:hAnsi="Cambria"/>
          <w:spacing w:val="-7"/>
          <w:w w:val="105"/>
        </w:rPr>
        <w:t> </w:t>
      </w:r>
      <w:r>
        <w:rPr>
          <w:rFonts w:ascii="Cambria" w:hAnsi="Cambria"/>
          <w:w w:val="105"/>
        </w:rPr>
        <w:t>La</w:t>
      </w:r>
      <w:r>
        <w:rPr>
          <w:rFonts w:ascii="Cambria" w:hAnsi="Cambria"/>
          <w:spacing w:val="-5"/>
          <w:w w:val="105"/>
        </w:rPr>
        <w:t> </w:t>
      </w:r>
      <w:r>
        <w:rPr>
          <w:rFonts w:ascii="Cambria" w:hAnsi="Cambria"/>
          <w:w w:val="105"/>
        </w:rPr>
        <w:t>abundancia</w:t>
      </w:r>
      <w:r>
        <w:rPr>
          <w:rFonts w:ascii="Cambria" w:hAnsi="Cambria"/>
          <w:spacing w:val="-7"/>
          <w:w w:val="105"/>
        </w:rPr>
        <w:t> </w:t>
      </w:r>
      <w:r>
        <w:rPr>
          <w:rFonts w:ascii="Cambria" w:hAnsi="Cambria"/>
          <w:w w:val="105"/>
        </w:rPr>
        <w:t>de puma se obtuvo con los programas MARK y CAPTURE, dando como resultado cuatro y ocho individuos, respectivamente y densidades de 2 a 6 individuos/100km</w:t>
      </w:r>
      <w:r>
        <w:rPr>
          <w:rFonts w:ascii="Cambria" w:hAnsi="Cambria"/>
          <w:w w:val="105"/>
          <w:position w:val="6"/>
          <w:sz w:val="16"/>
        </w:rPr>
        <w:t>2</w:t>
      </w:r>
      <w:r>
        <w:rPr>
          <w:rFonts w:ascii="Cambria" w:hAnsi="Cambria"/>
          <w:w w:val="105"/>
        </w:rPr>
        <w:t>, el patrón de actividad para esta especie fue nocturna. La densidad de venado fue 2 a 6.3 individuos/km</w:t>
      </w:r>
      <w:r>
        <w:rPr>
          <w:rFonts w:ascii="Cambria" w:hAnsi="Cambria"/>
          <w:w w:val="105"/>
          <w:position w:val="6"/>
          <w:sz w:val="16"/>
        </w:rPr>
        <w:t>2 </w:t>
      </w:r>
      <w:r>
        <w:rPr>
          <w:rFonts w:ascii="Cambria" w:hAnsi="Cambria"/>
          <w:w w:val="105"/>
        </w:rPr>
        <w:t>en las lluvias y de 0.8 a 12 en la sequia y con actividad principalmente diurna. Se obtuvo un índice de abundancia relativa</w:t>
      </w:r>
      <w:r>
        <w:rPr>
          <w:rFonts w:ascii="Cambria" w:hAnsi="Cambria"/>
          <w:spacing w:val="-8"/>
          <w:w w:val="105"/>
        </w:rPr>
        <w:t> </w:t>
      </w:r>
      <w:r>
        <w:rPr>
          <w:rFonts w:ascii="Cambria" w:hAnsi="Cambria"/>
          <w:w w:val="105"/>
        </w:rPr>
        <w:t>para</w:t>
      </w:r>
      <w:r>
        <w:rPr>
          <w:rFonts w:ascii="Cambria" w:hAnsi="Cambria"/>
          <w:spacing w:val="-8"/>
          <w:w w:val="105"/>
        </w:rPr>
        <w:t> </w:t>
      </w:r>
      <w:r>
        <w:rPr>
          <w:rFonts w:ascii="Cambria" w:hAnsi="Cambria"/>
          <w:w w:val="105"/>
        </w:rPr>
        <w:t>las</w:t>
      </w:r>
      <w:r>
        <w:rPr>
          <w:rFonts w:ascii="Cambria" w:hAnsi="Cambria"/>
          <w:spacing w:val="-9"/>
          <w:w w:val="105"/>
        </w:rPr>
        <w:t> </w:t>
      </w:r>
      <w:r>
        <w:rPr>
          <w:rFonts w:ascii="Cambria" w:hAnsi="Cambria"/>
          <w:w w:val="105"/>
        </w:rPr>
        <w:t>otras</w:t>
      </w:r>
      <w:r>
        <w:rPr>
          <w:rFonts w:ascii="Cambria" w:hAnsi="Cambria"/>
          <w:spacing w:val="-11"/>
          <w:w w:val="105"/>
        </w:rPr>
        <w:t> </w:t>
      </w:r>
      <w:r>
        <w:rPr>
          <w:rFonts w:ascii="Cambria" w:hAnsi="Cambria"/>
          <w:w w:val="105"/>
        </w:rPr>
        <w:t>presas,</w:t>
      </w:r>
      <w:r>
        <w:rPr>
          <w:rFonts w:ascii="Cambria" w:hAnsi="Cambria"/>
          <w:spacing w:val="-8"/>
          <w:w w:val="105"/>
        </w:rPr>
        <w:t> </w:t>
      </w:r>
      <w:r>
        <w:rPr>
          <w:rFonts w:ascii="Cambria" w:hAnsi="Cambria"/>
          <w:w w:val="105"/>
        </w:rPr>
        <w:t>siendo</w:t>
      </w:r>
      <w:r>
        <w:rPr>
          <w:rFonts w:ascii="Cambria" w:hAnsi="Cambria"/>
          <w:spacing w:val="-8"/>
          <w:w w:val="105"/>
        </w:rPr>
        <w:t> </w:t>
      </w:r>
      <w:r>
        <w:rPr>
          <w:rFonts w:ascii="Cambria" w:hAnsi="Cambria"/>
          <w:w w:val="105"/>
        </w:rPr>
        <w:t>el</w:t>
      </w:r>
      <w:r>
        <w:rPr>
          <w:rFonts w:ascii="Cambria" w:hAnsi="Cambria"/>
          <w:spacing w:val="-8"/>
          <w:w w:val="105"/>
        </w:rPr>
        <w:t> </w:t>
      </w:r>
      <w:r>
        <w:rPr>
          <w:rFonts w:ascii="Cambria" w:hAnsi="Cambria"/>
          <w:w w:val="105"/>
        </w:rPr>
        <w:t>coatí</w:t>
      </w:r>
      <w:r>
        <w:rPr>
          <w:rFonts w:ascii="Cambria" w:hAnsi="Cambria"/>
          <w:spacing w:val="-8"/>
          <w:w w:val="105"/>
        </w:rPr>
        <w:t> </w:t>
      </w:r>
      <w:r>
        <w:rPr>
          <w:rFonts w:ascii="Cambria" w:hAnsi="Cambria"/>
          <w:w w:val="105"/>
        </w:rPr>
        <w:t>el</w:t>
      </w:r>
      <w:r>
        <w:rPr>
          <w:rFonts w:ascii="Cambria" w:hAnsi="Cambria"/>
          <w:spacing w:val="-8"/>
          <w:w w:val="105"/>
        </w:rPr>
        <w:t> </w:t>
      </w:r>
      <w:r>
        <w:rPr>
          <w:rFonts w:ascii="Cambria" w:hAnsi="Cambria"/>
          <w:w w:val="105"/>
        </w:rPr>
        <w:t>más</w:t>
      </w:r>
      <w:r>
        <w:rPr>
          <w:rFonts w:ascii="Cambria" w:hAnsi="Cambria"/>
          <w:spacing w:val="-9"/>
          <w:w w:val="105"/>
        </w:rPr>
        <w:t> </w:t>
      </w:r>
      <w:r>
        <w:rPr>
          <w:rFonts w:ascii="Cambria" w:hAnsi="Cambria"/>
          <w:w w:val="105"/>
        </w:rPr>
        <w:t>abundante</w:t>
      </w:r>
      <w:r>
        <w:rPr>
          <w:rFonts w:ascii="Cambria" w:hAnsi="Cambria"/>
          <w:spacing w:val="-8"/>
          <w:w w:val="105"/>
        </w:rPr>
        <w:t> </w:t>
      </w:r>
      <w:r>
        <w:rPr>
          <w:rFonts w:ascii="Cambria" w:hAnsi="Cambria"/>
          <w:w w:val="105"/>
        </w:rPr>
        <w:t>con</w:t>
      </w:r>
      <w:r>
        <w:rPr>
          <w:rFonts w:ascii="Cambria" w:hAnsi="Cambria"/>
          <w:spacing w:val="-8"/>
          <w:w w:val="105"/>
        </w:rPr>
        <w:t> </w:t>
      </w:r>
      <w:r>
        <w:rPr>
          <w:rFonts w:ascii="Cambria" w:hAnsi="Cambria"/>
          <w:w w:val="105"/>
        </w:rPr>
        <w:t>un</w:t>
      </w:r>
      <w:r>
        <w:rPr>
          <w:rFonts w:ascii="Cambria" w:hAnsi="Cambria"/>
          <w:spacing w:val="-8"/>
          <w:w w:val="105"/>
        </w:rPr>
        <w:t> </w:t>
      </w:r>
      <w:r>
        <w:rPr>
          <w:rFonts w:ascii="Cambria" w:hAnsi="Cambria"/>
          <w:w w:val="105"/>
        </w:rPr>
        <w:t>IAR</w:t>
      </w:r>
      <w:r>
        <w:rPr>
          <w:rFonts w:ascii="Cambria" w:hAnsi="Cambria"/>
          <w:spacing w:val="-8"/>
          <w:w w:val="105"/>
        </w:rPr>
        <w:t> </w:t>
      </w:r>
      <w:r>
        <w:rPr>
          <w:rFonts w:ascii="Cambria" w:hAnsi="Cambria"/>
          <w:w w:val="105"/>
        </w:rPr>
        <w:t>de</w:t>
      </w:r>
      <w:r>
        <w:rPr>
          <w:rFonts w:ascii="Cambria" w:hAnsi="Cambria"/>
          <w:spacing w:val="-8"/>
          <w:w w:val="105"/>
        </w:rPr>
        <w:t> </w:t>
      </w:r>
      <w:r>
        <w:rPr>
          <w:rFonts w:ascii="Cambria" w:hAnsi="Cambria"/>
          <w:w w:val="105"/>
        </w:rPr>
        <w:t>1.23</w:t>
      </w:r>
      <w:r>
        <w:rPr>
          <w:rFonts w:ascii="Cambria" w:hAnsi="Cambria"/>
          <w:spacing w:val="-8"/>
          <w:w w:val="105"/>
        </w:rPr>
        <w:t> </w:t>
      </w:r>
      <w:r>
        <w:rPr>
          <w:rFonts w:ascii="Cambria" w:hAnsi="Cambria"/>
          <w:w w:val="105"/>
        </w:rPr>
        <w:t>a</w:t>
      </w:r>
    </w:p>
    <w:p>
      <w:pPr>
        <w:pStyle w:val="ListParagraph"/>
        <w:numPr>
          <w:ilvl w:val="1"/>
          <w:numId w:val="2"/>
        </w:numPr>
        <w:tabs>
          <w:tab w:pos="703" w:val="left" w:leader="none"/>
        </w:tabs>
        <w:spacing w:line="508" w:lineRule="auto" w:before="0" w:after="0"/>
        <w:ind w:left="102" w:right="256" w:firstLine="0"/>
        <w:jc w:val="left"/>
        <w:rPr>
          <w:sz w:val="24"/>
        </w:rPr>
      </w:pPr>
      <w:r>
        <w:rPr>
          <w:w w:val="105"/>
          <w:sz w:val="24"/>
        </w:rPr>
        <w:t>y patrón de actividad diurno y armadillo de 0.16 a 1.19 con actividad nocturno.</w:t>
      </w:r>
      <w:r>
        <w:rPr>
          <w:spacing w:val="-7"/>
          <w:w w:val="105"/>
          <w:sz w:val="24"/>
        </w:rPr>
        <w:t> </w:t>
      </w:r>
      <w:r>
        <w:rPr>
          <w:w w:val="105"/>
          <w:sz w:val="24"/>
        </w:rPr>
        <w:t>El</w:t>
      </w:r>
      <w:r>
        <w:rPr>
          <w:spacing w:val="-7"/>
          <w:w w:val="105"/>
          <w:sz w:val="24"/>
        </w:rPr>
        <w:t> </w:t>
      </w:r>
      <w:r>
        <w:rPr>
          <w:w w:val="105"/>
          <w:sz w:val="24"/>
        </w:rPr>
        <w:t>puma</w:t>
      </w:r>
      <w:r>
        <w:rPr>
          <w:spacing w:val="-8"/>
          <w:w w:val="105"/>
          <w:sz w:val="24"/>
        </w:rPr>
        <w:t> </w:t>
      </w:r>
      <w:r>
        <w:rPr>
          <w:w w:val="105"/>
          <w:sz w:val="24"/>
        </w:rPr>
        <w:t>mostró</w:t>
      </w:r>
      <w:r>
        <w:rPr>
          <w:spacing w:val="-7"/>
          <w:w w:val="105"/>
          <w:sz w:val="24"/>
        </w:rPr>
        <w:t> </w:t>
      </w:r>
      <w:r>
        <w:rPr>
          <w:w w:val="105"/>
          <w:sz w:val="24"/>
        </w:rPr>
        <w:t>una</w:t>
      </w:r>
      <w:r>
        <w:rPr>
          <w:spacing w:val="-7"/>
          <w:w w:val="105"/>
          <w:sz w:val="24"/>
        </w:rPr>
        <w:t> </w:t>
      </w:r>
      <w:r>
        <w:rPr>
          <w:w w:val="105"/>
          <w:sz w:val="24"/>
        </w:rPr>
        <w:t>respuesta</w:t>
      </w:r>
      <w:r>
        <w:rPr>
          <w:spacing w:val="-7"/>
          <w:w w:val="105"/>
          <w:sz w:val="24"/>
        </w:rPr>
        <w:t> </w:t>
      </w:r>
      <w:r>
        <w:rPr>
          <w:w w:val="105"/>
          <w:sz w:val="24"/>
        </w:rPr>
        <w:t>funcional</w:t>
      </w:r>
      <w:r>
        <w:rPr>
          <w:spacing w:val="-7"/>
          <w:w w:val="105"/>
          <w:sz w:val="24"/>
        </w:rPr>
        <w:t> </w:t>
      </w:r>
      <w:r>
        <w:rPr>
          <w:w w:val="105"/>
          <w:sz w:val="24"/>
        </w:rPr>
        <w:t>tipo</w:t>
      </w:r>
      <w:r>
        <w:rPr>
          <w:spacing w:val="-7"/>
          <w:w w:val="105"/>
          <w:sz w:val="24"/>
        </w:rPr>
        <w:t> </w:t>
      </w:r>
      <w:r>
        <w:rPr>
          <w:w w:val="105"/>
          <w:sz w:val="24"/>
        </w:rPr>
        <w:t>III</w:t>
      </w:r>
      <w:r>
        <w:rPr>
          <w:spacing w:val="-4"/>
          <w:w w:val="105"/>
          <w:sz w:val="24"/>
        </w:rPr>
        <w:t> </w:t>
      </w:r>
      <w:r>
        <w:rPr>
          <w:w w:val="105"/>
          <w:sz w:val="24"/>
        </w:rPr>
        <w:t>para</w:t>
      </w:r>
      <w:r>
        <w:rPr>
          <w:spacing w:val="-7"/>
          <w:w w:val="105"/>
          <w:sz w:val="24"/>
        </w:rPr>
        <w:t> </w:t>
      </w:r>
      <w:r>
        <w:rPr>
          <w:w w:val="105"/>
          <w:sz w:val="24"/>
        </w:rPr>
        <w:t>su</w:t>
      </w:r>
      <w:r>
        <w:rPr>
          <w:spacing w:val="-9"/>
          <w:w w:val="105"/>
          <w:sz w:val="24"/>
        </w:rPr>
        <w:t> </w:t>
      </w:r>
      <w:r>
        <w:rPr>
          <w:w w:val="105"/>
          <w:sz w:val="24"/>
        </w:rPr>
        <w:t>presa</w:t>
      </w:r>
      <w:r>
        <w:rPr>
          <w:spacing w:val="-7"/>
          <w:w w:val="105"/>
          <w:sz w:val="24"/>
        </w:rPr>
        <w:t> </w:t>
      </w:r>
      <w:r>
        <w:rPr>
          <w:w w:val="105"/>
          <w:sz w:val="24"/>
        </w:rPr>
        <w:t>principal (armadillo),</w:t>
      </w:r>
      <w:r>
        <w:rPr>
          <w:spacing w:val="-12"/>
          <w:w w:val="105"/>
          <w:sz w:val="24"/>
        </w:rPr>
        <w:t> </w:t>
      </w:r>
      <w:r>
        <w:rPr>
          <w:w w:val="105"/>
          <w:sz w:val="24"/>
        </w:rPr>
        <w:t>pero</w:t>
      </w:r>
      <w:r>
        <w:rPr>
          <w:spacing w:val="-12"/>
          <w:w w:val="105"/>
          <w:sz w:val="24"/>
        </w:rPr>
        <w:t> </w:t>
      </w:r>
      <w:r>
        <w:rPr>
          <w:w w:val="105"/>
          <w:sz w:val="24"/>
        </w:rPr>
        <w:t>no</w:t>
      </w:r>
      <w:r>
        <w:rPr>
          <w:spacing w:val="-12"/>
          <w:w w:val="105"/>
          <w:sz w:val="24"/>
        </w:rPr>
        <w:t> </w:t>
      </w:r>
      <w:r>
        <w:rPr>
          <w:w w:val="105"/>
          <w:sz w:val="24"/>
        </w:rPr>
        <w:t>para</w:t>
      </w:r>
      <w:r>
        <w:rPr>
          <w:spacing w:val="-12"/>
          <w:w w:val="105"/>
          <w:sz w:val="24"/>
        </w:rPr>
        <w:t> </w:t>
      </w:r>
      <w:r>
        <w:rPr>
          <w:w w:val="105"/>
          <w:sz w:val="24"/>
        </w:rPr>
        <w:t>sus</w:t>
      </w:r>
      <w:r>
        <w:rPr>
          <w:spacing w:val="-12"/>
          <w:w w:val="105"/>
          <w:sz w:val="24"/>
        </w:rPr>
        <w:t> </w:t>
      </w:r>
      <w:r>
        <w:rPr>
          <w:w w:val="105"/>
          <w:sz w:val="24"/>
        </w:rPr>
        <w:t>otras</w:t>
      </w:r>
      <w:r>
        <w:rPr>
          <w:spacing w:val="-12"/>
          <w:w w:val="105"/>
          <w:sz w:val="24"/>
        </w:rPr>
        <w:t> </w:t>
      </w:r>
      <w:r>
        <w:rPr>
          <w:w w:val="105"/>
          <w:sz w:val="24"/>
        </w:rPr>
        <w:t>dos</w:t>
      </w:r>
      <w:r>
        <w:rPr>
          <w:spacing w:val="-12"/>
          <w:w w:val="105"/>
          <w:sz w:val="24"/>
        </w:rPr>
        <w:t> </w:t>
      </w:r>
      <w:r>
        <w:rPr>
          <w:w w:val="105"/>
          <w:sz w:val="24"/>
        </w:rPr>
        <w:t>presas.</w:t>
      </w:r>
      <w:r>
        <w:rPr>
          <w:spacing w:val="-12"/>
          <w:w w:val="105"/>
          <w:sz w:val="24"/>
        </w:rPr>
        <w:t> </w:t>
      </w:r>
      <w:r>
        <w:rPr>
          <w:w w:val="105"/>
          <w:sz w:val="24"/>
        </w:rPr>
        <w:t>Los</w:t>
      </w:r>
      <w:r>
        <w:rPr>
          <w:spacing w:val="-12"/>
          <w:w w:val="105"/>
          <w:sz w:val="24"/>
        </w:rPr>
        <w:t> </w:t>
      </w:r>
      <w:r>
        <w:rPr>
          <w:w w:val="105"/>
          <w:sz w:val="24"/>
        </w:rPr>
        <w:t>modelos</w:t>
      </w:r>
      <w:r>
        <w:rPr>
          <w:spacing w:val="-12"/>
          <w:w w:val="105"/>
          <w:sz w:val="24"/>
        </w:rPr>
        <w:t> </w:t>
      </w:r>
      <w:r>
        <w:rPr>
          <w:w w:val="105"/>
          <w:sz w:val="24"/>
        </w:rPr>
        <w:t>de</w:t>
      </w:r>
      <w:r>
        <w:rPr>
          <w:spacing w:val="-12"/>
          <w:w w:val="105"/>
          <w:sz w:val="24"/>
        </w:rPr>
        <w:t> </w:t>
      </w:r>
      <w:r>
        <w:rPr>
          <w:w w:val="105"/>
          <w:sz w:val="24"/>
        </w:rPr>
        <w:t>regresión</w:t>
      </w:r>
      <w:r>
        <w:rPr>
          <w:spacing w:val="-12"/>
          <w:w w:val="105"/>
          <w:sz w:val="24"/>
        </w:rPr>
        <w:t> </w:t>
      </w:r>
      <w:r>
        <w:rPr>
          <w:w w:val="105"/>
          <w:sz w:val="24"/>
        </w:rPr>
        <w:t>múltiple</w:t>
      </w:r>
    </w:p>
    <w:p>
      <w:pPr>
        <w:spacing w:after="0" w:line="508" w:lineRule="auto"/>
        <w:jc w:val="left"/>
        <w:rPr>
          <w:sz w:val="24"/>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75"/>
        <w:rPr>
          <w:rFonts w:ascii="Cambria" w:hAnsi="Cambria"/>
        </w:rPr>
      </w:pPr>
      <w:r>
        <w:rPr>
          <w:rFonts w:ascii="Cambria" w:hAnsi="Cambria"/>
          <w:w w:val="105"/>
        </w:rPr>
        <w:t>mostraron que la abundancia de armadillo y coatí tienen un efecto significativo del 98% sobre la tasas de crecimiento de puma, lo que permitió encontrar un efecto buttom-up en esta población. Los patrones de actividad mostraron que el puma sobrepone su actividad con el de armadillo, lo que muestra porque es la presa principal. La sobrevivencia de puma fue de 100 % en los diferentes muestreos analizados y la migración e inmigración de 57 % en la primer área de muestreo, 40% en la segunda área de muestreo y de 100% en la tercera. Finalmente con los resultados de este estudio se muestra que el armadillo es una especie importante para puma y que se requiere establecer estrategias de conservación, para que las poblaciones de puma puedan mantenerse viables a largo plazo en la RNSN.</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9"/>
        <w:rPr>
          <w:rFonts w:ascii="Cambria"/>
          <w:sz w:val="20"/>
        </w:rPr>
      </w:pPr>
    </w:p>
    <w:p>
      <w:pPr>
        <w:pStyle w:val="Heading1"/>
        <w:spacing w:before="21"/>
      </w:pPr>
      <w:bookmarkStart w:name="_bookmark3" w:id="4"/>
      <w:bookmarkEnd w:id="4"/>
      <w:r>
        <w:rPr>
          <w:b w:val="0"/>
        </w:rPr>
      </w:r>
      <w:r>
        <w:rPr/>
        <w:t>ABSTRACT</w:t>
      </w:r>
    </w:p>
    <w:p>
      <w:pPr>
        <w:pStyle w:val="BodyText"/>
        <w:rPr>
          <w:rFonts w:ascii="Palatino Linotype"/>
          <w:b/>
          <w:sz w:val="28"/>
        </w:rPr>
      </w:pPr>
    </w:p>
    <w:p>
      <w:pPr>
        <w:pStyle w:val="BodyText"/>
        <w:spacing w:line="501" w:lineRule="auto" w:before="193"/>
        <w:ind w:left="102" w:right="324" w:firstLine="707"/>
        <w:rPr>
          <w:rFonts w:ascii="Palatino Linotype"/>
          <w:i/>
        </w:rPr>
      </w:pPr>
      <w:r>
        <w:rPr>
          <w:rFonts w:ascii="Cambria"/>
          <w:w w:val="105"/>
        </w:rPr>
        <w:t>Population and demographic dynamics in ecosystems are useful because they can help understand ecological role and relationship played carnivores and their prey within an ecological community and help establish conservation strategies. In this study the abundance, density and activity pattern of </w:t>
      </w:r>
      <w:r>
        <w:rPr>
          <w:rFonts w:ascii="Palatino Linotype"/>
          <w:i/>
          <w:w w:val="105"/>
        </w:rPr>
        <w:t>Puma</w:t>
      </w:r>
    </w:p>
    <w:p>
      <w:pPr>
        <w:pStyle w:val="BodyText"/>
        <w:spacing w:line="245" w:lineRule="exact"/>
        <w:ind w:left="102"/>
        <w:rPr>
          <w:rFonts w:ascii="Cambria"/>
        </w:rPr>
      </w:pPr>
      <w:r>
        <w:rPr>
          <w:rFonts w:ascii="Palatino Linotype"/>
          <w:i/>
          <w:w w:val="105"/>
        </w:rPr>
        <w:t>concolor </w:t>
      </w:r>
      <w:r>
        <w:rPr>
          <w:rFonts w:ascii="Cambria"/>
          <w:w w:val="105"/>
        </w:rPr>
        <w:t>and its main prey was estimated (armadillo, coati and white tailed deer)</w:t>
      </w:r>
    </w:p>
    <w:p>
      <w:pPr>
        <w:pStyle w:val="BodyText"/>
        <w:spacing w:before="2"/>
        <w:rPr>
          <w:rFonts w:ascii="Cambria"/>
          <w:sz w:val="25"/>
        </w:rPr>
      </w:pPr>
    </w:p>
    <w:p>
      <w:pPr>
        <w:pStyle w:val="BodyText"/>
        <w:spacing w:line="508" w:lineRule="auto"/>
        <w:ind w:left="102" w:right="145"/>
        <w:rPr>
          <w:rFonts w:ascii="Cambria"/>
        </w:rPr>
      </w:pPr>
      <w:r>
        <w:rPr>
          <w:rFonts w:ascii="Cambria"/>
          <w:w w:val="105"/>
        </w:rPr>
        <w:t>and predator-prey interaction was estimated. Survival, emigration and immigration of cougar were estimated too. The study area was the Sierra Nanchititla Natural Reserve, located in the Balsas Basin in Central Mexico. Camera traps were used to obtained photographic records of cougar and their prey. The abundance of cougar was obtained with MARK and CAPTURE programs,   resulting four and eight individuals, respectively, and densities of 2 to 6 individuals/100 km</w:t>
      </w:r>
      <w:r>
        <w:rPr>
          <w:rFonts w:ascii="Cambria"/>
          <w:w w:val="105"/>
          <w:position w:val="6"/>
          <w:sz w:val="16"/>
        </w:rPr>
        <w:t>2</w:t>
      </w:r>
      <w:r>
        <w:rPr>
          <w:rFonts w:ascii="Cambria"/>
          <w:w w:val="105"/>
        </w:rPr>
        <w:t>, and the activity pattern for this specie was nocturnal. Deer density</w:t>
      </w:r>
      <w:r>
        <w:rPr>
          <w:rFonts w:ascii="Cambria"/>
          <w:spacing w:val="-8"/>
          <w:w w:val="105"/>
        </w:rPr>
        <w:t> </w:t>
      </w:r>
      <w:r>
        <w:rPr>
          <w:rFonts w:ascii="Cambria"/>
          <w:w w:val="105"/>
        </w:rPr>
        <w:t>was</w:t>
      </w:r>
      <w:r>
        <w:rPr>
          <w:rFonts w:ascii="Cambria"/>
          <w:spacing w:val="-9"/>
          <w:w w:val="105"/>
        </w:rPr>
        <w:t> </w:t>
      </w:r>
      <w:r>
        <w:rPr>
          <w:rFonts w:ascii="Cambria"/>
          <w:w w:val="105"/>
        </w:rPr>
        <w:t>2</w:t>
      </w:r>
      <w:r>
        <w:rPr>
          <w:rFonts w:ascii="Cambria"/>
          <w:spacing w:val="-8"/>
          <w:w w:val="105"/>
        </w:rPr>
        <w:t> </w:t>
      </w:r>
      <w:r>
        <w:rPr>
          <w:rFonts w:ascii="Cambria"/>
          <w:w w:val="105"/>
        </w:rPr>
        <w:t>to</w:t>
      </w:r>
      <w:r>
        <w:rPr>
          <w:rFonts w:ascii="Cambria"/>
          <w:spacing w:val="-8"/>
          <w:w w:val="105"/>
        </w:rPr>
        <w:t> </w:t>
      </w:r>
      <w:r>
        <w:rPr>
          <w:rFonts w:ascii="Cambria"/>
          <w:w w:val="105"/>
        </w:rPr>
        <w:t>6.3</w:t>
      </w:r>
      <w:r>
        <w:rPr>
          <w:rFonts w:ascii="Cambria"/>
          <w:spacing w:val="-8"/>
          <w:w w:val="105"/>
        </w:rPr>
        <w:t> </w:t>
      </w:r>
      <w:r>
        <w:rPr>
          <w:rFonts w:ascii="Cambria"/>
          <w:w w:val="105"/>
        </w:rPr>
        <w:t>individuals/km</w:t>
      </w:r>
      <w:r>
        <w:rPr>
          <w:rFonts w:ascii="Cambria"/>
          <w:w w:val="105"/>
          <w:position w:val="6"/>
          <w:sz w:val="16"/>
        </w:rPr>
        <w:t>2</w:t>
      </w:r>
      <w:r>
        <w:rPr>
          <w:rFonts w:ascii="Cambria"/>
          <w:spacing w:val="11"/>
          <w:w w:val="105"/>
          <w:position w:val="6"/>
          <w:sz w:val="16"/>
        </w:rPr>
        <w:t> </w:t>
      </w:r>
      <w:r>
        <w:rPr>
          <w:rFonts w:ascii="Cambria"/>
          <w:w w:val="105"/>
        </w:rPr>
        <w:t>in</w:t>
      </w:r>
      <w:r>
        <w:rPr>
          <w:rFonts w:ascii="Cambria"/>
          <w:spacing w:val="-9"/>
          <w:w w:val="105"/>
        </w:rPr>
        <w:t> </w:t>
      </w:r>
      <w:r>
        <w:rPr>
          <w:rFonts w:ascii="Cambria"/>
          <w:w w:val="105"/>
        </w:rPr>
        <w:t>wet</w:t>
      </w:r>
      <w:r>
        <w:rPr>
          <w:rFonts w:ascii="Cambria"/>
          <w:spacing w:val="-7"/>
          <w:w w:val="105"/>
        </w:rPr>
        <w:t> </w:t>
      </w:r>
      <w:r>
        <w:rPr>
          <w:rFonts w:ascii="Cambria"/>
          <w:w w:val="105"/>
        </w:rPr>
        <w:t>station</w:t>
      </w:r>
      <w:r>
        <w:rPr>
          <w:rFonts w:ascii="Cambria"/>
          <w:spacing w:val="-8"/>
          <w:w w:val="105"/>
        </w:rPr>
        <w:t> </w:t>
      </w:r>
      <w:r>
        <w:rPr>
          <w:rFonts w:ascii="Cambria"/>
          <w:w w:val="105"/>
        </w:rPr>
        <w:t>and</w:t>
      </w:r>
      <w:r>
        <w:rPr>
          <w:rFonts w:ascii="Cambria"/>
          <w:spacing w:val="-8"/>
          <w:w w:val="105"/>
        </w:rPr>
        <w:t> </w:t>
      </w:r>
      <w:r>
        <w:rPr>
          <w:rFonts w:ascii="Cambria"/>
          <w:w w:val="105"/>
        </w:rPr>
        <w:t>0.8</w:t>
      </w:r>
      <w:r>
        <w:rPr>
          <w:rFonts w:ascii="Cambria"/>
          <w:spacing w:val="-8"/>
          <w:w w:val="105"/>
        </w:rPr>
        <w:t> </w:t>
      </w:r>
      <w:r>
        <w:rPr>
          <w:rFonts w:ascii="Cambria"/>
          <w:w w:val="105"/>
        </w:rPr>
        <w:t>to</w:t>
      </w:r>
      <w:r>
        <w:rPr>
          <w:rFonts w:ascii="Cambria"/>
          <w:spacing w:val="-7"/>
          <w:w w:val="105"/>
        </w:rPr>
        <w:t> </w:t>
      </w:r>
      <w:r>
        <w:rPr>
          <w:rFonts w:ascii="Cambria"/>
          <w:w w:val="105"/>
        </w:rPr>
        <w:t>12</w:t>
      </w:r>
      <w:r>
        <w:rPr>
          <w:rFonts w:ascii="Cambria"/>
          <w:spacing w:val="-8"/>
          <w:w w:val="105"/>
        </w:rPr>
        <w:t> </w:t>
      </w:r>
      <w:r>
        <w:rPr>
          <w:rFonts w:ascii="Cambria"/>
          <w:w w:val="105"/>
        </w:rPr>
        <w:t>in</w:t>
      </w:r>
      <w:r>
        <w:rPr>
          <w:rFonts w:ascii="Cambria"/>
          <w:spacing w:val="-10"/>
          <w:w w:val="105"/>
        </w:rPr>
        <w:t> </w:t>
      </w:r>
      <w:r>
        <w:rPr>
          <w:rFonts w:ascii="Cambria"/>
          <w:w w:val="105"/>
        </w:rPr>
        <w:t>the</w:t>
      </w:r>
      <w:r>
        <w:rPr>
          <w:rFonts w:ascii="Cambria"/>
          <w:spacing w:val="-8"/>
          <w:w w:val="105"/>
        </w:rPr>
        <w:t> </w:t>
      </w:r>
      <w:r>
        <w:rPr>
          <w:rFonts w:ascii="Cambria"/>
          <w:w w:val="105"/>
        </w:rPr>
        <w:t>dry</w:t>
      </w:r>
      <w:r>
        <w:rPr>
          <w:rFonts w:ascii="Cambria"/>
          <w:spacing w:val="-8"/>
          <w:w w:val="105"/>
        </w:rPr>
        <w:t> </w:t>
      </w:r>
      <w:r>
        <w:rPr>
          <w:rFonts w:ascii="Cambria"/>
          <w:w w:val="105"/>
        </w:rPr>
        <w:t>station and its activity was mainly diurnal. A relative abundance index (RAI) was obtained for other prey; coati was the most abundant with RAI 1.23 to 10.95 and diurnal activity and armadillo of 0.16 to 1.19 with night activity. Cougar showed a type III functional response for its main prey (armadillo), but not for other two preys. Multiple regression models showed that abundance of coati and armadillo have</w:t>
      </w:r>
      <w:r>
        <w:rPr>
          <w:rFonts w:ascii="Cambria"/>
          <w:spacing w:val="-14"/>
          <w:w w:val="105"/>
        </w:rPr>
        <w:t> </w:t>
      </w:r>
      <w:r>
        <w:rPr>
          <w:rFonts w:ascii="Cambria"/>
          <w:w w:val="105"/>
        </w:rPr>
        <w:t>a</w:t>
      </w:r>
      <w:r>
        <w:rPr>
          <w:rFonts w:ascii="Cambria"/>
          <w:spacing w:val="-14"/>
          <w:w w:val="105"/>
        </w:rPr>
        <w:t> </w:t>
      </w:r>
      <w:r>
        <w:rPr>
          <w:rFonts w:ascii="Cambria"/>
          <w:w w:val="105"/>
        </w:rPr>
        <w:t>significant</w:t>
      </w:r>
      <w:r>
        <w:rPr>
          <w:rFonts w:ascii="Cambria"/>
          <w:spacing w:val="-14"/>
          <w:w w:val="105"/>
        </w:rPr>
        <w:t> </w:t>
      </w:r>
      <w:r>
        <w:rPr>
          <w:rFonts w:ascii="Cambria"/>
          <w:w w:val="105"/>
        </w:rPr>
        <w:t>effect</w:t>
      </w:r>
      <w:r>
        <w:rPr>
          <w:rFonts w:ascii="Cambria"/>
          <w:spacing w:val="-14"/>
          <w:w w:val="105"/>
        </w:rPr>
        <w:t> </w:t>
      </w:r>
      <w:r>
        <w:rPr>
          <w:rFonts w:ascii="Cambria"/>
          <w:w w:val="105"/>
        </w:rPr>
        <w:t>(98%)</w:t>
      </w:r>
      <w:r>
        <w:rPr>
          <w:rFonts w:ascii="Cambria"/>
          <w:spacing w:val="-14"/>
          <w:w w:val="105"/>
        </w:rPr>
        <w:t> </w:t>
      </w:r>
      <w:r>
        <w:rPr>
          <w:rFonts w:ascii="Cambria"/>
          <w:w w:val="105"/>
        </w:rPr>
        <w:t>over</w:t>
      </w:r>
      <w:r>
        <w:rPr>
          <w:rFonts w:ascii="Cambria"/>
          <w:spacing w:val="-15"/>
          <w:w w:val="105"/>
        </w:rPr>
        <w:t> </w:t>
      </w:r>
      <w:r>
        <w:rPr>
          <w:rFonts w:ascii="Cambria"/>
          <w:w w:val="105"/>
        </w:rPr>
        <w:t>growth</w:t>
      </w:r>
      <w:r>
        <w:rPr>
          <w:rFonts w:ascii="Cambria"/>
          <w:spacing w:val="-14"/>
          <w:w w:val="105"/>
        </w:rPr>
        <w:t> </w:t>
      </w:r>
      <w:r>
        <w:rPr>
          <w:rFonts w:ascii="Cambria"/>
          <w:w w:val="105"/>
        </w:rPr>
        <w:t>rates</w:t>
      </w:r>
      <w:r>
        <w:rPr>
          <w:rFonts w:ascii="Cambria"/>
          <w:spacing w:val="-14"/>
          <w:w w:val="105"/>
        </w:rPr>
        <w:t> </w:t>
      </w:r>
      <w:r>
        <w:rPr>
          <w:rFonts w:ascii="Cambria"/>
          <w:w w:val="105"/>
        </w:rPr>
        <w:t>cougar,</w:t>
      </w:r>
      <w:r>
        <w:rPr>
          <w:rFonts w:ascii="Cambria"/>
          <w:spacing w:val="-14"/>
          <w:w w:val="105"/>
        </w:rPr>
        <w:t> </w:t>
      </w:r>
      <w:r>
        <w:rPr>
          <w:rFonts w:ascii="Cambria"/>
          <w:w w:val="105"/>
        </w:rPr>
        <w:t>allowing</w:t>
      </w:r>
      <w:r>
        <w:rPr>
          <w:rFonts w:ascii="Cambria"/>
          <w:spacing w:val="-14"/>
          <w:w w:val="105"/>
        </w:rPr>
        <w:t> </w:t>
      </w:r>
      <w:r>
        <w:rPr>
          <w:rFonts w:ascii="Cambria"/>
          <w:w w:val="105"/>
        </w:rPr>
        <w:t>a</w:t>
      </w:r>
      <w:r>
        <w:rPr>
          <w:rFonts w:ascii="Cambria"/>
          <w:spacing w:val="-15"/>
          <w:w w:val="105"/>
        </w:rPr>
        <w:t> </w:t>
      </w:r>
      <w:r>
        <w:rPr>
          <w:rFonts w:ascii="Cambria"/>
          <w:w w:val="105"/>
        </w:rPr>
        <w:t>buttom-up</w:t>
      </w:r>
    </w:p>
    <w:p>
      <w:pPr>
        <w:spacing w:after="0" w:line="508" w:lineRule="auto"/>
        <w:rPr>
          <w:rFonts w:asci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81"/>
        <w:rPr>
          <w:rFonts w:ascii="Cambria"/>
        </w:rPr>
      </w:pPr>
      <w:r>
        <w:rPr>
          <w:rFonts w:ascii="Cambria"/>
          <w:w w:val="105"/>
        </w:rPr>
        <w:t>effect in this population. Activity patterns showed that cougar activity overlaps with the armadillo, which shows it is the main prey. Cougars survival was 100% in the different samples analyzed and migration and immigration was of 57 % in the first sampling area, 40 % in the second sampling area and 100 % in the third.</w:t>
      </w:r>
    </w:p>
    <w:p>
      <w:pPr>
        <w:pStyle w:val="BodyText"/>
        <w:spacing w:line="508" w:lineRule="auto" w:before="1"/>
        <w:ind w:left="102" w:right="671"/>
        <w:jc w:val="both"/>
        <w:rPr>
          <w:rFonts w:ascii="Cambria"/>
        </w:rPr>
      </w:pPr>
      <w:r>
        <w:rPr>
          <w:rFonts w:ascii="Cambria"/>
        </w:rPr>
        <w:t>Finally the results of this study show that armadillo is important specie and is necessary establishing conservation strategies for cougar population and their prey.  This can  remain the  populations in the  long  term,  in SNNR.</w:t>
      </w:r>
    </w:p>
    <w:p>
      <w:pPr>
        <w:spacing w:after="0" w:line="508" w:lineRule="auto"/>
        <w:jc w:val="both"/>
        <w:rPr>
          <w:rFonts w:ascii="Cambria"/>
        </w:rPr>
        <w:sectPr>
          <w:pgSz w:w="12240" w:h="15840"/>
          <w:pgMar w:header="740" w:footer="779" w:top="960" w:bottom="960" w:left="1600" w:right="1600"/>
        </w:sectPr>
      </w:pPr>
    </w:p>
    <w:p>
      <w:pPr>
        <w:pStyle w:val="BodyText"/>
        <w:rPr>
          <w:rFonts w:ascii="Cambria"/>
          <w:sz w:val="20"/>
        </w:rPr>
      </w:pPr>
    </w:p>
    <w:p>
      <w:pPr>
        <w:pStyle w:val="Heading1"/>
        <w:spacing w:before="188"/>
      </w:pPr>
      <w:bookmarkStart w:name="_bookmark4" w:id="5"/>
      <w:bookmarkEnd w:id="5"/>
      <w:r>
        <w:rPr>
          <w:b w:val="0"/>
        </w:rPr>
      </w:r>
      <w:r>
        <w:rPr/>
        <w:t>INTRODUCCIÓN GENERAL</w:t>
      </w:r>
    </w:p>
    <w:p>
      <w:pPr>
        <w:pStyle w:val="BodyText"/>
        <w:spacing w:before="10"/>
        <w:rPr>
          <w:rFonts w:ascii="Palatino Linotype"/>
          <w:b/>
          <w:sz w:val="40"/>
        </w:rPr>
      </w:pPr>
    </w:p>
    <w:p>
      <w:pPr>
        <w:pStyle w:val="BodyText"/>
        <w:ind w:left="102" w:firstLine="707"/>
        <w:rPr>
          <w:rFonts w:ascii="Cambria" w:hAnsi="Cambria"/>
        </w:rPr>
      </w:pPr>
      <w:r>
        <w:rPr>
          <w:rFonts w:ascii="Cambria" w:hAnsi="Cambria"/>
          <w:w w:val="105"/>
        </w:rPr>
        <w:t>La conservación del puma (</w:t>
      </w:r>
      <w:r>
        <w:rPr>
          <w:rFonts w:ascii="Palatino Linotype" w:hAnsi="Palatino Linotype"/>
          <w:i/>
          <w:w w:val="105"/>
        </w:rPr>
        <w:t>Puma concolor</w:t>
      </w:r>
      <w:r>
        <w:rPr>
          <w:rFonts w:ascii="Cambria" w:hAnsi="Cambria"/>
          <w:w w:val="105"/>
        </w:rPr>
        <w:t>) es de gran prioridad para la</w:t>
      </w:r>
    </w:p>
    <w:p>
      <w:pPr>
        <w:pStyle w:val="BodyText"/>
        <w:spacing w:before="4"/>
        <w:rPr>
          <w:rFonts w:ascii="Cambria"/>
          <w:sz w:val="25"/>
        </w:rPr>
      </w:pPr>
    </w:p>
    <w:p>
      <w:pPr>
        <w:pStyle w:val="BodyText"/>
        <w:spacing w:line="501" w:lineRule="auto"/>
        <w:ind w:left="102" w:right="338"/>
        <w:rPr>
          <w:rFonts w:ascii="Cambria" w:hAnsi="Cambria"/>
        </w:rPr>
      </w:pPr>
      <w:r>
        <w:rPr>
          <w:rFonts w:ascii="Cambria" w:hAnsi="Cambria"/>
        </w:rPr>
        <w:t>conservación de los ecosistemas donde se distribuyen, debido a que es considerado como especie sombrilla, lo que implica que con su conservación se  pueda favorecer    a especies que se encuentran por debajo de su cadena trófica como sus presas (Gittleman</w:t>
      </w:r>
      <w:r>
        <w:rPr>
          <w:rFonts w:ascii="Cambria" w:hAnsi="Cambria"/>
          <w:spacing w:val="21"/>
        </w:rPr>
        <w:t> </w:t>
      </w:r>
      <w:r>
        <w:rPr>
          <w:rFonts w:ascii="Palatino Linotype" w:hAnsi="Palatino Linotype"/>
          <w:i/>
        </w:rPr>
        <w:t>et</w:t>
      </w:r>
      <w:r>
        <w:rPr>
          <w:rFonts w:ascii="Palatino Linotype" w:hAnsi="Palatino Linotype"/>
          <w:i/>
          <w:spacing w:val="14"/>
        </w:rPr>
        <w:t> </w:t>
      </w:r>
      <w:r>
        <w:rPr>
          <w:rFonts w:ascii="Palatino Linotype" w:hAnsi="Palatino Linotype"/>
          <w:i/>
        </w:rPr>
        <w:t>al.</w:t>
      </w:r>
      <w:r>
        <w:rPr>
          <w:rFonts w:ascii="Palatino Linotype" w:hAnsi="Palatino Linotype"/>
          <w:i/>
          <w:spacing w:val="14"/>
        </w:rPr>
        <w:t> </w:t>
      </w:r>
      <w:r>
        <w:rPr>
          <w:rFonts w:ascii="Cambria" w:hAnsi="Cambria"/>
        </w:rPr>
        <w:t>2001).</w:t>
      </w:r>
      <w:r>
        <w:rPr>
          <w:rFonts w:ascii="Cambria" w:hAnsi="Cambria"/>
          <w:spacing w:val="24"/>
        </w:rPr>
        <w:t> </w:t>
      </w:r>
      <w:r>
        <w:rPr>
          <w:rFonts w:ascii="Cambria" w:hAnsi="Cambria"/>
        </w:rPr>
        <w:t>Sin</w:t>
      </w:r>
      <w:r>
        <w:rPr>
          <w:rFonts w:ascii="Cambria" w:hAnsi="Cambria"/>
          <w:spacing w:val="20"/>
        </w:rPr>
        <w:t> </w:t>
      </w:r>
      <w:r>
        <w:rPr>
          <w:rFonts w:ascii="Cambria" w:hAnsi="Cambria"/>
        </w:rPr>
        <w:t>embargo</w:t>
      </w:r>
      <w:r>
        <w:rPr>
          <w:rFonts w:ascii="Cambria" w:hAnsi="Cambria"/>
          <w:spacing w:val="21"/>
        </w:rPr>
        <w:t> </w:t>
      </w:r>
      <w:r>
        <w:rPr>
          <w:rFonts w:ascii="Cambria" w:hAnsi="Cambria"/>
        </w:rPr>
        <w:t>a</w:t>
      </w:r>
      <w:r>
        <w:rPr>
          <w:rFonts w:ascii="Cambria" w:hAnsi="Cambria"/>
          <w:spacing w:val="21"/>
        </w:rPr>
        <w:t> </w:t>
      </w:r>
      <w:r>
        <w:rPr>
          <w:rFonts w:ascii="Cambria" w:hAnsi="Cambria"/>
        </w:rPr>
        <w:t>nivel</w:t>
      </w:r>
      <w:r>
        <w:rPr>
          <w:rFonts w:ascii="Cambria" w:hAnsi="Cambria"/>
          <w:spacing w:val="21"/>
        </w:rPr>
        <w:t> </w:t>
      </w:r>
      <w:r>
        <w:rPr>
          <w:rFonts w:ascii="Cambria" w:hAnsi="Cambria"/>
        </w:rPr>
        <w:t>mundial</w:t>
      </w:r>
      <w:r>
        <w:rPr>
          <w:rFonts w:ascii="Cambria" w:hAnsi="Cambria"/>
          <w:spacing w:val="21"/>
        </w:rPr>
        <w:t> </w:t>
      </w:r>
      <w:r>
        <w:rPr>
          <w:rFonts w:ascii="Cambria" w:hAnsi="Cambria"/>
        </w:rPr>
        <w:t>se</w:t>
      </w:r>
      <w:r>
        <w:rPr>
          <w:rFonts w:ascii="Cambria" w:hAnsi="Cambria"/>
          <w:spacing w:val="21"/>
        </w:rPr>
        <w:t> </w:t>
      </w:r>
      <w:r>
        <w:rPr>
          <w:rFonts w:ascii="Cambria" w:hAnsi="Cambria"/>
        </w:rPr>
        <w:t>ha</w:t>
      </w:r>
      <w:r>
        <w:rPr>
          <w:rFonts w:ascii="Cambria" w:hAnsi="Cambria"/>
          <w:spacing w:val="21"/>
        </w:rPr>
        <w:t> </w:t>
      </w:r>
      <w:r>
        <w:rPr>
          <w:rFonts w:ascii="Cambria" w:hAnsi="Cambria"/>
        </w:rPr>
        <w:t>documentado</w:t>
      </w:r>
      <w:r>
        <w:rPr>
          <w:rFonts w:ascii="Cambria" w:hAnsi="Cambria"/>
          <w:spacing w:val="21"/>
        </w:rPr>
        <w:t> </w:t>
      </w:r>
      <w:r>
        <w:rPr>
          <w:rFonts w:ascii="Cambria" w:hAnsi="Cambria"/>
        </w:rPr>
        <w:t>que</w:t>
      </w:r>
      <w:r>
        <w:rPr>
          <w:rFonts w:ascii="Cambria" w:hAnsi="Cambria"/>
          <w:spacing w:val="21"/>
        </w:rPr>
        <w:t> </w:t>
      </w:r>
      <w:r>
        <w:rPr>
          <w:rFonts w:ascii="Cambria" w:hAnsi="Cambria"/>
        </w:rPr>
        <w:t>las</w:t>
      </w:r>
    </w:p>
    <w:p>
      <w:pPr>
        <w:pStyle w:val="BodyText"/>
        <w:spacing w:line="227" w:lineRule="exact"/>
        <w:ind w:left="102"/>
        <w:rPr>
          <w:rFonts w:ascii="Cambria" w:hAnsi="Cambria"/>
        </w:rPr>
      </w:pPr>
      <w:r>
        <w:rPr>
          <w:rFonts w:ascii="Cambria" w:hAnsi="Cambria"/>
        </w:rPr>
        <w:t>poblaciones de este felino han disminuido drásticamente, debido a tres causas</w:t>
      </w:r>
    </w:p>
    <w:p>
      <w:pPr>
        <w:pStyle w:val="BodyText"/>
        <w:spacing w:before="9"/>
        <w:rPr>
          <w:rFonts w:ascii="Cambria"/>
          <w:sz w:val="26"/>
        </w:rPr>
      </w:pPr>
    </w:p>
    <w:p>
      <w:pPr>
        <w:pStyle w:val="BodyText"/>
        <w:spacing w:line="508" w:lineRule="auto"/>
        <w:ind w:left="102" w:right="152"/>
        <w:rPr>
          <w:rFonts w:ascii="Cambria" w:hAnsi="Cambria"/>
        </w:rPr>
      </w:pPr>
      <w:r>
        <w:rPr>
          <w:rFonts w:ascii="Cambria" w:hAnsi="Cambria"/>
          <w:w w:val="105"/>
        </w:rPr>
        <w:t>principalmente;</w:t>
      </w:r>
      <w:r>
        <w:rPr>
          <w:rFonts w:ascii="Cambria" w:hAnsi="Cambria"/>
          <w:spacing w:val="-10"/>
          <w:w w:val="105"/>
        </w:rPr>
        <w:t> </w:t>
      </w:r>
      <w:r>
        <w:rPr>
          <w:rFonts w:ascii="Cambria" w:hAnsi="Cambria"/>
          <w:w w:val="105"/>
        </w:rPr>
        <w:t>la</w:t>
      </w:r>
      <w:r>
        <w:rPr>
          <w:rFonts w:ascii="Cambria" w:hAnsi="Cambria"/>
          <w:spacing w:val="-10"/>
          <w:w w:val="105"/>
        </w:rPr>
        <w:t> </w:t>
      </w:r>
      <w:r>
        <w:rPr>
          <w:rFonts w:ascii="Cambria" w:hAnsi="Cambria"/>
          <w:w w:val="105"/>
        </w:rPr>
        <w:t>fragmentación</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su</w:t>
      </w:r>
      <w:r>
        <w:rPr>
          <w:rFonts w:ascii="Cambria" w:hAnsi="Cambria"/>
          <w:spacing w:val="-11"/>
          <w:w w:val="105"/>
        </w:rPr>
        <w:t> </w:t>
      </w:r>
      <w:r>
        <w:rPr>
          <w:rFonts w:ascii="Cambria" w:hAnsi="Cambria"/>
          <w:w w:val="105"/>
        </w:rPr>
        <w:t>hábitat</w:t>
      </w:r>
      <w:r>
        <w:rPr>
          <w:rFonts w:ascii="Cambria" w:hAnsi="Cambria"/>
          <w:spacing w:val="-8"/>
          <w:w w:val="105"/>
        </w:rPr>
        <w:t> </w:t>
      </w:r>
      <w:r>
        <w:rPr>
          <w:rFonts w:ascii="Cambria" w:hAnsi="Cambria"/>
          <w:w w:val="105"/>
        </w:rPr>
        <w:t>por</w:t>
      </w:r>
      <w:r>
        <w:rPr>
          <w:rFonts w:ascii="Cambria" w:hAnsi="Cambria"/>
          <w:spacing w:val="-10"/>
          <w:w w:val="105"/>
        </w:rPr>
        <w:t> </w:t>
      </w:r>
      <w:r>
        <w:rPr>
          <w:rFonts w:ascii="Cambria" w:hAnsi="Cambria"/>
          <w:w w:val="105"/>
        </w:rPr>
        <w:t>la</w:t>
      </w:r>
      <w:r>
        <w:rPr>
          <w:rFonts w:ascii="Cambria" w:hAnsi="Cambria"/>
          <w:spacing w:val="-10"/>
          <w:w w:val="105"/>
        </w:rPr>
        <w:t> </w:t>
      </w:r>
      <w:r>
        <w:rPr>
          <w:rFonts w:ascii="Cambria" w:hAnsi="Cambria"/>
          <w:w w:val="105"/>
        </w:rPr>
        <w:t>expansión</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zonas</w:t>
      </w:r>
      <w:r>
        <w:rPr>
          <w:rFonts w:ascii="Cambria" w:hAnsi="Cambria"/>
          <w:spacing w:val="-12"/>
          <w:w w:val="105"/>
        </w:rPr>
        <w:t> </w:t>
      </w:r>
      <w:r>
        <w:rPr>
          <w:rFonts w:ascii="Cambria" w:hAnsi="Cambria"/>
          <w:w w:val="105"/>
        </w:rPr>
        <w:t>agrícolas y ganaderas, la disminución de sus presas naturales por cacería humana y por el conflicto que tienen con los ganaderos (Sunquist y Sunquist 2002). Por lo que es urgente estimar aspectos demográficos sobre sus poblaciones, para tener argumentos</w:t>
      </w:r>
      <w:r>
        <w:rPr>
          <w:rFonts w:ascii="Cambria" w:hAnsi="Cambria"/>
          <w:spacing w:val="-15"/>
          <w:w w:val="105"/>
        </w:rPr>
        <w:t> </w:t>
      </w:r>
      <w:r>
        <w:rPr>
          <w:rFonts w:ascii="Cambria" w:hAnsi="Cambria"/>
          <w:w w:val="105"/>
        </w:rPr>
        <w:t>suficientes</w:t>
      </w:r>
      <w:r>
        <w:rPr>
          <w:rFonts w:ascii="Cambria" w:hAnsi="Cambria"/>
          <w:spacing w:val="-13"/>
          <w:w w:val="105"/>
        </w:rPr>
        <w:t> </w:t>
      </w:r>
      <w:r>
        <w:rPr>
          <w:rFonts w:ascii="Cambria" w:hAnsi="Cambria"/>
          <w:w w:val="105"/>
        </w:rPr>
        <w:t>y</w:t>
      </w:r>
      <w:r>
        <w:rPr>
          <w:rFonts w:ascii="Cambria" w:hAnsi="Cambria"/>
          <w:spacing w:val="-14"/>
          <w:w w:val="105"/>
        </w:rPr>
        <w:t> </w:t>
      </w:r>
      <w:r>
        <w:rPr>
          <w:rFonts w:ascii="Cambria" w:hAnsi="Cambria"/>
          <w:w w:val="105"/>
        </w:rPr>
        <w:t>generar</w:t>
      </w:r>
      <w:r>
        <w:rPr>
          <w:rFonts w:ascii="Cambria" w:hAnsi="Cambria"/>
          <w:spacing w:val="-13"/>
          <w:w w:val="105"/>
        </w:rPr>
        <w:t> </w:t>
      </w:r>
      <w:r>
        <w:rPr>
          <w:rFonts w:ascii="Cambria" w:hAnsi="Cambria"/>
          <w:w w:val="105"/>
        </w:rPr>
        <w:t>planes</w:t>
      </w:r>
      <w:r>
        <w:rPr>
          <w:rFonts w:ascii="Cambria" w:hAnsi="Cambria"/>
          <w:spacing w:val="-14"/>
          <w:w w:val="105"/>
        </w:rPr>
        <w:t> </w:t>
      </w:r>
      <w:r>
        <w:rPr>
          <w:rFonts w:ascii="Cambria" w:hAnsi="Cambria"/>
          <w:w w:val="105"/>
        </w:rPr>
        <w:t>de</w:t>
      </w:r>
      <w:r>
        <w:rPr>
          <w:rFonts w:ascii="Cambria" w:hAnsi="Cambria"/>
          <w:spacing w:val="-14"/>
          <w:w w:val="105"/>
        </w:rPr>
        <w:t> </w:t>
      </w:r>
      <w:r>
        <w:rPr>
          <w:rFonts w:ascii="Cambria" w:hAnsi="Cambria"/>
          <w:w w:val="105"/>
        </w:rPr>
        <w:t>manejo</w:t>
      </w:r>
      <w:r>
        <w:rPr>
          <w:rFonts w:ascii="Cambria" w:hAnsi="Cambria"/>
          <w:spacing w:val="-14"/>
          <w:w w:val="105"/>
        </w:rPr>
        <w:t> </w:t>
      </w:r>
      <w:r>
        <w:rPr>
          <w:rFonts w:ascii="Cambria" w:hAnsi="Cambria"/>
          <w:w w:val="105"/>
        </w:rPr>
        <w:t>y</w:t>
      </w:r>
      <w:r>
        <w:rPr>
          <w:rFonts w:ascii="Cambria" w:hAnsi="Cambria"/>
          <w:spacing w:val="-13"/>
          <w:w w:val="105"/>
        </w:rPr>
        <w:t> </w:t>
      </w:r>
      <w:r>
        <w:rPr>
          <w:rFonts w:ascii="Cambria" w:hAnsi="Cambria"/>
          <w:w w:val="105"/>
        </w:rPr>
        <w:t>conservación</w:t>
      </w:r>
      <w:r>
        <w:rPr>
          <w:rFonts w:ascii="Cambria" w:hAnsi="Cambria"/>
          <w:spacing w:val="-14"/>
          <w:w w:val="105"/>
        </w:rPr>
        <w:t> </w:t>
      </w:r>
      <w:r>
        <w:rPr>
          <w:rFonts w:ascii="Cambria" w:hAnsi="Cambria"/>
          <w:w w:val="105"/>
        </w:rPr>
        <w:t>para</w:t>
      </w:r>
      <w:r>
        <w:rPr>
          <w:rFonts w:ascii="Cambria" w:hAnsi="Cambria"/>
          <w:spacing w:val="-14"/>
          <w:w w:val="105"/>
        </w:rPr>
        <w:t> </w:t>
      </w:r>
      <w:r>
        <w:rPr>
          <w:rFonts w:ascii="Cambria" w:hAnsi="Cambria"/>
          <w:w w:val="105"/>
        </w:rPr>
        <w:t>la</w:t>
      </w:r>
      <w:r>
        <w:rPr>
          <w:rFonts w:ascii="Cambria" w:hAnsi="Cambria"/>
          <w:spacing w:val="-14"/>
          <w:w w:val="105"/>
        </w:rPr>
        <w:t> </w:t>
      </w:r>
      <w:r>
        <w:rPr>
          <w:rFonts w:ascii="Cambria" w:hAnsi="Cambria"/>
          <w:w w:val="105"/>
        </w:rPr>
        <w:t>especie.</w:t>
      </w:r>
    </w:p>
    <w:p>
      <w:pPr>
        <w:pStyle w:val="BodyText"/>
        <w:spacing w:line="508" w:lineRule="auto"/>
        <w:ind w:left="102" w:right="191" w:firstLine="767"/>
        <w:rPr>
          <w:rFonts w:ascii="Cambria" w:hAnsi="Cambria"/>
        </w:rPr>
      </w:pPr>
      <w:r>
        <w:rPr>
          <w:rFonts w:ascii="Cambria" w:hAnsi="Cambria"/>
          <w:w w:val="105"/>
        </w:rPr>
        <w:t>Tales aspectos demográficos pueden ser; como el tamaño poblacional en términos</w:t>
      </w:r>
      <w:r>
        <w:rPr>
          <w:rFonts w:ascii="Cambria" w:hAnsi="Cambria"/>
          <w:spacing w:val="-6"/>
          <w:w w:val="105"/>
        </w:rPr>
        <w:t> </w:t>
      </w:r>
      <w:r>
        <w:rPr>
          <w:rFonts w:ascii="Cambria" w:hAnsi="Cambria"/>
          <w:w w:val="105"/>
        </w:rPr>
        <w:t>de</w:t>
      </w:r>
      <w:r>
        <w:rPr>
          <w:rFonts w:ascii="Cambria" w:hAnsi="Cambria"/>
          <w:spacing w:val="-6"/>
          <w:w w:val="105"/>
        </w:rPr>
        <w:t> </w:t>
      </w:r>
      <w:r>
        <w:rPr>
          <w:rFonts w:ascii="Cambria" w:hAnsi="Cambria"/>
          <w:w w:val="105"/>
        </w:rPr>
        <w:t>abundancia</w:t>
      </w:r>
      <w:r>
        <w:rPr>
          <w:rFonts w:ascii="Cambria" w:hAnsi="Cambria"/>
          <w:spacing w:val="-6"/>
          <w:w w:val="105"/>
        </w:rPr>
        <w:t> </w:t>
      </w:r>
      <w:r>
        <w:rPr>
          <w:rFonts w:ascii="Cambria" w:hAnsi="Cambria"/>
          <w:w w:val="105"/>
        </w:rPr>
        <w:t>o</w:t>
      </w:r>
      <w:r>
        <w:rPr>
          <w:rFonts w:ascii="Cambria" w:hAnsi="Cambria"/>
          <w:spacing w:val="-6"/>
          <w:w w:val="105"/>
        </w:rPr>
        <w:t> </w:t>
      </w:r>
      <w:r>
        <w:rPr>
          <w:rFonts w:ascii="Cambria" w:hAnsi="Cambria"/>
          <w:w w:val="105"/>
        </w:rPr>
        <w:t>de</w:t>
      </w:r>
      <w:r>
        <w:rPr>
          <w:rFonts w:ascii="Cambria" w:hAnsi="Cambria"/>
          <w:spacing w:val="-6"/>
          <w:w w:val="105"/>
        </w:rPr>
        <w:t> </w:t>
      </w:r>
      <w:r>
        <w:rPr>
          <w:rFonts w:ascii="Cambria" w:hAnsi="Cambria"/>
          <w:w w:val="105"/>
        </w:rPr>
        <w:t>densidad,</w:t>
      </w:r>
      <w:r>
        <w:rPr>
          <w:rFonts w:ascii="Cambria" w:hAnsi="Cambria"/>
          <w:spacing w:val="-6"/>
          <w:w w:val="105"/>
        </w:rPr>
        <w:t> </w:t>
      </w:r>
      <w:r>
        <w:rPr>
          <w:rFonts w:ascii="Cambria" w:hAnsi="Cambria"/>
          <w:w w:val="105"/>
        </w:rPr>
        <w:t>con</w:t>
      </w:r>
      <w:r>
        <w:rPr>
          <w:rFonts w:ascii="Cambria" w:hAnsi="Cambria"/>
          <w:spacing w:val="-6"/>
          <w:w w:val="105"/>
        </w:rPr>
        <w:t> </w:t>
      </w:r>
      <w:r>
        <w:rPr>
          <w:rFonts w:ascii="Cambria" w:hAnsi="Cambria"/>
          <w:w w:val="105"/>
        </w:rPr>
        <w:t>el</w:t>
      </w:r>
      <w:r>
        <w:rPr>
          <w:rFonts w:ascii="Cambria" w:hAnsi="Cambria"/>
          <w:spacing w:val="-5"/>
          <w:w w:val="105"/>
        </w:rPr>
        <w:t> </w:t>
      </w:r>
      <w:r>
        <w:rPr>
          <w:rFonts w:ascii="Cambria" w:hAnsi="Cambria"/>
          <w:w w:val="105"/>
        </w:rPr>
        <w:t>objeto</w:t>
      </w:r>
      <w:r>
        <w:rPr>
          <w:rFonts w:ascii="Cambria" w:hAnsi="Cambria"/>
          <w:spacing w:val="-6"/>
          <w:w w:val="105"/>
        </w:rPr>
        <w:t> </w:t>
      </w:r>
      <w:r>
        <w:rPr>
          <w:rFonts w:ascii="Cambria" w:hAnsi="Cambria"/>
          <w:w w:val="105"/>
        </w:rPr>
        <w:t>de</w:t>
      </w:r>
      <w:r>
        <w:rPr>
          <w:rFonts w:ascii="Cambria" w:hAnsi="Cambria"/>
          <w:spacing w:val="-5"/>
          <w:w w:val="105"/>
        </w:rPr>
        <w:t> </w:t>
      </w:r>
      <w:r>
        <w:rPr>
          <w:rFonts w:ascii="Cambria" w:hAnsi="Cambria"/>
          <w:w w:val="105"/>
        </w:rPr>
        <w:t>conocer</w:t>
      </w:r>
      <w:r>
        <w:rPr>
          <w:rFonts w:ascii="Cambria" w:hAnsi="Cambria"/>
          <w:spacing w:val="-6"/>
          <w:w w:val="105"/>
        </w:rPr>
        <w:t> </w:t>
      </w:r>
      <w:r>
        <w:rPr>
          <w:rFonts w:ascii="Cambria" w:hAnsi="Cambria"/>
          <w:w w:val="105"/>
        </w:rPr>
        <w:t>la</w:t>
      </w:r>
      <w:r>
        <w:rPr>
          <w:rFonts w:ascii="Cambria" w:hAnsi="Cambria"/>
          <w:spacing w:val="-6"/>
          <w:w w:val="105"/>
        </w:rPr>
        <w:t> </w:t>
      </w:r>
      <w:r>
        <w:rPr>
          <w:rFonts w:ascii="Cambria" w:hAnsi="Cambria"/>
          <w:w w:val="105"/>
        </w:rPr>
        <w:t>variabilidad</w:t>
      </w:r>
      <w:r>
        <w:rPr>
          <w:rFonts w:ascii="Cambria" w:hAnsi="Cambria"/>
          <w:spacing w:val="-6"/>
          <w:w w:val="105"/>
        </w:rPr>
        <w:t> </w:t>
      </w:r>
      <w:r>
        <w:rPr>
          <w:rFonts w:ascii="Cambria" w:hAnsi="Cambria"/>
          <w:w w:val="105"/>
        </w:rPr>
        <w:t>de las</w:t>
      </w:r>
      <w:r>
        <w:rPr>
          <w:rFonts w:ascii="Cambria" w:hAnsi="Cambria"/>
          <w:spacing w:val="-12"/>
          <w:w w:val="105"/>
        </w:rPr>
        <w:t> </w:t>
      </w:r>
      <w:r>
        <w:rPr>
          <w:rFonts w:ascii="Cambria" w:hAnsi="Cambria"/>
          <w:w w:val="105"/>
        </w:rPr>
        <w:t>poblaciones</w:t>
      </w:r>
      <w:r>
        <w:rPr>
          <w:rFonts w:ascii="Cambria" w:hAnsi="Cambria"/>
          <w:spacing w:val="-12"/>
          <w:w w:val="105"/>
        </w:rPr>
        <w:t> </w:t>
      </w:r>
      <w:r>
        <w:rPr>
          <w:rFonts w:ascii="Cambria" w:hAnsi="Cambria"/>
          <w:w w:val="105"/>
        </w:rPr>
        <w:t>a</w:t>
      </w:r>
      <w:r>
        <w:rPr>
          <w:rFonts w:ascii="Cambria" w:hAnsi="Cambria"/>
          <w:spacing w:val="-12"/>
          <w:w w:val="105"/>
        </w:rPr>
        <w:t> </w:t>
      </w:r>
      <w:r>
        <w:rPr>
          <w:rFonts w:ascii="Cambria" w:hAnsi="Cambria"/>
          <w:w w:val="105"/>
        </w:rPr>
        <w:t>lo</w:t>
      </w:r>
      <w:r>
        <w:rPr>
          <w:rFonts w:ascii="Cambria" w:hAnsi="Cambria"/>
          <w:spacing w:val="-12"/>
          <w:w w:val="105"/>
        </w:rPr>
        <w:t> </w:t>
      </w:r>
      <w:r>
        <w:rPr>
          <w:rFonts w:ascii="Cambria" w:hAnsi="Cambria"/>
          <w:w w:val="105"/>
        </w:rPr>
        <w:t>largo</w:t>
      </w:r>
      <w:r>
        <w:rPr>
          <w:rFonts w:ascii="Cambria" w:hAnsi="Cambria"/>
          <w:spacing w:val="-12"/>
          <w:w w:val="105"/>
        </w:rPr>
        <w:t> </w:t>
      </w:r>
      <w:r>
        <w:rPr>
          <w:rFonts w:ascii="Cambria" w:hAnsi="Cambria"/>
          <w:w w:val="105"/>
        </w:rPr>
        <w:t>del</w:t>
      </w:r>
      <w:r>
        <w:rPr>
          <w:rFonts w:ascii="Cambria" w:hAnsi="Cambria"/>
          <w:spacing w:val="-12"/>
          <w:w w:val="105"/>
        </w:rPr>
        <w:t> </w:t>
      </w:r>
      <w:r>
        <w:rPr>
          <w:rFonts w:ascii="Cambria" w:hAnsi="Cambria"/>
          <w:w w:val="105"/>
        </w:rPr>
        <w:t>tiempo</w:t>
      </w:r>
      <w:r>
        <w:rPr>
          <w:rFonts w:ascii="Cambria" w:hAnsi="Cambria"/>
          <w:spacing w:val="-10"/>
          <w:w w:val="105"/>
        </w:rPr>
        <w:t> </w:t>
      </w:r>
      <w:r>
        <w:rPr>
          <w:rFonts w:ascii="Cambria" w:hAnsi="Cambria"/>
          <w:w w:val="105"/>
        </w:rPr>
        <w:t>y</w:t>
      </w:r>
      <w:r>
        <w:rPr>
          <w:rFonts w:ascii="Cambria" w:hAnsi="Cambria"/>
          <w:spacing w:val="-13"/>
          <w:w w:val="105"/>
        </w:rPr>
        <w:t> </w:t>
      </w:r>
      <w:r>
        <w:rPr>
          <w:rFonts w:ascii="Cambria" w:hAnsi="Cambria"/>
          <w:w w:val="105"/>
        </w:rPr>
        <w:t>espacio,</w:t>
      </w:r>
      <w:r>
        <w:rPr>
          <w:rFonts w:ascii="Cambria" w:hAnsi="Cambria"/>
          <w:spacing w:val="-11"/>
          <w:w w:val="105"/>
        </w:rPr>
        <w:t> </w:t>
      </w:r>
      <w:r>
        <w:rPr>
          <w:rFonts w:ascii="Cambria" w:hAnsi="Cambria"/>
          <w:w w:val="105"/>
        </w:rPr>
        <w:t>las</w:t>
      </w:r>
      <w:r>
        <w:rPr>
          <w:rFonts w:ascii="Cambria" w:hAnsi="Cambria"/>
          <w:spacing w:val="-12"/>
          <w:w w:val="105"/>
        </w:rPr>
        <w:t> </w:t>
      </w:r>
      <w:r>
        <w:rPr>
          <w:rFonts w:ascii="Cambria" w:hAnsi="Cambria"/>
          <w:w w:val="105"/>
        </w:rPr>
        <w:t>interacciones</w:t>
      </w:r>
      <w:r>
        <w:rPr>
          <w:rFonts w:ascii="Cambria" w:hAnsi="Cambria"/>
          <w:spacing w:val="-12"/>
          <w:w w:val="105"/>
        </w:rPr>
        <w:t> </w:t>
      </w:r>
      <w:r>
        <w:rPr>
          <w:rFonts w:ascii="Cambria" w:hAnsi="Cambria"/>
          <w:w w:val="105"/>
        </w:rPr>
        <w:t>depredador-presa otro aspecto demográfico es también importante ya que las presas pueden ser un factor limitante del número de depredadores (carnívoros) o viceversa, la estimación de supervivencia ayuda a conocer la viabilidad de las poblaciones en un sitio determinado a lo largo del tiempo y finalmente los movimientos en términos de migración e inmigración están relacionados con la variabilidad del tamaño</w:t>
      </w:r>
      <w:r>
        <w:rPr>
          <w:rFonts w:ascii="Cambria" w:hAnsi="Cambria"/>
          <w:spacing w:val="-15"/>
          <w:w w:val="105"/>
        </w:rPr>
        <w:t> </w:t>
      </w:r>
      <w:r>
        <w:rPr>
          <w:rFonts w:ascii="Cambria" w:hAnsi="Cambria"/>
          <w:w w:val="105"/>
        </w:rPr>
        <w:t>poblacional</w:t>
      </w:r>
      <w:r>
        <w:rPr>
          <w:rFonts w:ascii="Cambria" w:hAnsi="Cambria"/>
          <w:spacing w:val="-15"/>
          <w:w w:val="105"/>
        </w:rPr>
        <w:t> </w:t>
      </w:r>
      <w:r>
        <w:rPr>
          <w:rFonts w:ascii="Cambria" w:hAnsi="Cambria"/>
          <w:w w:val="105"/>
        </w:rPr>
        <w:t>de</w:t>
      </w:r>
      <w:r>
        <w:rPr>
          <w:rFonts w:ascii="Cambria" w:hAnsi="Cambria"/>
          <w:spacing w:val="-15"/>
          <w:w w:val="105"/>
        </w:rPr>
        <w:t> </w:t>
      </w:r>
      <w:r>
        <w:rPr>
          <w:rFonts w:ascii="Cambria" w:hAnsi="Cambria"/>
          <w:w w:val="105"/>
        </w:rPr>
        <w:t>los</w:t>
      </w:r>
      <w:r>
        <w:rPr>
          <w:rFonts w:ascii="Cambria" w:hAnsi="Cambria"/>
          <w:spacing w:val="-16"/>
          <w:w w:val="105"/>
        </w:rPr>
        <w:t> </w:t>
      </w:r>
      <w:r>
        <w:rPr>
          <w:rFonts w:ascii="Cambria" w:hAnsi="Cambria"/>
          <w:w w:val="105"/>
        </w:rPr>
        <w:t>depredadores</w:t>
      </w:r>
      <w:r>
        <w:rPr>
          <w:rFonts w:ascii="Cambria" w:hAnsi="Cambria"/>
          <w:spacing w:val="-15"/>
          <w:w w:val="105"/>
        </w:rPr>
        <w:t> </w:t>
      </w:r>
      <w:r>
        <w:rPr>
          <w:rFonts w:ascii="Cambria" w:hAnsi="Cambria"/>
          <w:w w:val="105"/>
        </w:rPr>
        <w:t>y</w:t>
      </w:r>
      <w:r>
        <w:rPr>
          <w:rFonts w:ascii="Cambria" w:hAnsi="Cambria"/>
          <w:spacing w:val="-15"/>
          <w:w w:val="105"/>
        </w:rPr>
        <w:t> </w:t>
      </w:r>
      <w:r>
        <w:rPr>
          <w:rFonts w:ascii="Cambria" w:hAnsi="Cambria"/>
          <w:w w:val="105"/>
        </w:rPr>
        <w:t>sus</w:t>
      </w:r>
      <w:r>
        <w:rPr>
          <w:rFonts w:ascii="Cambria" w:hAnsi="Cambria"/>
          <w:spacing w:val="-16"/>
          <w:w w:val="105"/>
        </w:rPr>
        <w:t> </w:t>
      </w:r>
      <w:r>
        <w:rPr>
          <w:rFonts w:ascii="Cambria" w:hAnsi="Cambria"/>
          <w:w w:val="105"/>
        </w:rPr>
        <w:t>presas</w:t>
      </w:r>
      <w:r>
        <w:rPr>
          <w:rFonts w:ascii="Cambria" w:hAnsi="Cambria"/>
          <w:spacing w:val="-17"/>
          <w:w w:val="105"/>
        </w:rPr>
        <w:t> </w:t>
      </w:r>
      <w:r>
        <w:rPr>
          <w:rFonts w:ascii="Cambria" w:hAnsi="Cambria"/>
          <w:w w:val="105"/>
        </w:rPr>
        <w:t>(Ricklefs</w:t>
      </w:r>
      <w:r>
        <w:rPr>
          <w:rFonts w:ascii="Cambria" w:hAnsi="Cambria"/>
          <w:spacing w:val="-16"/>
          <w:w w:val="105"/>
        </w:rPr>
        <w:t> </w:t>
      </w:r>
      <w:r>
        <w:rPr>
          <w:rFonts w:ascii="Cambria" w:hAnsi="Cambria"/>
          <w:w w:val="105"/>
        </w:rPr>
        <w:t>y</w:t>
      </w:r>
      <w:r>
        <w:rPr>
          <w:rFonts w:ascii="Cambria" w:hAnsi="Cambria"/>
          <w:spacing w:val="-15"/>
          <w:w w:val="105"/>
        </w:rPr>
        <w:t> </w:t>
      </w:r>
      <w:r>
        <w:rPr>
          <w:rFonts w:ascii="Cambria" w:hAnsi="Cambria"/>
          <w:w w:val="105"/>
        </w:rPr>
        <w:t>Miller</w:t>
      </w:r>
      <w:r>
        <w:rPr>
          <w:rFonts w:ascii="Cambria" w:hAnsi="Cambria"/>
          <w:spacing w:val="-15"/>
          <w:w w:val="105"/>
        </w:rPr>
        <w:t> </w:t>
      </w:r>
      <w:r>
        <w:rPr>
          <w:rFonts w:ascii="Cambria" w:hAnsi="Cambria"/>
          <w:w w:val="105"/>
        </w:rPr>
        <w:t>2000).</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6" w:lineRule="auto"/>
        <w:ind w:left="102" w:right="172" w:firstLine="707"/>
        <w:rPr>
          <w:rFonts w:ascii="Cambria" w:hAnsi="Cambria"/>
        </w:rPr>
      </w:pPr>
      <w:r>
        <w:rPr>
          <w:rFonts w:ascii="Cambria" w:hAnsi="Cambria"/>
        </w:rPr>
        <w:t>Por otro lado, ha sido difícil determinar la abundancia y densidad de     especies silvestres, las cuales son difíciles de observar, debido a sus hábitos nocturnos y bajas densidades como en el caso de los pumas, en sus presas su comportamiento elusivo hacia los humanos impide observarlos directamente (Sanderson y Trolle 2005). No obstante para censar y monitorear a especies con  estas características, se han aplicado métodos indirectos, como el conteo de huellas    y excrementos en trayectos lineales o en parcelas (Sutherland 1996). Estos métodos muestran índices de abundancia relativa de las especies, los cuales ayudan a  entender de una manera indirecta como es la tendencia de las poblaciones de los animales (Walker et al. 2000), sin embargo son sensibles a los diferentes tipos de hábitat y características del terreno. Por otro lado se han utilizado métodos    directos, como el conteo aéreo de individuos en helicópteros, en trayectos lineales  por observación directa a pie o en vehículos, la desventaja de estos métodos es que están restringidos a zonas abiertas y son altamente costosos (Jacobson </w:t>
      </w:r>
      <w:r>
        <w:rPr>
          <w:rFonts w:ascii="Palatino Linotype" w:hAnsi="Palatino Linotype"/>
          <w:i/>
        </w:rPr>
        <w:t>et al.  </w:t>
      </w:r>
      <w:r>
        <w:rPr>
          <w:rFonts w:ascii="Palatino Linotype" w:hAnsi="Palatino Linotype"/>
          <w:i/>
          <w:spacing w:val="2"/>
        </w:rPr>
        <w:t> </w:t>
      </w:r>
      <w:r>
        <w:rPr>
          <w:rFonts w:ascii="Cambria" w:hAnsi="Cambria"/>
        </w:rPr>
        <w:t>1997,</w:t>
      </w:r>
    </w:p>
    <w:p>
      <w:pPr>
        <w:pStyle w:val="BodyText"/>
        <w:spacing w:line="238" w:lineRule="exact"/>
        <w:ind w:left="102"/>
        <w:rPr>
          <w:rFonts w:ascii="Cambria" w:hAnsi="Cambria"/>
        </w:rPr>
      </w:pPr>
      <w:r>
        <w:rPr>
          <w:rFonts w:ascii="Cambria" w:hAnsi="Cambria"/>
        </w:rPr>
        <w:t>Curtis </w:t>
      </w:r>
      <w:r>
        <w:rPr>
          <w:rFonts w:ascii="Palatino Linotype" w:hAnsi="Palatino Linotype"/>
          <w:i/>
        </w:rPr>
        <w:t>et al. </w:t>
      </w:r>
      <w:r>
        <w:rPr>
          <w:rFonts w:ascii="Cambria" w:hAnsi="Cambria"/>
        </w:rPr>
        <w:t>2009). Dentro de los métodos directos, actualmente se    ha</w:t>
      </w:r>
    </w:p>
    <w:p>
      <w:pPr>
        <w:pStyle w:val="BodyText"/>
        <w:spacing w:before="2"/>
        <w:rPr>
          <w:rFonts w:ascii="Cambria"/>
          <w:sz w:val="25"/>
        </w:rPr>
      </w:pPr>
    </w:p>
    <w:p>
      <w:pPr>
        <w:pStyle w:val="BodyText"/>
        <w:spacing w:line="501" w:lineRule="auto"/>
        <w:ind w:left="102"/>
        <w:rPr>
          <w:rFonts w:ascii="Palatino Linotype" w:hAnsi="Palatino Linotype"/>
          <w:i/>
        </w:rPr>
      </w:pPr>
      <w:r>
        <w:rPr>
          <w:rFonts w:ascii="Cambria" w:hAnsi="Cambria"/>
          <w:w w:val="105"/>
        </w:rPr>
        <w:t>implementado el uso del fototrampeo, el cual consiste en realizar capturas y recapturas de los individuos a través de fotografías. Esta técnica ha sido considerada poco invasiva, de bajo costo, la cual puede determinar abundancia y densidad</w:t>
      </w:r>
      <w:r>
        <w:rPr>
          <w:rFonts w:ascii="Cambria" w:hAnsi="Cambria"/>
          <w:spacing w:val="-15"/>
          <w:w w:val="105"/>
        </w:rPr>
        <w:t> </w:t>
      </w:r>
      <w:r>
        <w:rPr>
          <w:rFonts w:ascii="Cambria" w:hAnsi="Cambria"/>
          <w:w w:val="105"/>
        </w:rPr>
        <w:t>en</w:t>
      </w:r>
      <w:r>
        <w:rPr>
          <w:rFonts w:ascii="Cambria" w:hAnsi="Cambria"/>
          <w:spacing w:val="-15"/>
          <w:w w:val="105"/>
        </w:rPr>
        <w:t> </w:t>
      </w:r>
      <w:r>
        <w:rPr>
          <w:rFonts w:ascii="Cambria" w:hAnsi="Cambria"/>
          <w:w w:val="105"/>
        </w:rPr>
        <w:t>periodos</w:t>
      </w:r>
      <w:r>
        <w:rPr>
          <w:rFonts w:ascii="Cambria" w:hAnsi="Cambria"/>
          <w:spacing w:val="-15"/>
          <w:w w:val="105"/>
        </w:rPr>
        <w:t> </w:t>
      </w:r>
      <w:r>
        <w:rPr>
          <w:rFonts w:ascii="Cambria" w:hAnsi="Cambria"/>
          <w:w w:val="105"/>
        </w:rPr>
        <w:t>relativamente</w:t>
      </w:r>
      <w:r>
        <w:rPr>
          <w:rFonts w:ascii="Cambria" w:hAnsi="Cambria"/>
          <w:spacing w:val="-15"/>
          <w:w w:val="105"/>
        </w:rPr>
        <w:t> </w:t>
      </w:r>
      <w:r>
        <w:rPr>
          <w:rFonts w:ascii="Cambria" w:hAnsi="Cambria"/>
          <w:w w:val="105"/>
        </w:rPr>
        <w:t>cortos</w:t>
      </w:r>
      <w:r>
        <w:rPr>
          <w:rFonts w:ascii="Cambria" w:hAnsi="Cambria"/>
          <w:spacing w:val="-15"/>
          <w:w w:val="105"/>
        </w:rPr>
        <w:t> </w:t>
      </w:r>
      <w:r>
        <w:rPr>
          <w:rFonts w:ascii="Cambria" w:hAnsi="Cambria"/>
          <w:w w:val="105"/>
        </w:rPr>
        <w:t>(Maffei</w:t>
      </w:r>
      <w:r>
        <w:rPr>
          <w:rFonts w:ascii="Cambria" w:hAnsi="Cambria"/>
          <w:spacing w:val="-15"/>
          <w:w w:val="105"/>
        </w:rPr>
        <w:t> </w:t>
      </w:r>
      <w:r>
        <w:rPr>
          <w:rFonts w:ascii="Palatino Linotype" w:hAnsi="Palatino Linotype"/>
          <w:i/>
          <w:w w:val="105"/>
        </w:rPr>
        <w:t>et</w:t>
      </w:r>
      <w:r>
        <w:rPr>
          <w:rFonts w:ascii="Palatino Linotype" w:hAnsi="Palatino Linotype"/>
          <w:i/>
          <w:spacing w:val="-22"/>
          <w:w w:val="105"/>
        </w:rPr>
        <w:t> </w:t>
      </w:r>
      <w:r>
        <w:rPr>
          <w:rFonts w:ascii="Palatino Linotype" w:hAnsi="Palatino Linotype"/>
          <w:i/>
          <w:w w:val="105"/>
        </w:rPr>
        <w:t>al.</w:t>
      </w:r>
      <w:r>
        <w:rPr>
          <w:rFonts w:ascii="Palatino Linotype" w:hAnsi="Palatino Linotype"/>
          <w:i/>
          <w:spacing w:val="-22"/>
          <w:w w:val="105"/>
        </w:rPr>
        <w:t> </w:t>
      </w:r>
      <w:r>
        <w:rPr>
          <w:rFonts w:ascii="Cambria" w:hAnsi="Cambria"/>
          <w:w w:val="105"/>
        </w:rPr>
        <w:t>2002,</w:t>
      </w:r>
      <w:r>
        <w:rPr>
          <w:rFonts w:ascii="Cambria" w:hAnsi="Cambria"/>
          <w:spacing w:val="-15"/>
          <w:w w:val="105"/>
        </w:rPr>
        <w:t> </w:t>
      </w:r>
      <w:r>
        <w:rPr>
          <w:rFonts w:ascii="Cambria" w:hAnsi="Cambria"/>
          <w:w w:val="105"/>
        </w:rPr>
        <w:t>Monroy-Vilchis</w:t>
      </w:r>
      <w:r>
        <w:rPr>
          <w:rFonts w:ascii="Cambria" w:hAnsi="Cambria"/>
          <w:spacing w:val="-15"/>
          <w:w w:val="105"/>
        </w:rPr>
        <w:t> </w:t>
      </w:r>
      <w:r>
        <w:rPr>
          <w:rFonts w:ascii="Palatino Linotype" w:hAnsi="Palatino Linotype"/>
          <w:i/>
          <w:w w:val="105"/>
        </w:rPr>
        <w:t>et</w:t>
      </w:r>
      <w:r>
        <w:rPr>
          <w:rFonts w:ascii="Palatino Linotype" w:hAnsi="Palatino Linotype"/>
          <w:i/>
          <w:spacing w:val="-22"/>
          <w:w w:val="105"/>
        </w:rPr>
        <w:t> </w:t>
      </w:r>
      <w:r>
        <w:rPr>
          <w:rFonts w:ascii="Palatino Linotype" w:hAnsi="Palatino Linotype"/>
          <w:i/>
          <w:w w:val="105"/>
        </w:rPr>
        <w:t>al.</w:t>
      </w:r>
    </w:p>
    <w:p>
      <w:pPr>
        <w:pStyle w:val="BodyText"/>
        <w:spacing w:line="226" w:lineRule="exact"/>
        <w:ind w:left="102"/>
        <w:rPr>
          <w:rFonts w:ascii="Cambria" w:hAnsi="Cambria"/>
        </w:rPr>
      </w:pPr>
      <w:r>
        <w:rPr>
          <w:rFonts w:ascii="Cambria" w:hAnsi="Cambria"/>
        </w:rPr>
        <w:t>2009b). Recientemente se ha visto que el fototrampeo en combinación con modelos</w:t>
      </w:r>
    </w:p>
    <w:p>
      <w:pPr>
        <w:pStyle w:val="BodyText"/>
        <w:spacing w:before="9"/>
        <w:rPr>
          <w:rFonts w:ascii="Cambria"/>
          <w:sz w:val="26"/>
        </w:rPr>
      </w:pPr>
    </w:p>
    <w:p>
      <w:pPr>
        <w:pStyle w:val="BodyText"/>
        <w:spacing w:line="508" w:lineRule="auto"/>
        <w:ind w:left="102" w:right="744"/>
        <w:rPr>
          <w:rFonts w:ascii="Cambria"/>
        </w:rPr>
      </w:pPr>
      <w:r>
        <w:rPr>
          <w:rFonts w:ascii="Cambria"/>
        </w:rPr>
        <w:t>de marcaje-recaptura y el programa CAPTURE, han permitido estimar abundancias y densidades de poblaciones cerradas de muchas especies de</w:t>
      </w:r>
    </w:p>
    <w:p>
      <w:pPr>
        <w:spacing w:after="0" w:line="508" w:lineRule="auto"/>
        <w:rPr>
          <w:rFonts w:ascii="Cambria"/>
        </w:rPr>
        <w:sectPr>
          <w:pgSz w:w="12240" w:h="15840"/>
          <w:pgMar w:header="740" w:footer="779" w:top="960" w:bottom="960" w:left="1600" w:right="1600"/>
        </w:sectPr>
      </w:pPr>
    </w:p>
    <w:p>
      <w:pPr>
        <w:pStyle w:val="BodyText"/>
        <w:rPr>
          <w:rFonts w:ascii="Cambria"/>
          <w:sz w:val="20"/>
        </w:rPr>
      </w:pPr>
    </w:p>
    <w:p>
      <w:pPr>
        <w:spacing w:line="441" w:lineRule="auto" w:before="198"/>
        <w:ind w:left="102" w:right="98" w:firstLine="0"/>
        <w:jc w:val="left"/>
        <w:rPr>
          <w:rFonts w:ascii="Cambria" w:hAnsi="Cambria"/>
          <w:sz w:val="24"/>
        </w:rPr>
      </w:pPr>
      <w:r>
        <w:rPr>
          <w:rFonts w:ascii="Cambria" w:hAnsi="Cambria"/>
          <w:sz w:val="24"/>
        </w:rPr>
        <w:t>mamíferos como, jaguares (Wallace </w:t>
      </w:r>
      <w:r>
        <w:rPr>
          <w:rFonts w:ascii="Palatino Linotype" w:hAnsi="Palatino Linotype"/>
          <w:i/>
          <w:sz w:val="24"/>
        </w:rPr>
        <w:t>et al. </w:t>
      </w:r>
      <w:r>
        <w:rPr>
          <w:rFonts w:ascii="Cambria" w:hAnsi="Cambria"/>
          <w:sz w:val="24"/>
        </w:rPr>
        <w:t>2003; Silver </w:t>
      </w:r>
      <w:r>
        <w:rPr>
          <w:rFonts w:ascii="Palatino Linotype" w:hAnsi="Palatino Linotype"/>
          <w:i/>
          <w:sz w:val="24"/>
        </w:rPr>
        <w:t>et al. </w:t>
      </w:r>
      <w:r>
        <w:rPr>
          <w:rFonts w:ascii="Cambria" w:hAnsi="Cambria"/>
          <w:sz w:val="24"/>
        </w:rPr>
        <w:t>2004; Soisalo y    Cavalcanti 2006), pumas (Kelly </w:t>
      </w:r>
      <w:r>
        <w:rPr>
          <w:rFonts w:ascii="Palatino Linotype" w:hAnsi="Palatino Linotype"/>
          <w:i/>
          <w:sz w:val="24"/>
        </w:rPr>
        <w:t>et al. </w:t>
      </w:r>
      <w:r>
        <w:rPr>
          <w:rFonts w:ascii="Cambria" w:hAnsi="Cambria"/>
          <w:sz w:val="24"/>
        </w:rPr>
        <w:t>2008, Soria-Díaz </w:t>
      </w:r>
      <w:r>
        <w:rPr>
          <w:rFonts w:ascii="Palatino Linotype" w:hAnsi="Palatino Linotype"/>
          <w:i/>
          <w:sz w:val="24"/>
        </w:rPr>
        <w:t>et al. </w:t>
      </w:r>
      <w:r>
        <w:rPr>
          <w:rFonts w:ascii="Cambria" w:hAnsi="Cambria"/>
          <w:sz w:val="24"/>
        </w:rPr>
        <w:t>2010), venados (Jacobson </w:t>
      </w:r>
      <w:r>
        <w:rPr>
          <w:rFonts w:ascii="Palatino Linotype" w:hAnsi="Palatino Linotype"/>
          <w:i/>
          <w:sz w:val="24"/>
        </w:rPr>
        <w:t>et al. </w:t>
      </w:r>
      <w:r>
        <w:rPr>
          <w:rFonts w:ascii="Cambria" w:hAnsi="Cambria"/>
          <w:sz w:val="24"/>
        </w:rPr>
        <w:t>1997, Roberts </w:t>
      </w:r>
      <w:r>
        <w:rPr>
          <w:rFonts w:ascii="Palatino Linotype" w:hAnsi="Palatino Linotype"/>
          <w:i/>
          <w:sz w:val="24"/>
        </w:rPr>
        <w:t>et al. </w:t>
      </w:r>
      <w:r>
        <w:rPr>
          <w:rFonts w:ascii="Cambria" w:hAnsi="Cambria"/>
          <w:sz w:val="24"/>
        </w:rPr>
        <w:t>2006, Curtis </w:t>
      </w:r>
      <w:r>
        <w:rPr>
          <w:rFonts w:ascii="Palatino Linotype" w:hAnsi="Palatino Linotype"/>
          <w:i/>
          <w:sz w:val="24"/>
        </w:rPr>
        <w:t>et al. </w:t>
      </w:r>
      <w:r>
        <w:rPr>
          <w:rFonts w:ascii="Cambria" w:hAnsi="Cambria"/>
          <w:sz w:val="24"/>
        </w:rPr>
        <w:t>2009), mapaches (Arispe </w:t>
      </w:r>
      <w:r>
        <w:rPr>
          <w:rFonts w:ascii="Palatino Linotype" w:hAnsi="Palatino Linotype"/>
          <w:i/>
          <w:sz w:val="24"/>
        </w:rPr>
        <w:t>et al. </w:t>
      </w:r>
      <w:r>
        <w:rPr>
          <w:rFonts w:ascii="Cambria" w:hAnsi="Cambria"/>
          <w:sz w:val="24"/>
        </w:rPr>
        <w:t>2008), armadillos (Maffei </w:t>
      </w:r>
      <w:r>
        <w:rPr>
          <w:rFonts w:ascii="Palatino Linotype" w:hAnsi="Palatino Linotype"/>
          <w:i/>
          <w:sz w:val="24"/>
        </w:rPr>
        <w:t>et al. </w:t>
      </w:r>
      <w:r>
        <w:rPr>
          <w:rFonts w:ascii="Cambria" w:hAnsi="Cambria"/>
          <w:sz w:val="24"/>
        </w:rPr>
        <w:t>2002) y tapires (Noss </w:t>
      </w:r>
      <w:r>
        <w:rPr>
          <w:rFonts w:ascii="Palatino Linotype" w:hAnsi="Palatino Linotype"/>
          <w:i/>
          <w:sz w:val="24"/>
        </w:rPr>
        <w:t>et al. </w:t>
      </w:r>
      <w:r>
        <w:rPr>
          <w:rFonts w:ascii="Cambria" w:hAnsi="Cambria"/>
          <w:sz w:val="24"/>
        </w:rPr>
        <w:t>2003, Trolle </w:t>
      </w:r>
      <w:r>
        <w:rPr>
          <w:rFonts w:ascii="Palatino Linotype" w:hAnsi="Palatino Linotype"/>
          <w:i/>
          <w:sz w:val="24"/>
        </w:rPr>
        <w:t>et al. </w:t>
      </w:r>
      <w:r>
        <w:rPr>
          <w:rFonts w:ascii="Cambria" w:hAnsi="Cambria"/>
          <w:sz w:val="24"/>
        </w:rPr>
        <w:t>2008). En </w:t>
      </w:r>
      <w:r>
        <w:rPr>
          <w:rFonts w:ascii="Cambria" w:hAnsi="Cambria"/>
          <w:spacing w:val="8"/>
          <w:sz w:val="24"/>
        </w:rPr>
        <w:t> </w:t>
      </w:r>
      <w:r>
        <w:rPr>
          <w:rFonts w:ascii="Cambria" w:hAnsi="Cambria"/>
          <w:sz w:val="24"/>
        </w:rPr>
        <w:t>todos</w:t>
      </w:r>
    </w:p>
    <w:p>
      <w:pPr>
        <w:pStyle w:val="BodyText"/>
        <w:spacing w:line="504" w:lineRule="auto" w:before="25"/>
        <w:ind w:left="102" w:right="466"/>
        <w:rPr>
          <w:rFonts w:ascii="Cambria" w:hAnsi="Cambria"/>
        </w:rPr>
      </w:pPr>
      <w:r>
        <w:rPr>
          <w:rFonts w:ascii="Cambria" w:hAnsi="Cambria"/>
        </w:rPr>
        <w:t>estos trabajos consideran que para que una población pueda considerarse virtualmente cerrada (sin nacimientos, muertes, migraciones o inmigraciones), el periodo de muestreo no debe ser mayor a tres meses, ya que un tiempo mayor incrementa la probabilidad de que la población sea considerada como abierta. Los trabajos pioneros en combinar el fototrampeo con el método de captura-recaptura   y</w:t>
      </w:r>
      <w:r>
        <w:rPr>
          <w:rFonts w:ascii="Cambria" w:hAnsi="Cambria"/>
          <w:spacing w:val="26"/>
        </w:rPr>
        <w:t> </w:t>
      </w:r>
      <w:r>
        <w:rPr>
          <w:rFonts w:ascii="Cambria" w:hAnsi="Cambria"/>
        </w:rPr>
        <w:t>el</w:t>
      </w:r>
      <w:r>
        <w:rPr>
          <w:rFonts w:ascii="Cambria" w:hAnsi="Cambria"/>
          <w:spacing w:val="26"/>
        </w:rPr>
        <w:t> </w:t>
      </w:r>
      <w:r>
        <w:rPr>
          <w:rFonts w:ascii="Cambria" w:hAnsi="Cambria"/>
        </w:rPr>
        <w:t>CAPTURE,</w:t>
      </w:r>
      <w:r>
        <w:rPr>
          <w:rFonts w:ascii="Cambria" w:hAnsi="Cambria"/>
          <w:spacing w:val="25"/>
        </w:rPr>
        <w:t> </w:t>
      </w:r>
      <w:r>
        <w:rPr>
          <w:rFonts w:ascii="Cambria" w:hAnsi="Cambria"/>
        </w:rPr>
        <w:t>se</w:t>
      </w:r>
      <w:r>
        <w:rPr>
          <w:rFonts w:ascii="Cambria" w:hAnsi="Cambria"/>
          <w:spacing w:val="26"/>
        </w:rPr>
        <w:t> </w:t>
      </w:r>
      <w:r>
        <w:rPr>
          <w:rFonts w:ascii="Cambria" w:hAnsi="Cambria"/>
        </w:rPr>
        <w:t>realizaron</w:t>
      </w:r>
      <w:r>
        <w:rPr>
          <w:rFonts w:ascii="Cambria" w:hAnsi="Cambria"/>
          <w:spacing w:val="26"/>
        </w:rPr>
        <w:t> </w:t>
      </w:r>
      <w:r>
        <w:rPr>
          <w:rFonts w:ascii="Cambria" w:hAnsi="Cambria"/>
        </w:rPr>
        <w:t>con</w:t>
      </w:r>
      <w:r>
        <w:rPr>
          <w:rFonts w:ascii="Cambria" w:hAnsi="Cambria"/>
          <w:spacing w:val="27"/>
        </w:rPr>
        <w:t> </w:t>
      </w:r>
      <w:r>
        <w:rPr>
          <w:rFonts w:ascii="Cambria" w:hAnsi="Cambria"/>
        </w:rPr>
        <w:t>tigres</w:t>
      </w:r>
      <w:r>
        <w:rPr>
          <w:rFonts w:ascii="Cambria" w:hAnsi="Cambria"/>
          <w:spacing w:val="26"/>
        </w:rPr>
        <w:t> </w:t>
      </w:r>
      <w:r>
        <w:rPr>
          <w:rFonts w:ascii="Cambria" w:hAnsi="Cambria"/>
        </w:rPr>
        <w:t>de</w:t>
      </w:r>
      <w:r>
        <w:rPr>
          <w:rFonts w:ascii="Cambria" w:hAnsi="Cambria"/>
          <w:spacing w:val="26"/>
        </w:rPr>
        <w:t> </w:t>
      </w:r>
      <w:r>
        <w:rPr>
          <w:rFonts w:ascii="Cambria" w:hAnsi="Cambria"/>
        </w:rPr>
        <w:t>la</w:t>
      </w:r>
      <w:r>
        <w:rPr>
          <w:rFonts w:ascii="Cambria" w:hAnsi="Cambria"/>
          <w:spacing w:val="26"/>
        </w:rPr>
        <w:t> </w:t>
      </w:r>
      <w:r>
        <w:rPr>
          <w:rFonts w:ascii="Cambria" w:hAnsi="Cambria"/>
        </w:rPr>
        <w:t>India</w:t>
      </w:r>
      <w:r>
        <w:rPr>
          <w:rFonts w:ascii="Cambria" w:hAnsi="Cambria"/>
          <w:spacing w:val="26"/>
        </w:rPr>
        <w:t> </w:t>
      </w:r>
      <w:r>
        <w:rPr>
          <w:rFonts w:ascii="Cambria" w:hAnsi="Cambria"/>
        </w:rPr>
        <w:t>(</w:t>
      </w:r>
      <w:r>
        <w:rPr>
          <w:rFonts w:ascii="Palatino Linotype" w:hAnsi="Palatino Linotype"/>
          <w:i/>
        </w:rPr>
        <w:t>Panthera</w:t>
      </w:r>
      <w:r>
        <w:rPr>
          <w:rFonts w:ascii="Palatino Linotype" w:hAnsi="Palatino Linotype"/>
          <w:i/>
          <w:spacing w:val="19"/>
        </w:rPr>
        <w:t> </w:t>
      </w:r>
      <w:r>
        <w:rPr>
          <w:rFonts w:ascii="Palatino Linotype" w:hAnsi="Palatino Linotype"/>
          <w:i/>
        </w:rPr>
        <w:t>tigris</w:t>
      </w:r>
      <w:r>
        <w:rPr>
          <w:rFonts w:ascii="Cambria" w:hAnsi="Cambria"/>
        </w:rPr>
        <w:t>)</w:t>
      </w:r>
      <w:r>
        <w:rPr>
          <w:rFonts w:ascii="Cambria" w:hAnsi="Cambria"/>
          <w:spacing w:val="26"/>
        </w:rPr>
        <w:t> </w:t>
      </w:r>
      <w:r>
        <w:rPr>
          <w:rFonts w:ascii="Cambria" w:hAnsi="Cambria"/>
        </w:rPr>
        <w:t>por</w:t>
      </w:r>
      <w:r>
        <w:rPr>
          <w:rFonts w:ascii="Cambria" w:hAnsi="Cambria"/>
          <w:spacing w:val="27"/>
        </w:rPr>
        <w:t> </w:t>
      </w:r>
      <w:r>
        <w:rPr>
          <w:rFonts w:ascii="Cambria" w:hAnsi="Cambria"/>
        </w:rPr>
        <w:t>Karanth</w:t>
      </w:r>
    </w:p>
    <w:p>
      <w:pPr>
        <w:pStyle w:val="BodyText"/>
        <w:spacing w:line="223" w:lineRule="exact"/>
        <w:ind w:left="102"/>
        <w:rPr>
          <w:rFonts w:ascii="Cambria"/>
        </w:rPr>
      </w:pPr>
      <w:r>
        <w:rPr>
          <w:rFonts w:ascii="Cambria"/>
          <w:w w:val="105"/>
        </w:rPr>
        <w:t>(1995) y Karanth y Nichols (1998) y junto con Wilson y Anderson (1985),</w:t>
      </w:r>
    </w:p>
    <w:p>
      <w:pPr>
        <w:pStyle w:val="BodyText"/>
        <w:spacing w:before="9"/>
        <w:rPr>
          <w:rFonts w:ascii="Cambria"/>
          <w:sz w:val="26"/>
        </w:rPr>
      </w:pPr>
    </w:p>
    <w:p>
      <w:pPr>
        <w:pStyle w:val="BodyText"/>
        <w:spacing w:line="511" w:lineRule="auto"/>
        <w:ind w:left="102" w:right="744"/>
        <w:rPr>
          <w:rFonts w:ascii="Cambria" w:hAnsi="Cambria"/>
        </w:rPr>
      </w:pPr>
      <w:r>
        <w:rPr>
          <w:rFonts w:ascii="Cambria" w:hAnsi="Cambria"/>
          <w:w w:val="105"/>
        </w:rPr>
        <w:t>propusieron</w:t>
      </w:r>
      <w:r>
        <w:rPr>
          <w:rFonts w:ascii="Cambria" w:hAnsi="Cambria"/>
          <w:spacing w:val="-12"/>
          <w:w w:val="105"/>
        </w:rPr>
        <w:t> </w:t>
      </w:r>
      <w:r>
        <w:rPr>
          <w:rFonts w:ascii="Cambria" w:hAnsi="Cambria"/>
          <w:w w:val="105"/>
        </w:rPr>
        <w:t>un</w:t>
      </w:r>
      <w:r>
        <w:rPr>
          <w:rFonts w:ascii="Cambria" w:hAnsi="Cambria"/>
          <w:spacing w:val="-12"/>
          <w:w w:val="105"/>
        </w:rPr>
        <w:t> </w:t>
      </w:r>
      <w:r>
        <w:rPr>
          <w:rFonts w:ascii="Cambria" w:hAnsi="Cambria"/>
          <w:w w:val="105"/>
        </w:rPr>
        <w:t>protocolo</w:t>
      </w:r>
      <w:r>
        <w:rPr>
          <w:rFonts w:ascii="Cambria" w:hAnsi="Cambria"/>
          <w:spacing w:val="-12"/>
          <w:w w:val="105"/>
        </w:rPr>
        <w:t> </w:t>
      </w:r>
      <w:r>
        <w:rPr>
          <w:rFonts w:ascii="Cambria" w:hAnsi="Cambria"/>
          <w:w w:val="105"/>
        </w:rPr>
        <w:t>para</w:t>
      </w:r>
      <w:r>
        <w:rPr>
          <w:rFonts w:ascii="Cambria" w:hAnsi="Cambria"/>
          <w:spacing w:val="-12"/>
          <w:w w:val="105"/>
        </w:rPr>
        <w:t> </w:t>
      </w:r>
      <w:r>
        <w:rPr>
          <w:rFonts w:ascii="Cambria" w:hAnsi="Cambria"/>
          <w:w w:val="105"/>
        </w:rPr>
        <w:t>estimar</w:t>
      </w:r>
      <w:r>
        <w:rPr>
          <w:rFonts w:ascii="Cambria" w:hAnsi="Cambria"/>
          <w:spacing w:val="-12"/>
          <w:w w:val="105"/>
        </w:rPr>
        <w:t> </w:t>
      </w:r>
      <w:r>
        <w:rPr>
          <w:rFonts w:ascii="Cambria" w:hAnsi="Cambria"/>
          <w:w w:val="105"/>
        </w:rPr>
        <w:t>densidades</w:t>
      </w:r>
      <w:r>
        <w:rPr>
          <w:rFonts w:ascii="Cambria" w:hAnsi="Cambria"/>
          <w:spacing w:val="-14"/>
          <w:w w:val="105"/>
        </w:rPr>
        <w:t> </w:t>
      </w:r>
      <w:r>
        <w:rPr>
          <w:rFonts w:ascii="Cambria" w:hAnsi="Cambria"/>
          <w:w w:val="105"/>
        </w:rPr>
        <w:t>de</w:t>
      </w:r>
      <w:r>
        <w:rPr>
          <w:rFonts w:ascii="Cambria" w:hAnsi="Cambria"/>
          <w:spacing w:val="-12"/>
          <w:w w:val="105"/>
        </w:rPr>
        <w:t> </w:t>
      </w:r>
      <w:r>
        <w:rPr>
          <w:rFonts w:ascii="Cambria" w:hAnsi="Cambria"/>
          <w:w w:val="105"/>
        </w:rPr>
        <w:t>mamíferos</w:t>
      </w:r>
      <w:r>
        <w:rPr>
          <w:rFonts w:ascii="Cambria" w:hAnsi="Cambria"/>
          <w:spacing w:val="-13"/>
          <w:w w:val="105"/>
        </w:rPr>
        <w:t> </w:t>
      </w:r>
      <w:r>
        <w:rPr>
          <w:rFonts w:ascii="Cambria" w:hAnsi="Cambria"/>
          <w:w w:val="105"/>
        </w:rPr>
        <w:t>medianos</w:t>
      </w:r>
      <w:r>
        <w:rPr>
          <w:rFonts w:ascii="Cambria" w:hAnsi="Cambria"/>
          <w:spacing w:val="-13"/>
          <w:w w:val="105"/>
        </w:rPr>
        <w:t> </w:t>
      </w:r>
      <w:r>
        <w:rPr>
          <w:rFonts w:ascii="Cambria" w:hAnsi="Cambria"/>
          <w:w w:val="105"/>
        </w:rPr>
        <w:t>y grandes.</w:t>
      </w:r>
    </w:p>
    <w:p>
      <w:pPr>
        <w:pStyle w:val="BodyText"/>
        <w:spacing w:line="504" w:lineRule="auto"/>
        <w:ind w:left="102" w:right="117" w:firstLine="707"/>
        <w:rPr>
          <w:rFonts w:ascii="Cambria" w:hAnsi="Cambria"/>
        </w:rPr>
      </w:pPr>
      <w:r>
        <w:rPr>
          <w:rFonts w:ascii="Cambria" w:hAnsi="Cambria"/>
          <w:w w:val="105"/>
        </w:rPr>
        <w:t>Por otro lado, es importante determinar la abundancia de los depredadores y sus presas, ya que las poblaciones de presas pueden determinan el número de depredadores. Cuando la abundancia de las presas es limitada, los depredadores pueden incrementar su probabilidad de extinción o pueden depredar sobre otras presas</w:t>
      </w:r>
      <w:r>
        <w:rPr>
          <w:rFonts w:ascii="Cambria" w:hAnsi="Cambria"/>
          <w:spacing w:val="-11"/>
          <w:w w:val="105"/>
        </w:rPr>
        <w:t> </w:t>
      </w:r>
      <w:r>
        <w:rPr>
          <w:rFonts w:ascii="Cambria" w:hAnsi="Cambria"/>
          <w:w w:val="105"/>
        </w:rPr>
        <w:t>incluyendo</w:t>
      </w:r>
      <w:r>
        <w:rPr>
          <w:rFonts w:ascii="Cambria" w:hAnsi="Cambria"/>
          <w:spacing w:val="-9"/>
          <w:w w:val="105"/>
        </w:rPr>
        <w:t> </w:t>
      </w:r>
      <w:r>
        <w:rPr>
          <w:rFonts w:ascii="Cambria" w:hAnsi="Cambria"/>
          <w:w w:val="105"/>
        </w:rPr>
        <w:t>ganado</w:t>
      </w:r>
      <w:r>
        <w:rPr>
          <w:rFonts w:ascii="Cambria" w:hAnsi="Cambria"/>
          <w:spacing w:val="-9"/>
          <w:w w:val="105"/>
        </w:rPr>
        <w:t> </w:t>
      </w:r>
      <w:r>
        <w:rPr>
          <w:rFonts w:ascii="Cambria" w:hAnsi="Cambria"/>
          <w:w w:val="105"/>
        </w:rPr>
        <w:t>(chivos</w:t>
      </w:r>
      <w:r>
        <w:rPr>
          <w:rFonts w:ascii="Cambria" w:hAnsi="Cambria"/>
          <w:spacing w:val="-10"/>
          <w:w w:val="105"/>
        </w:rPr>
        <w:t> </w:t>
      </w:r>
      <w:r>
        <w:rPr>
          <w:rFonts w:ascii="Cambria" w:hAnsi="Cambria"/>
          <w:w w:val="105"/>
        </w:rPr>
        <w:t>o</w:t>
      </w:r>
      <w:r>
        <w:rPr>
          <w:rFonts w:ascii="Cambria" w:hAnsi="Cambria"/>
          <w:spacing w:val="-9"/>
          <w:w w:val="105"/>
        </w:rPr>
        <w:t> </w:t>
      </w:r>
      <w:r>
        <w:rPr>
          <w:rFonts w:ascii="Cambria" w:hAnsi="Cambria"/>
          <w:w w:val="105"/>
        </w:rPr>
        <w:t>vacas),</w:t>
      </w:r>
      <w:r>
        <w:rPr>
          <w:rFonts w:ascii="Cambria" w:hAnsi="Cambria"/>
          <w:spacing w:val="-9"/>
          <w:w w:val="105"/>
        </w:rPr>
        <w:t> </w:t>
      </w:r>
      <w:r>
        <w:rPr>
          <w:rFonts w:ascii="Cambria" w:hAnsi="Cambria"/>
          <w:w w:val="105"/>
        </w:rPr>
        <w:t>generando</w:t>
      </w:r>
      <w:r>
        <w:rPr>
          <w:rFonts w:ascii="Cambria" w:hAnsi="Cambria"/>
          <w:spacing w:val="-9"/>
          <w:w w:val="105"/>
        </w:rPr>
        <w:t> </w:t>
      </w:r>
      <w:r>
        <w:rPr>
          <w:rFonts w:ascii="Cambria" w:hAnsi="Cambria"/>
          <w:w w:val="105"/>
        </w:rPr>
        <w:t>con</w:t>
      </w:r>
      <w:r>
        <w:rPr>
          <w:rFonts w:ascii="Cambria" w:hAnsi="Cambria"/>
          <w:spacing w:val="-9"/>
          <w:w w:val="105"/>
        </w:rPr>
        <w:t> </w:t>
      </w:r>
      <w:r>
        <w:rPr>
          <w:rFonts w:ascii="Cambria" w:hAnsi="Cambria"/>
          <w:w w:val="105"/>
        </w:rPr>
        <w:t>esto</w:t>
      </w:r>
      <w:r>
        <w:rPr>
          <w:rFonts w:ascii="Cambria" w:hAnsi="Cambria"/>
          <w:spacing w:val="-9"/>
          <w:w w:val="105"/>
        </w:rPr>
        <w:t> </w:t>
      </w:r>
      <w:r>
        <w:rPr>
          <w:rFonts w:ascii="Cambria" w:hAnsi="Cambria"/>
          <w:w w:val="105"/>
        </w:rPr>
        <w:t>un</w:t>
      </w:r>
      <w:r>
        <w:rPr>
          <w:rFonts w:ascii="Cambria" w:hAnsi="Cambria"/>
          <w:spacing w:val="-9"/>
          <w:w w:val="105"/>
        </w:rPr>
        <w:t> </w:t>
      </w:r>
      <w:r>
        <w:rPr>
          <w:rFonts w:ascii="Cambria" w:hAnsi="Cambria"/>
          <w:w w:val="105"/>
        </w:rPr>
        <w:t>conflicto</w:t>
      </w:r>
      <w:r>
        <w:rPr>
          <w:rFonts w:ascii="Cambria" w:hAnsi="Cambria"/>
          <w:spacing w:val="-9"/>
          <w:w w:val="105"/>
        </w:rPr>
        <w:t> </w:t>
      </w:r>
      <w:r>
        <w:rPr>
          <w:rFonts w:ascii="Cambria" w:hAnsi="Cambria"/>
          <w:w w:val="105"/>
        </w:rPr>
        <w:t>con</w:t>
      </w:r>
      <w:r>
        <w:rPr>
          <w:rFonts w:ascii="Cambria" w:hAnsi="Cambria"/>
          <w:spacing w:val="-9"/>
          <w:w w:val="105"/>
        </w:rPr>
        <w:t> </w:t>
      </w:r>
      <w:r>
        <w:rPr>
          <w:rFonts w:ascii="Cambria" w:hAnsi="Cambria"/>
          <w:w w:val="105"/>
        </w:rPr>
        <w:t>los </w:t>
      </w:r>
      <w:r>
        <w:rPr>
          <w:rFonts w:ascii="Palatino Linotype" w:hAnsi="Palatino Linotype"/>
          <w:w w:val="105"/>
        </w:rPr>
        <w:t>ganaderos</w:t>
      </w:r>
      <w:r>
        <w:rPr>
          <w:rFonts w:ascii="Palatino Linotype" w:hAnsi="Palatino Linotype"/>
          <w:spacing w:val="-31"/>
          <w:w w:val="105"/>
        </w:rPr>
        <w:t> </w:t>
      </w:r>
      <w:r>
        <w:rPr>
          <w:rFonts w:ascii="Palatino Linotype" w:hAnsi="Palatino Linotype"/>
          <w:w w:val="105"/>
        </w:rPr>
        <w:t>(O’Brien</w:t>
      </w:r>
      <w:r>
        <w:rPr>
          <w:rFonts w:ascii="Palatino Linotype" w:hAnsi="Palatino Linotype"/>
          <w:spacing w:val="-31"/>
          <w:w w:val="105"/>
        </w:rPr>
        <w:t> </w:t>
      </w:r>
      <w:r>
        <w:rPr>
          <w:rFonts w:ascii="Palatino Linotype" w:hAnsi="Palatino Linotype"/>
          <w:i/>
          <w:w w:val="105"/>
        </w:rPr>
        <w:t>et</w:t>
      </w:r>
      <w:r>
        <w:rPr>
          <w:rFonts w:ascii="Palatino Linotype" w:hAnsi="Palatino Linotype"/>
          <w:i/>
          <w:spacing w:val="-32"/>
          <w:w w:val="105"/>
        </w:rPr>
        <w:t> </w:t>
      </w:r>
      <w:r>
        <w:rPr>
          <w:rFonts w:ascii="Palatino Linotype" w:hAnsi="Palatino Linotype"/>
          <w:i/>
          <w:w w:val="105"/>
        </w:rPr>
        <w:t>al.</w:t>
      </w:r>
      <w:r>
        <w:rPr>
          <w:rFonts w:ascii="Palatino Linotype" w:hAnsi="Palatino Linotype"/>
          <w:i/>
          <w:spacing w:val="-30"/>
          <w:w w:val="105"/>
        </w:rPr>
        <w:t> </w:t>
      </w:r>
      <w:r>
        <w:rPr>
          <w:rFonts w:ascii="Cambria" w:hAnsi="Cambria"/>
          <w:w w:val="105"/>
        </w:rPr>
        <w:t>2003,</w:t>
      </w:r>
      <w:r>
        <w:rPr>
          <w:rFonts w:ascii="Cambria" w:hAnsi="Cambria"/>
          <w:spacing w:val="-23"/>
          <w:w w:val="105"/>
        </w:rPr>
        <w:t> </w:t>
      </w:r>
      <w:r>
        <w:rPr>
          <w:rFonts w:ascii="Cambria" w:hAnsi="Cambria"/>
          <w:w w:val="105"/>
        </w:rPr>
        <w:t>Weckel</w:t>
      </w:r>
      <w:r>
        <w:rPr>
          <w:rFonts w:ascii="Cambria" w:hAnsi="Cambria"/>
          <w:spacing w:val="-23"/>
          <w:w w:val="105"/>
        </w:rPr>
        <w:t> </w:t>
      </w:r>
      <w:r>
        <w:rPr>
          <w:rFonts w:ascii="Palatino Linotype" w:hAnsi="Palatino Linotype"/>
          <w:i/>
          <w:w w:val="105"/>
        </w:rPr>
        <w:t>et</w:t>
      </w:r>
      <w:r>
        <w:rPr>
          <w:rFonts w:ascii="Palatino Linotype" w:hAnsi="Palatino Linotype"/>
          <w:i/>
          <w:spacing w:val="-31"/>
          <w:w w:val="105"/>
        </w:rPr>
        <w:t> </w:t>
      </w:r>
      <w:r>
        <w:rPr>
          <w:rFonts w:ascii="Palatino Linotype" w:hAnsi="Palatino Linotype"/>
          <w:i/>
          <w:w w:val="105"/>
        </w:rPr>
        <w:t>al.</w:t>
      </w:r>
      <w:r>
        <w:rPr>
          <w:rFonts w:ascii="Palatino Linotype" w:hAnsi="Palatino Linotype"/>
          <w:i/>
          <w:spacing w:val="-31"/>
          <w:w w:val="105"/>
        </w:rPr>
        <w:t> </w:t>
      </w:r>
      <w:r>
        <w:rPr>
          <w:rFonts w:ascii="Cambria" w:hAnsi="Cambria"/>
          <w:w w:val="105"/>
        </w:rPr>
        <w:t>2006).</w:t>
      </w:r>
      <w:r>
        <w:rPr>
          <w:rFonts w:ascii="Cambria" w:hAnsi="Cambria"/>
          <w:spacing w:val="-24"/>
          <w:w w:val="105"/>
        </w:rPr>
        <w:t> </w:t>
      </w:r>
      <w:r>
        <w:rPr>
          <w:rFonts w:ascii="Cambria" w:hAnsi="Cambria"/>
          <w:w w:val="105"/>
        </w:rPr>
        <w:t>Hasta</w:t>
      </w:r>
      <w:r>
        <w:rPr>
          <w:rFonts w:ascii="Cambria" w:hAnsi="Cambria"/>
          <w:spacing w:val="-23"/>
          <w:w w:val="105"/>
        </w:rPr>
        <w:t> </w:t>
      </w:r>
      <w:r>
        <w:rPr>
          <w:rFonts w:ascii="Cambria" w:hAnsi="Cambria"/>
          <w:w w:val="105"/>
        </w:rPr>
        <w:t>ahora</w:t>
      </w:r>
      <w:r>
        <w:rPr>
          <w:rFonts w:ascii="Cambria" w:hAnsi="Cambria"/>
          <w:spacing w:val="-23"/>
          <w:w w:val="105"/>
        </w:rPr>
        <w:t> </w:t>
      </w:r>
      <w:r>
        <w:rPr>
          <w:rFonts w:ascii="Cambria" w:hAnsi="Cambria"/>
          <w:w w:val="105"/>
        </w:rPr>
        <w:t>se</w:t>
      </w:r>
      <w:r>
        <w:rPr>
          <w:rFonts w:ascii="Cambria" w:hAnsi="Cambria"/>
          <w:spacing w:val="-23"/>
          <w:w w:val="105"/>
        </w:rPr>
        <w:t> </w:t>
      </w:r>
      <w:r>
        <w:rPr>
          <w:rFonts w:ascii="Cambria" w:hAnsi="Cambria"/>
          <w:w w:val="105"/>
        </w:rPr>
        <w:t>ha</w:t>
      </w:r>
      <w:r>
        <w:rPr>
          <w:rFonts w:ascii="Cambria" w:hAnsi="Cambria"/>
          <w:spacing w:val="-23"/>
          <w:w w:val="105"/>
        </w:rPr>
        <w:t> </w:t>
      </w:r>
      <w:r>
        <w:rPr>
          <w:rFonts w:ascii="Cambria" w:hAnsi="Cambria"/>
          <w:w w:val="105"/>
        </w:rPr>
        <w:t>explorado</w:t>
      </w:r>
    </w:p>
    <w:p>
      <w:pPr>
        <w:pStyle w:val="BodyText"/>
        <w:spacing w:line="223" w:lineRule="exact"/>
        <w:ind w:left="102"/>
        <w:rPr>
          <w:rFonts w:ascii="Cambria"/>
        </w:rPr>
      </w:pPr>
      <w:r>
        <w:rPr>
          <w:rFonts w:ascii="Cambria"/>
          <w:w w:val="105"/>
        </w:rPr>
        <w:t>muy poco el efecto que tiene la abundancia de las presas sobre los depredadores.</w:t>
      </w:r>
    </w:p>
    <w:p>
      <w:pPr>
        <w:pStyle w:val="BodyText"/>
        <w:spacing w:before="9"/>
        <w:rPr>
          <w:rFonts w:ascii="Cambria"/>
          <w:sz w:val="26"/>
        </w:rPr>
      </w:pPr>
    </w:p>
    <w:p>
      <w:pPr>
        <w:pStyle w:val="BodyText"/>
        <w:spacing w:line="508" w:lineRule="auto"/>
        <w:ind w:left="102" w:right="104" w:firstLine="707"/>
        <w:rPr>
          <w:rFonts w:ascii="Cambria" w:hAnsi="Cambria"/>
        </w:rPr>
      </w:pPr>
      <w:r>
        <w:rPr>
          <w:rFonts w:ascii="Cambria" w:hAnsi="Cambria"/>
          <w:w w:val="105"/>
        </w:rPr>
        <w:t>Una manera de determinar las interacciones entre depredadores y sus presas</w:t>
      </w:r>
      <w:r>
        <w:rPr>
          <w:rFonts w:ascii="Cambria" w:hAnsi="Cambria"/>
          <w:spacing w:val="-10"/>
          <w:w w:val="105"/>
        </w:rPr>
        <w:t> </w:t>
      </w:r>
      <w:r>
        <w:rPr>
          <w:rFonts w:ascii="Cambria" w:hAnsi="Cambria"/>
          <w:w w:val="105"/>
        </w:rPr>
        <w:t>es</w:t>
      </w:r>
      <w:r>
        <w:rPr>
          <w:rFonts w:ascii="Cambria" w:hAnsi="Cambria"/>
          <w:spacing w:val="-9"/>
          <w:w w:val="105"/>
        </w:rPr>
        <w:t> </w:t>
      </w:r>
      <w:r>
        <w:rPr>
          <w:rFonts w:ascii="Cambria" w:hAnsi="Cambria"/>
          <w:w w:val="105"/>
        </w:rPr>
        <w:t>a</w:t>
      </w:r>
      <w:r>
        <w:rPr>
          <w:rFonts w:ascii="Cambria" w:hAnsi="Cambria"/>
          <w:spacing w:val="-8"/>
          <w:w w:val="105"/>
        </w:rPr>
        <w:t> </w:t>
      </w:r>
      <w:r>
        <w:rPr>
          <w:rFonts w:ascii="Cambria" w:hAnsi="Cambria"/>
          <w:w w:val="105"/>
        </w:rPr>
        <w:t>través</w:t>
      </w:r>
      <w:r>
        <w:rPr>
          <w:rFonts w:ascii="Cambria" w:hAnsi="Cambria"/>
          <w:spacing w:val="-8"/>
          <w:w w:val="105"/>
        </w:rPr>
        <w:t> </w:t>
      </w:r>
      <w:r>
        <w:rPr>
          <w:rFonts w:ascii="Cambria" w:hAnsi="Cambria"/>
          <w:w w:val="105"/>
        </w:rPr>
        <w:t>de</w:t>
      </w:r>
      <w:r>
        <w:rPr>
          <w:rFonts w:ascii="Cambria" w:hAnsi="Cambria"/>
          <w:spacing w:val="-8"/>
          <w:w w:val="105"/>
        </w:rPr>
        <w:t> </w:t>
      </w:r>
      <w:r>
        <w:rPr>
          <w:rFonts w:ascii="Cambria" w:hAnsi="Cambria"/>
          <w:w w:val="105"/>
        </w:rPr>
        <w:t>la</w:t>
      </w:r>
      <w:r>
        <w:rPr>
          <w:rFonts w:ascii="Cambria" w:hAnsi="Cambria"/>
          <w:spacing w:val="-8"/>
          <w:w w:val="105"/>
        </w:rPr>
        <w:t> </w:t>
      </w:r>
      <w:r>
        <w:rPr>
          <w:rFonts w:ascii="Cambria" w:hAnsi="Cambria"/>
          <w:w w:val="105"/>
        </w:rPr>
        <w:t>respuesta</w:t>
      </w:r>
      <w:r>
        <w:rPr>
          <w:rFonts w:ascii="Cambria" w:hAnsi="Cambria"/>
          <w:spacing w:val="-7"/>
          <w:w w:val="105"/>
        </w:rPr>
        <w:t> </w:t>
      </w:r>
      <w:r>
        <w:rPr>
          <w:rFonts w:ascii="Cambria" w:hAnsi="Cambria"/>
          <w:w w:val="105"/>
        </w:rPr>
        <w:t>numérica,</w:t>
      </w:r>
      <w:r>
        <w:rPr>
          <w:rFonts w:ascii="Cambria" w:hAnsi="Cambria"/>
          <w:spacing w:val="-8"/>
          <w:w w:val="105"/>
        </w:rPr>
        <w:t> </w:t>
      </w:r>
      <w:r>
        <w:rPr>
          <w:rFonts w:ascii="Cambria" w:hAnsi="Cambria"/>
          <w:w w:val="105"/>
        </w:rPr>
        <w:t>la</w:t>
      </w:r>
      <w:r>
        <w:rPr>
          <w:rFonts w:ascii="Cambria" w:hAnsi="Cambria"/>
          <w:spacing w:val="-7"/>
          <w:w w:val="105"/>
        </w:rPr>
        <w:t> </w:t>
      </w:r>
      <w:r>
        <w:rPr>
          <w:rFonts w:ascii="Cambria" w:hAnsi="Cambria"/>
          <w:w w:val="105"/>
        </w:rPr>
        <w:t>cual</w:t>
      </w:r>
      <w:r>
        <w:rPr>
          <w:rFonts w:ascii="Cambria" w:hAnsi="Cambria"/>
          <w:spacing w:val="-8"/>
          <w:w w:val="105"/>
        </w:rPr>
        <w:t> </w:t>
      </w:r>
      <w:r>
        <w:rPr>
          <w:rFonts w:ascii="Cambria" w:hAnsi="Cambria"/>
          <w:w w:val="105"/>
        </w:rPr>
        <w:t>nos</w:t>
      </w:r>
      <w:r>
        <w:rPr>
          <w:rFonts w:ascii="Cambria" w:hAnsi="Cambria"/>
          <w:spacing w:val="-9"/>
          <w:w w:val="105"/>
        </w:rPr>
        <w:t> </w:t>
      </w:r>
      <w:r>
        <w:rPr>
          <w:rFonts w:ascii="Cambria" w:hAnsi="Cambria"/>
          <w:w w:val="105"/>
        </w:rPr>
        <w:t>indica</w:t>
      </w:r>
      <w:r>
        <w:rPr>
          <w:rFonts w:ascii="Cambria" w:hAnsi="Cambria"/>
          <w:spacing w:val="-8"/>
          <w:w w:val="105"/>
        </w:rPr>
        <w:t> </w:t>
      </w:r>
      <w:r>
        <w:rPr>
          <w:rFonts w:ascii="Cambria" w:hAnsi="Cambria"/>
          <w:w w:val="105"/>
        </w:rPr>
        <w:t>como</w:t>
      </w:r>
      <w:r>
        <w:rPr>
          <w:rFonts w:ascii="Cambria" w:hAnsi="Cambria"/>
          <w:spacing w:val="-7"/>
          <w:w w:val="105"/>
        </w:rPr>
        <w:t> </w:t>
      </w:r>
      <w:r>
        <w:rPr>
          <w:rFonts w:ascii="Cambria" w:hAnsi="Cambria"/>
          <w:w w:val="105"/>
        </w:rPr>
        <w:t>el</w:t>
      </w:r>
      <w:r>
        <w:rPr>
          <w:rFonts w:ascii="Cambria" w:hAnsi="Cambria"/>
          <w:spacing w:val="-8"/>
          <w:w w:val="105"/>
        </w:rPr>
        <w:t> </w:t>
      </w:r>
      <w:r>
        <w:rPr>
          <w:rFonts w:ascii="Cambria" w:hAnsi="Cambria"/>
          <w:w w:val="105"/>
        </w:rPr>
        <w:t>número</w:t>
      </w:r>
      <w:r>
        <w:rPr>
          <w:rFonts w:ascii="Cambria" w:hAnsi="Cambria"/>
          <w:spacing w:val="-8"/>
          <w:w w:val="105"/>
        </w:rPr>
        <w:t> </w:t>
      </w:r>
      <w:r>
        <w:rPr>
          <w:rFonts w:ascii="Cambria" w:hAnsi="Cambria"/>
          <w:w w:val="105"/>
        </w:rPr>
        <w:t>de</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line="444" w:lineRule="auto" w:before="198"/>
        <w:ind w:left="102" w:right="466"/>
        <w:rPr>
          <w:rFonts w:ascii="Cambria" w:hAnsi="Cambria"/>
        </w:rPr>
      </w:pPr>
      <w:r>
        <w:rPr>
          <w:rFonts w:ascii="Cambria" w:hAnsi="Cambria"/>
        </w:rPr>
        <w:t>depredadores responde a las diferentes densidades de sus presas (O´Donoghue </w:t>
      </w:r>
      <w:r>
        <w:rPr>
          <w:rFonts w:ascii="Palatino Linotype" w:hAnsi="Palatino Linotype"/>
          <w:i/>
        </w:rPr>
        <w:t>et   </w:t>
      </w:r>
      <w:r>
        <w:rPr>
          <w:rFonts w:ascii="Palatino Linotype" w:hAnsi="Palatino Linotype"/>
          <w:i/>
        </w:rPr>
        <w:t>al. </w:t>
      </w:r>
      <w:r>
        <w:rPr>
          <w:rFonts w:ascii="Cambria" w:hAnsi="Cambria"/>
        </w:rPr>
        <w:t>1997). Otra forma de abordar estas interacciones es a través de la  </w:t>
      </w:r>
      <w:r>
        <w:rPr>
          <w:rFonts w:ascii="Cambria" w:hAnsi="Cambria"/>
          <w:spacing w:val="31"/>
        </w:rPr>
        <w:t> </w:t>
      </w:r>
      <w:r>
        <w:rPr>
          <w:rFonts w:ascii="Cambria" w:hAnsi="Cambria"/>
        </w:rPr>
        <w:t>respuesta</w:t>
      </w:r>
    </w:p>
    <w:p>
      <w:pPr>
        <w:pStyle w:val="BodyText"/>
        <w:spacing w:line="508" w:lineRule="auto" w:before="20"/>
        <w:ind w:left="102" w:right="159"/>
        <w:rPr>
          <w:rFonts w:ascii="Cambria" w:hAnsi="Cambria"/>
        </w:rPr>
      </w:pPr>
      <w:r>
        <w:rPr>
          <w:rFonts w:ascii="Cambria" w:hAnsi="Cambria"/>
          <w:w w:val="105"/>
        </w:rPr>
        <w:t>funcional, que describe las formas de consumo del depredador en función de la densidad de las presas. Holling (1959), describe tres tipos de respuesta funcional; respuesta I en la cual existe una relación lineal con pendiente positiva o de cero entre la tasa de consumo del depredador y la densidad o abundancia de la presa a una</w:t>
      </w:r>
      <w:r>
        <w:rPr>
          <w:rFonts w:ascii="Cambria" w:hAnsi="Cambria"/>
          <w:spacing w:val="-7"/>
          <w:w w:val="105"/>
        </w:rPr>
        <w:t> </w:t>
      </w:r>
      <w:r>
        <w:rPr>
          <w:rFonts w:ascii="Cambria" w:hAnsi="Cambria"/>
          <w:w w:val="105"/>
        </w:rPr>
        <w:t>tasa</w:t>
      </w:r>
      <w:r>
        <w:rPr>
          <w:rFonts w:ascii="Cambria" w:hAnsi="Cambria"/>
          <w:spacing w:val="-7"/>
          <w:w w:val="105"/>
        </w:rPr>
        <w:t> </w:t>
      </w:r>
      <w:r>
        <w:rPr>
          <w:rFonts w:ascii="Cambria" w:hAnsi="Cambria"/>
          <w:w w:val="105"/>
        </w:rPr>
        <w:t>constante,</w:t>
      </w:r>
      <w:r>
        <w:rPr>
          <w:rFonts w:ascii="Cambria" w:hAnsi="Cambria"/>
          <w:spacing w:val="-7"/>
          <w:w w:val="105"/>
        </w:rPr>
        <w:t> </w:t>
      </w:r>
      <w:r>
        <w:rPr>
          <w:rFonts w:ascii="Cambria" w:hAnsi="Cambria"/>
          <w:w w:val="105"/>
        </w:rPr>
        <w:t>esta</w:t>
      </w:r>
      <w:r>
        <w:rPr>
          <w:rFonts w:ascii="Cambria" w:hAnsi="Cambria"/>
          <w:spacing w:val="-7"/>
          <w:w w:val="105"/>
        </w:rPr>
        <w:t> </w:t>
      </w:r>
      <w:r>
        <w:rPr>
          <w:rFonts w:ascii="Cambria" w:hAnsi="Cambria"/>
          <w:w w:val="105"/>
        </w:rPr>
        <w:t>ecuación</w:t>
      </w:r>
      <w:r>
        <w:rPr>
          <w:rFonts w:ascii="Cambria" w:hAnsi="Cambria"/>
          <w:spacing w:val="-7"/>
          <w:w w:val="105"/>
        </w:rPr>
        <w:t> </w:t>
      </w:r>
      <w:r>
        <w:rPr>
          <w:rFonts w:ascii="Cambria" w:hAnsi="Cambria"/>
          <w:w w:val="105"/>
        </w:rPr>
        <w:t>describe</w:t>
      </w:r>
      <w:r>
        <w:rPr>
          <w:rFonts w:ascii="Cambria" w:hAnsi="Cambria"/>
          <w:spacing w:val="-7"/>
          <w:w w:val="105"/>
        </w:rPr>
        <w:t> </w:t>
      </w:r>
      <w:r>
        <w:rPr>
          <w:rFonts w:ascii="Cambria" w:hAnsi="Cambria"/>
          <w:w w:val="105"/>
        </w:rPr>
        <w:t>el</w:t>
      </w:r>
      <w:r>
        <w:rPr>
          <w:rFonts w:ascii="Cambria" w:hAnsi="Cambria"/>
          <w:spacing w:val="-6"/>
          <w:w w:val="105"/>
        </w:rPr>
        <w:t> </w:t>
      </w:r>
      <w:r>
        <w:rPr>
          <w:rFonts w:ascii="Cambria" w:hAnsi="Cambria"/>
          <w:w w:val="105"/>
        </w:rPr>
        <w:t>modelo</w:t>
      </w:r>
      <w:r>
        <w:rPr>
          <w:rFonts w:ascii="Cambria" w:hAnsi="Cambria"/>
          <w:spacing w:val="-7"/>
          <w:w w:val="105"/>
        </w:rPr>
        <w:t> </w:t>
      </w:r>
      <w:r>
        <w:rPr>
          <w:rFonts w:ascii="Cambria" w:hAnsi="Cambria"/>
          <w:w w:val="105"/>
        </w:rPr>
        <w:t>de</w:t>
      </w:r>
      <w:r>
        <w:rPr>
          <w:rFonts w:ascii="Cambria" w:hAnsi="Cambria"/>
          <w:spacing w:val="-7"/>
          <w:w w:val="105"/>
        </w:rPr>
        <w:t> </w:t>
      </w:r>
      <w:r>
        <w:rPr>
          <w:rFonts w:ascii="Cambria" w:hAnsi="Cambria"/>
          <w:w w:val="105"/>
        </w:rPr>
        <w:t>Lotka</w:t>
      </w:r>
      <w:r>
        <w:rPr>
          <w:rFonts w:ascii="Cambria" w:hAnsi="Cambria"/>
          <w:spacing w:val="-7"/>
          <w:w w:val="105"/>
        </w:rPr>
        <w:t> </w:t>
      </w:r>
      <w:r>
        <w:rPr>
          <w:rFonts w:ascii="Cambria" w:hAnsi="Cambria"/>
          <w:w w:val="105"/>
        </w:rPr>
        <w:t>y</w:t>
      </w:r>
      <w:r>
        <w:rPr>
          <w:rFonts w:ascii="Cambria" w:hAnsi="Cambria"/>
          <w:spacing w:val="-7"/>
          <w:w w:val="105"/>
        </w:rPr>
        <w:t> </w:t>
      </w:r>
      <w:r>
        <w:rPr>
          <w:rFonts w:ascii="Cambria" w:hAnsi="Cambria"/>
          <w:w w:val="105"/>
        </w:rPr>
        <w:t>Volterra.</w:t>
      </w:r>
      <w:r>
        <w:rPr>
          <w:rFonts w:ascii="Cambria" w:hAnsi="Cambria"/>
          <w:spacing w:val="-7"/>
          <w:w w:val="105"/>
        </w:rPr>
        <w:t> </w:t>
      </w:r>
      <w:r>
        <w:rPr>
          <w:rFonts w:ascii="Cambria" w:hAnsi="Cambria"/>
          <w:w w:val="105"/>
        </w:rPr>
        <w:t>El</w:t>
      </w:r>
      <w:r>
        <w:rPr>
          <w:rFonts w:ascii="Cambria" w:hAnsi="Cambria"/>
          <w:spacing w:val="-7"/>
          <w:w w:val="105"/>
        </w:rPr>
        <w:t> </w:t>
      </w:r>
      <w:r>
        <w:rPr>
          <w:rFonts w:ascii="Cambria" w:hAnsi="Cambria"/>
          <w:w w:val="105"/>
        </w:rPr>
        <w:t>Tipo</w:t>
      </w:r>
      <w:r>
        <w:rPr>
          <w:rFonts w:ascii="Cambria" w:hAnsi="Cambria"/>
          <w:spacing w:val="-7"/>
          <w:w w:val="105"/>
        </w:rPr>
        <w:t> </w:t>
      </w:r>
      <w:r>
        <w:rPr>
          <w:rFonts w:ascii="Cambria" w:hAnsi="Cambria"/>
          <w:w w:val="105"/>
        </w:rPr>
        <w:t>II presenta una relación logarítmica o linear negativa, entre la tasa de consumo del depredador y la densidad o abundancia de su presa, esta respuesta se ha descrito en</w:t>
      </w:r>
      <w:r>
        <w:rPr>
          <w:rFonts w:ascii="Cambria" w:hAnsi="Cambria"/>
          <w:spacing w:val="-13"/>
          <w:w w:val="105"/>
        </w:rPr>
        <w:t> </w:t>
      </w:r>
      <w:r>
        <w:rPr>
          <w:rFonts w:ascii="Cambria" w:hAnsi="Cambria"/>
          <w:w w:val="105"/>
        </w:rPr>
        <w:t>especies</w:t>
      </w:r>
      <w:r>
        <w:rPr>
          <w:rFonts w:ascii="Cambria" w:hAnsi="Cambria"/>
          <w:spacing w:val="-14"/>
          <w:w w:val="105"/>
        </w:rPr>
        <w:t> </w:t>
      </w:r>
      <w:r>
        <w:rPr>
          <w:rFonts w:ascii="Cambria" w:hAnsi="Cambria"/>
          <w:w w:val="105"/>
        </w:rPr>
        <w:t>que</w:t>
      </w:r>
      <w:r>
        <w:rPr>
          <w:rFonts w:ascii="Cambria" w:hAnsi="Cambria"/>
          <w:spacing w:val="-13"/>
          <w:w w:val="105"/>
        </w:rPr>
        <w:t> </w:t>
      </w:r>
      <w:r>
        <w:rPr>
          <w:rFonts w:ascii="Cambria" w:hAnsi="Cambria"/>
          <w:w w:val="105"/>
        </w:rPr>
        <w:t>son</w:t>
      </w:r>
      <w:r>
        <w:rPr>
          <w:rFonts w:ascii="Cambria" w:hAnsi="Cambria"/>
          <w:spacing w:val="-13"/>
          <w:w w:val="105"/>
        </w:rPr>
        <w:t> </w:t>
      </w:r>
      <w:r>
        <w:rPr>
          <w:rFonts w:ascii="Cambria" w:hAnsi="Cambria"/>
          <w:w w:val="105"/>
        </w:rPr>
        <w:t>especialistas</w:t>
      </w:r>
      <w:r>
        <w:rPr>
          <w:rFonts w:ascii="Cambria" w:hAnsi="Cambria"/>
          <w:spacing w:val="-12"/>
          <w:w w:val="105"/>
        </w:rPr>
        <w:t> </w:t>
      </w:r>
      <w:r>
        <w:rPr>
          <w:rFonts w:ascii="Cambria" w:hAnsi="Cambria"/>
          <w:w w:val="105"/>
        </w:rPr>
        <w:t>como</w:t>
      </w:r>
      <w:r>
        <w:rPr>
          <w:rFonts w:ascii="Cambria" w:hAnsi="Cambria"/>
          <w:spacing w:val="-13"/>
          <w:w w:val="105"/>
        </w:rPr>
        <w:t> </w:t>
      </w:r>
      <w:r>
        <w:rPr>
          <w:rFonts w:ascii="Cambria" w:hAnsi="Cambria"/>
          <w:w w:val="105"/>
        </w:rPr>
        <w:t>en</w:t>
      </w:r>
      <w:r>
        <w:rPr>
          <w:rFonts w:ascii="Cambria" w:hAnsi="Cambria"/>
          <w:spacing w:val="-13"/>
          <w:w w:val="105"/>
        </w:rPr>
        <w:t> </w:t>
      </w:r>
      <w:r>
        <w:rPr>
          <w:rFonts w:ascii="Cambria" w:hAnsi="Cambria"/>
          <w:w w:val="105"/>
        </w:rPr>
        <w:t>el</w:t>
      </w:r>
      <w:r>
        <w:rPr>
          <w:rFonts w:ascii="Cambria" w:hAnsi="Cambria"/>
          <w:spacing w:val="-13"/>
          <w:w w:val="105"/>
        </w:rPr>
        <w:t> </w:t>
      </w:r>
      <w:r>
        <w:rPr>
          <w:rFonts w:ascii="Cambria" w:hAnsi="Cambria"/>
          <w:w w:val="105"/>
        </w:rPr>
        <w:t>caso</w:t>
      </w:r>
      <w:r>
        <w:rPr>
          <w:rFonts w:ascii="Cambria" w:hAnsi="Cambria"/>
          <w:spacing w:val="-13"/>
          <w:w w:val="105"/>
        </w:rPr>
        <w:t> </w:t>
      </w:r>
      <w:r>
        <w:rPr>
          <w:rFonts w:ascii="Cambria" w:hAnsi="Cambria"/>
          <w:w w:val="105"/>
        </w:rPr>
        <w:t>de</w:t>
      </w:r>
      <w:r>
        <w:rPr>
          <w:rFonts w:ascii="Cambria" w:hAnsi="Cambria"/>
          <w:spacing w:val="-13"/>
          <w:w w:val="105"/>
        </w:rPr>
        <w:t> </w:t>
      </w:r>
      <w:r>
        <w:rPr>
          <w:rFonts w:ascii="Cambria" w:hAnsi="Cambria"/>
          <w:w w:val="105"/>
        </w:rPr>
        <w:t>linces</w:t>
      </w:r>
      <w:r>
        <w:rPr>
          <w:rFonts w:ascii="Cambria" w:hAnsi="Cambria"/>
          <w:spacing w:val="-13"/>
          <w:w w:val="105"/>
        </w:rPr>
        <w:t> </w:t>
      </w:r>
      <w:r>
        <w:rPr>
          <w:rFonts w:ascii="Cambria" w:hAnsi="Cambria"/>
          <w:w w:val="105"/>
        </w:rPr>
        <w:t>y</w:t>
      </w:r>
      <w:r>
        <w:rPr>
          <w:rFonts w:ascii="Cambria" w:hAnsi="Cambria"/>
          <w:spacing w:val="-13"/>
          <w:w w:val="105"/>
        </w:rPr>
        <w:t> </w:t>
      </w:r>
      <w:r>
        <w:rPr>
          <w:rFonts w:ascii="Cambria" w:hAnsi="Cambria"/>
          <w:w w:val="105"/>
        </w:rPr>
        <w:t>lobos</w:t>
      </w:r>
      <w:r>
        <w:rPr>
          <w:rFonts w:ascii="Cambria" w:hAnsi="Cambria"/>
          <w:spacing w:val="-12"/>
          <w:w w:val="105"/>
        </w:rPr>
        <w:t> </w:t>
      </w:r>
      <w:r>
        <w:rPr>
          <w:rFonts w:ascii="Cambria" w:hAnsi="Cambria"/>
          <w:w w:val="105"/>
        </w:rPr>
        <w:t>(Dale</w:t>
      </w:r>
      <w:r>
        <w:rPr>
          <w:rFonts w:ascii="Cambria" w:hAnsi="Cambria"/>
          <w:spacing w:val="-13"/>
          <w:w w:val="105"/>
        </w:rPr>
        <w:t> </w:t>
      </w:r>
      <w:r>
        <w:rPr>
          <w:rFonts w:ascii="Cambria" w:hAnsi="Cambria"/>
          <w:w w:val="105"/>
        </w:rPr>
        <w:t>et</w:t>
      </w:r>
      <w:r>
        <w:rPr>
          <w:rFonts w:ascii="Cambria" w:hAnsi="Cambria"/>
          <w:spacing w:val="-12"/>
          <w:w w:val="105"/>
        </w:rPr>
        <w:t> </w:t>
      </w:r>
      <w:r>
        <w:rPr>
          <w:rFonts w:ascii="Cambria" w:hAnsi="Cambria"/>
          <w:w w:val="105"/>
        </w:rPr>
        <w:t>al.</w:t>
      </w:r>
      <w:r>
        <w:rPr>
          <w:rFonts w:ascii="Cambria" w:hAnsi="Cambria"/>
          <w:spacing w:val="-13"/>
          <w:w w:val="105"/>
        </w:rPr>
        <w:t> </w:t>
      </w:r>
      <w:r>
        <w:rPr>
          <w:rFonts w:ascii="Cambria" w:hAnsi="Cambria"/>
          <w:w w:val="105"/>
        </w:rPr>
        <w:t>1994, O´Donoghue et al. 1998). La respuesta funcional tipo III ocurre cuando hay una relación sigmoidal o cuadrática entre el consumo del depredador en relación a bajas o intermedias densidades de su presa, esta se ha encontrado en especies de depredadores generalistas o facultativos como es el caso, de zorras, coyotes y pumas</w:t>
      </w:r>
      <w:r>
        <w:rPr>
          <w:rFonts w:ascii="Cambria" w:hAnsi="Cambria"/>
          <w:spacing w:val="-15"/>
          <w:w w:val="105"/>
        </w:rPr>
        <w:t> </w:t>
      </w:r>
      <w:r>
        <w:rPr>
          <w:rFonts w:ascii="Cambria" w:hAnsi="Cambria"/>
          <w:w w:val="105"/>
        </w:rPr>
        <w:t>(Keith</w:t>
      </w:r>
      <w:r>
        <w:rPr>
          <w:rFonts w:ascii="Cambria" w:hAnsi="Cambria"/>
          <w:spacing w:val="-13"/>
          <w:w w:val="105"/>
        </w:rPr>
        <w:t> </w:t>
      </w:r>
      <w:r>
        <w:rPr>
          <w:rFonts w:ascii="Cambria" w:hAnsi="Cambria"/>
          <w:w w:val="105"/>
        </w:rPr>
        <w:t>et</w:t>
      </w:r>
      <w:r>
        <w:rPr>
          <w:rFonts w:ascii="Cambria" w:hAnsi="Cambria"/>
          <w:spacing w:val="-13"/>
          <w:w w:val="105"/>
        </w:rPr>
        <w:t> </w:t>
      </w:r>
      <w:r>
        <w:rPr>
          <w:rFonts w:ascii="Cambria" w:hAnsi="Cambria"/>
          <w:w w:val="105"/>
        </w:rPr>
        <w:t>al.</w:t>
      </w:r>
      <w:r>
        <w:rPr>
          <w:rFonts w:ascii="Cambria" w:hAnsi="Cambria"/>
          <w:spacing w:val="-13"/>
          <w:w w:val="105"/>
        </w:rPr>
        <w:t> </w:t>
      </w:r>
      <w:r>
        <w:rPr>
          <w:rFonts w:ascii="Cambria" w:hAnsi="Cambria"/>
          <w:w w:val="105"/>
        </w:rPr>
        <w:t>1977,</w:t>
      </w:r>
      <w:r>
        <w:rPr>
          <w:rFonts w:ascii="Cambria" w:hAnsi="Cambria"/>
          <w:spacing w:val="-12"/>
          <w:w w:val="105"/>
        </w:rPr>
        <w:t> </w:t>
      </w:r>
      <w:r>
        <w:rPr>
          <w:rFonts w:ascii="Cambria" w:hAnsi="Cambria"/>
          <w:w w:val="105"/>
        </w:rPr>
        <w:t>Murphy</w:t>
      </w:r>
      <w:r>
        <w:rPr>
          <w:rFonts w:ascii="Cambria" w:hAnsi="Cambria"/>
          <w:spacing w:val="-13"/>
          <w:w w:val="105"/>
        </w:rPr>
        <w:t> </w:t>
      </w:r>
      <w:r>
        <w:rPr>
          <w:rFonts w:ascii="Cambria" w:hAnsi="Cambria"/>
          <w:w w:val="105"/>
        </w:rPr>
        <w:t>1998,</w:t>
      </w:r>
      <w:r>
        <w:rPr>
          <w:rFonts w:ascii="Cambria" w:hAnsi="Cambria"/>
          <w:spacing w:val="-13"/>
          <w:w w:val="105"/>
        </w:rPr>
        <w:t> </w:t>
      </w:r>
      <w:r>
        <w:rPr>
          <w:rFonts w:ascii="Cambria" w:hAnsi="Cambria"/>
          <w:w w:val="105"/>
        </w:rPr>
        <w:t>Robinson</w:t>
      </w:r>
      <w:r>
        <w:rPr>
          <w:rFonts w:ascii="Cambria" w:hAnsi="Cambria"/>
          <w:spacing w:val="-12"/>
          <w:w w:val="105"/>
        </w:rPr>
        <w:t> </w:t>
      </w:r>
      <w:r>
        <w:rPr>
          <w:rFonts w:ascii="Cambria" w:hAnsi="Cambria"/>
          <w:w w:val="105"/>
        </w:rPr>
        <w:t>et</w:t>
      </w:r>
      <w:r>
        <w:rPr>
          <w:rFonts w:ascii="Cambria" w:hAnsi="Cambria"/>
          <w:spacing w:val="-12"/>
          <w:w w:val="105"/>
        </w:rPr>
        <w:t> </w:t>
      </w:r>
      <w:r>
        <w:rPr>
          <w:rFonts w:ascii="Cambria" w:hAnsi="Cambria"/>
          <w:w w:val="105"/>
        </w:rPr>
        <w:t>al.</w:t>
      </w:r>
      <w:r>
        <w:rPr>
          <w:rFonts w:ascii="Cambria" w:hAnsi="Cambria"/>
          <w:spacing w:val="-13"/>
          <w:w w:val="105"/>
        </w:rPr>
        <w:t> </w:t>
      </w:r>
      <w:r>
        <w:rPr>
          <w:rFonts w:ascii="Cambria" w:hAnsi="Cambria"/>
          <w:w w:val="105"/>
        </w:rPr>
        <w:t>2002,</w:t>
      </w:r>
      <w:r>
        <w:rPr>
          <w:rFonts w:ascii="Cambria" w:hAnsi="Cambria"/>
          <w:spacing w:val="-13"/>
          <w:w w:val="105"/>
        </w:rPr>
        <w:t> </w:t>
      </w:r>
      <w:r>
        <w:rPr>
          <w:rFonts w:ascii="Cambria" w:hAnsi="Cambria"/>
          <w:w w:val="105"/>
        </w:rPr>
        <w:t>Delibes-Mateos</w:t>
      </w:r>
      <w:r>
        <w:rPr>
          <w:rFonts w:ascii="Cambria" w:hAnsi="Cambria"/>
          <w:spacing w:val="-14"/>
          <w:w w:val="105"/>
        </w:rPr>
        <w:t> </w:t>
      </w:r>
      <w:r>
        <w:rPr>
          <w:rFonts w:ascii="Cambria" w:hAnsi="Cambria"/>
          <w:w w:val="105"/>
        </w:rPr>
        <w:t>et</w:t>
      </w:r>
      <w:r>
        <w:rPr>
          <w:rFonts w:ascii="Cambria" w:hAnsi="Cambria"/>
          <w:spacing w:val="-12"/>
          <w:w w:val="105"/>
        </w:rPr>
        <w:t> </w:t>
      </w:r>
      <w:r>
        <w:rPr>
          <w:rFonts w:ascii="Cambria" w:hAnsi="Cambria"/>
          <w:w w:val="105"/>
        </w:rPr>
        <w:t>al. </w:t>
      </w:r>
      <w:r>
        <w:rPr>
          <w:rFonts w:ascii="Cambria" w:hAnsi="Cambria"/>
        </w:rPr>
        <w:t>2008,</w:t>
      </w:r>
      <w:r>
        <w:rPr>
          <w:rFonts w:ascii="Cambria" w:hAnsi="Cambria"/>
          <w:spacing w:val="-17"/>
        </w:rPr>
        <w:t> </w:t>
      </w:r>
      <w:r>
        <w:rPr>
          <w:rFonts w:ascii="Cambria" w:hAnsi="Cambria"/>
        </w:rPr>
        <w:t>Ferreras</w:t>
      </w:r>
      <w:r>
        <w:rPr>
          <w:rFonts w:ascii="Cambria" w:hAnsi="Cambria"/>
          <w:spacing w:val="-17"/>
        </w:rPr>
        <w:t> </w:t>
      </w:r>
      <w:r>
        <w:rPr>
          <w:rFonts w:ascii="Cambria" w:hAnsi="Cambria"/>
        </w:rPr>
        <w:t>et</w:t>
      </w:r>
      <w:r>
        <w:rPr>
          <w:rFonts w:ascii="Cambria" w:hAnsi="Cambria"/>
          <w:spacing w:val="-16"/>
        </w:rPr>
        <w:t> </w:t>
      </w:r>
      <w:r>
        <w:rPr>
          <w:rFonts w:ascii="Cambria" w:hAnsi="Cambria"/>
        </w:rPr>
        <w:t>al.</w:t>
      </w:r>
      <w:r>
        <w:rPr>
          <w:rFonts w:ascii="Cambria" w:hAnsi="Cambria"/>
          <w:spacing w:val="-17"/>
        </w:rPr>
        <w:t> </w:t>
      </w:r>
      <w:r>
        <w:rPr>
          <w:rFonts w:ascii="Cambria" w:hAnsi="Cambria"/>
        </w:rPr>
        <w:t>2011).</w:t>
      </w:r>
    </w:p>
    <w:p>
      <w:pPr>
        <w:pStyle w:val="BodyText"/>
        <w:spacing w:line="508" w:lineRule="auto" w:before="1"/>
        <w:ind w:left="102" w:right="149" w:firstLine="707"/>
        <w:rPr>
          <w:rFonts w:ascii="Cambria" w:hAnsi="Cambria"/>
        </w:rPr>
      </w:pPr>
      <w:r>
        <w:rPr>
          <w:rFonts w:ascii="Cambria" w:hAnsi="Cambria"/>
          <w:w w:val="105"/>
        </w:rPr>
        <w:t>Otra</w:t>
      </w:r>
      <w:r>
        <w:rPr>
          <w:rFonts w:ascii="Cambria" w:hAnsi="Cambria"/>
          <w:spacing w:val="-13"/>
          <w:w w:val="105"/>
        </w:rPr>
        <w:t> </w:t>
      </w:r>
      <w:r>
        <w:rPr>
          <w:rFonts w:ascii="Cambria" w:hAnsi="Cambria"/>
          <w:w w:val="105"/>
        </w:rPr>
        <w:t>forma</w:t>
      </w:r>
      <w:r>
        <w:rPr>
          <w:rFonts w:ascii="Cambria" w:hAnsi="Cambria"/>
          <w:spacing w:val="-13"/>
          <w:w w:val="105"/>
        </w:rPr>
        <w:t> </w:t>
      </w:r>
      <w:r>
        <w:rPr>
          <w:rFonts w:ascii="Cambria" w:hAnsi="Cambria"/>
          <w:w w:val="105"/>
        </w:rPr>
        <w:t>de</w:t>
      </w:r>
      <w:r>
        <w:rPr>
          <w:rFonts w:ascii="Cambria" w:hAnsi="Cambria"/>
          <w:spacing w:val="-13"/>
          <w:w w:val="105"/>
        </w:rPr>
        <w:t> </w:t>
      </w:r>
      <w:r>
        <w:rPr>
          <w:rFonts w:ascii="Cambria" w:hAnsi="Cambria"/>
          <w:w w:val="105"/>
        </w:rPr>
        <w:t>abordar</w:t>
      </w:r>
      <w:r>
        <w:rPr>
          <w:rFonts w:ascii="Cambria" w:hAnsi="Cambria"/>
          <w:spacing w:val="-15"/>
          <w:w w:val="105"/>
        </w:rPr>
        <w:t> </w:t>
      </w:r>
      <w:r>
        <w:rPr>
          <w:rFonts w:ascii="Cambria" w:hAnsi="Cambria"/>
          <w:w w:val="105"/>
        </w:rPr>
        <w:t>las</w:t>
      </w:r>
      <w:r>
        <w:rPr>
          <w:rFonts w:ascii="Cambria" w:hAnsi="Cambria"/>
          <w:spacing w:val="-14"/>
          <w:w w:val="105"/>
        </w:rPr>
        <w:t> </w:t>
      </w:r>
      <w:r>
        <w:rPr>
          <w:rFonts w:ascii="Cambria" w:hAnsi="Cambria"/>
          <w:w w:val="105"/>
        </w:rPr>
        <w:t>interacciones</w:t>
      </w:r>
      <w:r>
        <w:rPr>
          <w:rFonts w:ascii="Cambria" w:hAnsi="Cambria"/>
          <w:spacing w:val="-13"/>
          <w:w w:val="105"/>
        </w:rPr>
        <w:t> </w:t>
      </w:r>
      <w:r>
        <w:rPr>
          <w:rFonts w:ascii="Cambria" w:hAnsi="Cambria"/>
          <w:w w:val="105"/>
        </w:rPr>
        <w:t>depredador-presa,</w:t>
      </w:r>
      <w:r>
        <w:rPr>
          <w:rFonts w:ascii="Cambria" w:hAnsi="Cambria"/>
          <w:spacing w:val="-13"/>
          <w:w w:val="105"/>
        </w:rPr>
        <w:t> </w:t>
      </w:r>
      <w:r>
        <w:rPr>
          <w:rFonts w:ascii="Cambria" w:hAnsi="Cambria"/>
          <w:w w:val="105"/>
        </w:rPr>
        <w:t>es</w:t>
      </w:r>
      <w:r>
        <w:rPr>
          <w:rFonts w:ascii="Cambria" w:hAnsi="Cambria"/>
          <w:spacing w:val="-15"/>
          <w:w w:val="105"/>
        </w:rPr>
        <w:t> </w:t>
      </w:r>
      <w:r>
        <w:rPr>
          <w:rFonts w:ascii="Cambria" w:hAnsi="Cambria"/>
          <w:w w:val="105"/>
        </w:rPr>
        <w:t>a</w:t>
      </w:r>
      <w:r>
        <w:rPr>
          <w:rFonts w:ascii="Cambria" w:hAnsi="Cambria"/>
          <w:spacing w:val="-13"/>
          <w:w w:val="105"/>
        </w:rPr>
        <w:t> </w:t>
      </w:r>
      <w:r>
        <w:rPr>
          <w:rFonts w:ascii="Cambria" w:hAnsi="Cambria"/>
          <w:w w:val="105"/>
        </w:rPr>
        <w:t>través</w:t>
      </w:r>
      <w:r>
        <w:rPr>
          <w:rFonts w:ascii="Cambria" w:hAnsi="Cambria"/>
          <w:spacing w:val="-13"/>
          <w:w w:val="105"/>
        </w:rPr>
        <w:t> </w:t>
      </w:r>
      <w:r>
        <w:rPr>
          <w:rFonts w:ascii="Cambria" w:hAnsi="Cambria"/>
          <w:w w:val="105"/>
        </w:rPr>
        <w:t>de</w:t>
      </w:r>
      <w:r>
        <w:rPr>
          <w:rFonts w:ascii="Cambria" w:hAnsi="Cambria"/>
          <w:spacing w:val="-13"/>
          <w:w w:val="105"/>
        </w:rPr>
        <w:t> </w:t>
      </w:r>
      <w:r>
        <w:rPr>
          <w:rFonts w:ascii="Cambria" w:hAnsi="Cambria"/>
          <w:w w:val="105"/>
        </w:rPr>
        <w:t>los efectos</w:t>
      </w:r>
      <w:r>
        <w:rPr>
          <w:rFonts w:ascii="Cambria" w:hAnsi="Cambria"/>
          <w:spacing w:val="-8"/>
          <w:w w:val="105"/>
        </w:rPr>
        <w:t> </w:t>
      </w:r>
      <w:r>
        <w:rPr>
          <w:rFonts w:ascii="Cambria" w:hAnsi="Cambria"/>
          <w:w w:val="105"/>
        </w:rPr>
        <w:t>llamados</w:t>
      </w:r>
      <w:r>
        <w:rPr>
          <w:rFonts w:ascii="Cambria" w:hAnsi="Cambria"/>
          <w:spacing w:val="-7"/>
          <w:w w:val="105"/>
        </w:rPr>
        <w:t> </w:t>
      </w:r>
      <w:r>
        <w:rPr>
          <w:rFonts w:ascii="Cambria" w:hAnsi="Cambria"/>
          <w:w w:val="105"/>
        </w:rPr>
        <w:t>en</w:t>
      </w:r>
      <w:r>
        <w:rPr>
          <w:rFonts w:ascii="Cambria" w:hAnsi="Cambria"/>
          <w:spacing w:val="-7"/>
          <w:w w:val="105"/>
        </w:rPr>
        <w:t> </w:t>
      </w:r>
      <w:r>
        <w:rPr>
          <w:rFonts w:ascii="Cambria" w:hAnsi="Cambria"/>
          <w:w w:val="105"/>
        </w:rPr>
        <w:t>ingles</w:t>
      </w:r>
      <w:r>
        <w:rPr>
          <w:rFonts w:ascii="Cambria" w:hAnsi="Cambria"/>
          <w:spacing w:val="-8"/>
          <w:w w:val="105"/>
        </w:rPr>
        <w:t> </w:t>
      </w:r>
      <w:r>
        <w:rPr>
          <w:rFonts w:ascii="Cambria" w:hAnsi="Cambria"/>
          <w:w w:val="105"/>
        </w:rPr>
        <w:t>top-down</w:t>
      </w:r>
      <w:r>
        <w:rPr>
          <w:rFonts w:ascii="Cambria" w:hAnsi="Cambria"/>
          <w:spacing w:val="-8"/>
          <w:w w:val="105"/>
        </w:rPr>
        <w:t> </w:t>
      </w:r>
      <w:r>
        <w:rPr>
          <w:rFonts w:ascii="Cambria" w:hAnsi="Cambria"/>
          <w:w w:val="105"/>
        </w:rPr>
        <w:t>y</w:t>
      </w:r>
      <w:r>
        <w:rPr>
          <w:rFonts w:ascii="Cambria" w:hAnsi="Cambria"/>
          <w:spacing w:val="-7"/>
          <w:w w:val="105"/>
        </w:rPr>
        <w:t> </w:t>
      </w:r>
      <w:r>
        <w:rPr>
          <w:rFonts w:ascii="Cambria" w:hAnsi="Cambria"/>
          <w:w w:val="105"/>
        </w:rPr>
        <w:t>buttom-up</w:t>
      </w:r>
      <w:r>
        <w:rPr>
          <w:rFonts w:ascii="Cambria" w:hAnsi="Cambria"/>
          <w:spacing w:val="-8"/>
          <w:w w:val="105"/>
        </w:rPr>
        <w:t> </w:t>
      </w:r>
      <w:r>
        <w:rPr>
          <w:rFonts w:ascii="Cambria" w:hAnsi="Cambria"/>
          <w:w w:val="105"/>
        </w:rPr>
        <w:t>influyen</w:t>
      </w:r>
      <w:r>
        <w:rPr>
          <w:rFonts w:ascii="Cambria" w:hAnsi="Cambria"/>
          <w:spacing w:val="-7"/>
          <w:w w:val="105"/>
        </w:rPr>
        <w:t> </w:t>
      </w:r>
      <w:r>
        <w:rPr>
          <w:rFonts w:ascii="Cambria" w:hAnsi="Cambria"/>
          <w:w w:val="105"/>
        </w:rPr>
        <w:t>en</w:t>
      </w:r>
      <w:r>
        <w:rPr>
          <w:rFonts w:ascii="Cambria" w:hAnsi="Cambria"/>
          <w:spacing w:val="-7"/>
          <w:w w:val="105"/>
        </w:rPr>
        <w:t> </w:t>
      </w:r>
      <w:r>
        <w:rPr>
          <w:rFonts w:ascii="Cambria" w:hAnsi="Cambria"/>
          <w:w w:val="105"/>
        </w:rPr>
        <w:t>las</w:t>
      </w:r>
      <w:r>
        <w:rPr>
          <w:rFonts w:ascii="Cambria" w:hAnsi="Cambria"/>
          <w:spacing w:val="-5"/>
          <w:w w:val="105"/>
        </w:rPr>
        <w:t> </w:t>
      </w:r>
      <w:r>
        <w:rPr>
          <w:rFonts w:ascii="Cambria" w:hAnsi="Cambria"/>
          <w:w w:val="105"/>
        </w:rPr>
        <w:t>cascadas</w:t>
      </w:r>
      <w:r>
        <w:rPr>
          <w:rFonts w:ascii="Cambria" w:hAnsi="Cambria"/>
          <w:spacing w:val="-8"/>
          <w:w w:val="105"/>
        </w:rPr>
        <w:t> </w:t>
      </w:r>
      <w:r>
        <w:rPr>
          <w:rFonts w:ascii="Cambria" w:hAnsi="Cambria"/>
          <w:w w:val="105"/>
        </w:rPr>
        <w:t>tróficas y</w:t>
      </w:r>
      <w:r>
        <w:rPr>
          <w:rFonts w:ascii="Cambria" w:hAnsi="Cambria"/>
          <w:spacing w:val="-10"/>
          <w:w w:val="105"/>
        </w:rPr>
        <w:t> </w:t>
      </w:r>
      <w:r>
        <w:rPr>
          <w:rFonts w:ascii="Cambria" w:hAnsi="Cambria"/>
          <w:w w:val="105"/>
        </w:rPr>
        <w:t>regulan</w:t>
      </w:r>
      <w:r>
        <w:rPr>
          <w:rFonts w:ascii="Cambria" w:hAnsi="Cambria"/>
          <w:spacing w:val="-11"/>
          <w:w w:val="105"/>
        </w:rPr>
        <w:t> </w:t>
      </w:r>
      <w:r>
        <w:rPr>
          <w:rFonts w:ascii="Cambria" w:hAnsi="Cambria"/>
          <w:w w:val="105"/>
        </w:rPr>
        <w:t>la</w:t>
      </w:r>
      <w:r>
        <w:rPr>
          <w:rFonts w:ascii="Cambria" w:hAnsi="Cambria"/>
          <w:spacing w:val="-10"/>
          <w:w w:val="105"/>
        </w:rPr>
        <w:t> </w:t>
      </w:r>
      <w:r>
        <w:rPr>
          <w:rFonts w:ascii="Cambria" w:hAnsi="Cambria"/>
          <w:w w:val="105"/>
        </w:rPr>
        <w:t>estructura</w:t>
      </w:r>
      <w:r>
        <w:rPr>
          <w:rFonts w:ascii="Cambria" w:hAnsi="Cambria"/>
          <w:spacing w:val="-13"/>
          <w:w w:val="105"/>
        </w:rPr>
        <w:t> </w:t>
      </w:r>
      <w:r>
        <w:rPr>
          <w:rFonts w:ascii="Cambria" w:hAnsi="Cambria"/>
          <w:w w:val="105"/>
        </w:rPr>
        <w:t>poblacional</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depredadores</w:t>
      </w:r>
      <w:r>
        <w:rPr>
          <w:rFonts w:ascii="Cambria" w:hAnsi="Cambria"/>
          <w:spacing w:val="-10"/>
          <w:w w:val="105"/>
        </w:rPr>
        <w:t> </w:t>
      </w:r>
      <w:r>
        <w:rPr>
          <w:rFonts w:ascii="Cambria" w:hAnsi="Cambria"/>
          <w:w w:val="105"/>
        </w:rPr>
        <w:t>y</w:t>
      </w:r>
      <w:r>
        <w:rPr>
          <w:rFonts w:ascii="Cambria" w:hAnsi="Cambria"/>
          <w:spacing w:val="-10"/>
          <w:w w:val="105"/>
        </w:rPr>
        <w:t> </w:t>
      </w:r>
      <w:r>
        <w:rPr>
          <w:rFonts w:ascii="Cambria" w:hAnsi="Cambria"/>
          <w:w w:val="105"/>
        </w:rPr>
        <w:t>presas</w:t>
      </w:r>
      <w:r>
        <w:rPr>
          <w:rFonts w:ascii="Cambria" w:hAnsi="Cambria"/>
          <w:spacing w:val="-12"/>
          <w:w w:val="105"/>
        </w:rPr>
        <w:t> </w:t>
      </w:r>
      <w:r>
        <w:rPr>
          <w:rFonts w:ascii="Cambria" w:hAnsi="Cambria"/>
          <w:w w:val="105"/>
        </w:rPr>
        <w:t>(Vucetich</w:t>
      </w:r>
      <w:r>
        <w:rPr>
          <w:rFonts w:ascii="Cambria" w:hAnsi="Cambria"/>
          <w:spacing w:val="-10"/>
          <w:w w:val="105"/>
        </w:rPr>
        <w:t> </w:t>
      </w:r>
      <w:r>
        <w:rPr>
          <w:rFonts w:ascii="Cambria" w:hAnsi="Cambria"/>
          <w:w w:val="105"/>
        </w:rPr>
        <w:t>y</w:t>
      </w:r>
      <w:r>
        <w:rPr>
          <w:rFonts w:ascii="Cambria" w:hAnsi="Cambria"/>
          <w:spacing w:val="-10"/>
          <w:w w:val="105"/>
        </w:rPr>
        <w:t> </w:t>
      </w:r>
      <w:r>
        <w:rPr>
          <w:rFonts w:ascii="Cambria" w:hAnsi="Cambria"/>
          <w:w w:val="105"/>
        </w:rPr>
        <w:t>Peterson 2004,</w:t>
      </w:r>
      <w:r>
        <w:rPr>
          <w:rFonts w:ascii="Cambria" w:hAnsi="Cambria"/>
          <w:spacing w:val="-16"/>
          <w:w w:val="105"/>
        </w:rPr>
        <w:t> </w:t>
      </w:r>
      <w:r>
        <w:rPr>
          <w:rFonts w:ascii="Cambria" w:hAnsi="Cambria"/>
          <w:w w:val="105"/>
        </w:rPr>
        <w:t>Keeler</w:t>
      </w:r>
      <w:r>
        <w:rPr>
          <w:rFonts w:ascii="Cambria" w:hAnsi="Cambria"/>
          <w:spacing w:val="-15"/>
          <w:w w:val="105"/>
        </w:rPr>
        <w:t> </w:t>
      </w:r>
      <w:r>
        <w:rPr>
          <w:rFonts w:ascii="Cambria" w:hAnsi="Cambria"/>
          <w:w w:val="105"/>
        </w:rPr>
        <w:t>et</w:t>
      </w:r>
      <w:r>
        <w:rPr>
          <w:rFonts w:ascii="Cambria" w:hAnsi="Cambria"/>
          <w:spacing w:val="-16"/>
          <w:w w:val="105"/>
        </w:rPr>
        <w:t> </w:t>
      </w:r>
      <w:r>
        <w:rPr>
          <w:rFonts w:ascii="Cambria" w:hAnsi="Cambria"/>
          <w:w w:val="105"/>
        </w:rPr>
        <w:t>al.</w:t>
      </w:r>
      <w:r>
        <w:rPr>
          <w:rFonts w:ascii="Cambria" w:hAnsi="Cambria"/>
          <w:spacing w:val="-16"/>
          <w:w w:val="105"/>
        </w:rPr>
        <w:t> </w:t>
      </w:r>
      <w:r>
        <w:rPr>
          <w:rFonts w:ascii="Cambria" w:hAnsi="Cambria"/>
          <w:w w:val="105"/>
        </w:rPr>
        <w:t>2006).</w:t>
      </w:r>
      <w:r>
        <w:rPr>
          <w:rFonts w:ascii="Cambria" w:hAnsi="Cambria"/>
          <w:spacing w:val="-16"/>
          <w:w w:val="105"/>
        </w:rPr>
        <w:t> </w:t>
      </w:r>
      <w:r>
        <w:rPr>
          <w:rFonts w:ascii="Cambria" w:hAnsi="Cambria"/>
          <w:w w:val="105"/>
        </w:rPr>
        <w:t>In</w:t>
      </w:r>
      <w:r>
        <w:rPr>
          <w:rFonts w:ascii="Cambria" w:hAnsi="Cambria"/>
          <w:spacing w:val="-16"/>
          <w:w w:val="105"/>
        </w:rPr>
        <w:t> </w:t>
      </w:r>
      <w:r>
        <w:rPr>
          <w:rFonts w:ascii="Cambria" w:hAnsi="Cambria"/>
          <w:w w:val="105"/>
        </w:rPr>
        <w:t>el</w:t>
      </w:r>
      <w:r>
        <w:rPr>
          <w:rFonts w:ascii="Cambria" w:hAnsi="Cambria"/>
          <w:spacing w:val="-16"/>
          <w:w w:val="105"/>
        </w:rPr>
        <w:t> </w:t>
      </w:r>
      <w:r>
        <w:rPr>
          <w:rFonts w:ascii="Cambria" w:hAnsi="Cambria"/>
          <w:w w:val="105"/>
        </w:rPr>
        <w:t>efecto</w:t>
      </w:r>
      <w:r>
        <w:rPr>
          <w:rFonts w:ascii="Cambria" w:hAnsi="Cambria"/>
          <w:spacing w:val="-16"/>
          <w:w w:val="105"/>
        </w:rPr>
        <w:t> </w:t>
      </w:r>
      <w:r>
        <w:rPr>
          <w:rFonts w:ascii="Cambria" w:hAnsi="Cambria"/>
          <w:w w:val="105"/>
        </w:rPr>
        <w:t>Top-down,</w:t>
      </w:r>
      <w:r>
        <w:rPr>
          <w:rFonts w:ascii="Cambria" w:hAnsi="Cambria"/>
          <w:spacing w:val="-16"/>
          <w:w w:val="105"/>
        </w:rPr>
        <w:t> </w:t>
      </w:r>
      <w:r>
        <w:rPr>
          <w:rFonts w:ascii="Cambria" w:hAnsi="Cambria"/>
          <w:w w:val="105"/>
        </w:rPr>
        <w:t>los</w:t>
      </w:r>
      <w:r>
        <w:rPr>
          <w:rFonts w:ascii="Cambria" w:hAnsi="Cambria"/>
          <w:spacing w:val="-16"/>
          <w:w w:val="105"/>
        </w:rPr>
        <w:t> </w:t>
      </w:r>
      <w:r>
        <w:rPr>
          <w:rFonts w:ascii="Cambria" w:hAnsi="Cambria"/>
          <w:w w:val="105"/>
        </w:rPr>
        <w:t>depredadores</w:t>
      </w:r>
      <w:r>
        <w:rPr>
          <w:rFonts w:ascii="Cambria" w:hAnsi="Cambria"/>
          <w:spacing w:val="-16"/>
          <w:w w:val="105"/>
        </w:rPr>
        <w:t> </w:t>
      </w:r>
      <w:r>
        <w:rPr>
          <w:rFonts w:ascii="Cambria" w:hAnsi="Cambria"/>
          <w:w w:val="105"/>
        </w:rPr>
        <w:t>tope</w:t>
      </w:r>
      <w:r>
        <w:rPr>
          <w:rFonts w:ascii="Cambria" w:hAnsi="Cambria"/>
          <w:spacing w:val="-16"/>
          <w:w w:val="105"/>
        </w:rPr>
        <w:t> </w:t>
      </w:r>
      <w:r>
        <w:rPr>
          <w:rFonts w:ascii="Cambria" w:hAnsi="Cambria"/>
          <w:w w:val="105"/>
        </w:rPr>
        <w:t>como</w:t>
      </w:r>
      <w:r>
        <w:rPr>
          <w:rFonts w:ascii="Cambria" w:hAnsi="Cambria"/>
          <w:spacing w:val="-16"/>
          <w:w w:val="105"/>
        </w:rPr>
        <w:t> </w:t>
      </w:r>
      <w:r>
        <w:rPr>
          <w:rFonts w:ascii="Cambria" w:hAnsi="Cambria"/>
          <w:w w:val="105"/>
        </w:rPr>
        <w:t>puma, regulan a las poblaciones de herbívoros y estos a su vez regulan la producción primaria</w:t>
      </w:r>
      <w:r>
        <w:rPr>
          <w:rFonts w:ascii="Cambria" w:hAnsi="Cambria"/>
          <w:spacing w:val="-10"/>
          <w:w w:val="105"/>
        </w:rPr>
        <w:t> </w:t>
      </w:r>
      <w:r>
        <w:rPr>
          <w:rFonts w:ascii="Cambria" w:hAnsi="Cambria"/>
          <w:w w:val="105"/>
        </w:rPr>
        <w:t>(biomasa</w:t>
      </w:r>
      <w:r>
        <w:rPr>
          <w:rFonts w:ascii="Cambria" w:hAnsi="Cambria"/>
          <w:spacing w:val="-10"/>
          <w:w w:val="105"/>
        </w:rPr>
        <w:t> </w:t>
      </w:r>
      <w:r>
        <w:rPr>
          <w:rFonts w:ascii="Cambria" w:hAnsi="Cambria"/>
          <w:w w:val="105"/>
        </w:rPr>
        <w:t>de</w:t>
      </w:r>
      <w:r>
        <w:rPr>
          <w:rFonts w:ascii="Cambria" w:hAnsi="Cambria"/>
          <w:spacing w:val="-8"/>
          <w:w w:val="105"/>
        </w:rPr>
        <w:t> </w:t>
      </w:r>
      <w:r>
        <w:rPr>
          <w:rFonts w:ascii="Cambria" w:hAnsi="Cambria"/>
          <w:w w:val="105"/>
        </w:rPr>
        <w:t>plantas)</w:t>
      </w:r>
      <w:r>
        <w:rPr>
          <w:rFonts w:ascii="Cambria" w:hAnsi="Cambria"/>
          <w:spacing w:val="-10"/>
          <w:w w:val="105"/>
        </w:rPr>
        <w:t> </w:t>
      </w:r>
      <w:r>
        <w:rPr>
          <w:rFonts w:ascii="Cambria" w:hAnsi="Cambria"/>
          <w:w w:val="105"/>
        </w:rPr>
        <w:t>y</w:t>
      </w:r>
      <w:r>
        <w:rPr>
          <w:rFonts w:ascii="Cambria" w:hAnsi="Cambria"/>
          <w:spacing w:val="-10"/>
          <w:w w:val="105"/>
        </w:rPr>
        <w:t> </w:t>
      </w:r>
      <w:r>
        <w:rPr>
          <w:rFonts w:ascii="Cambria" w:hAnsi="Cambria"/>
          <w:w w:val="105"/>
        </w:rPr>
        <w:t>en</w:t>
      </w:r>
      <w:r>
        <w:rPr>
          <w:rFonts w:ascii="Cambria" w:hAnsi="Cambria"/>
          <w:spacing w:val="-10"/>
          <w:w w:val="105"/>
        </w:rPr>
        <w:t> </w:t>
      </w:r>
      <w:r>
        <w:rPr>
          <w:rFonts w:ascii="Cambria" w:hAnsi="Cambria"/>
          <w:w w:val="105"/>
        </w:rPr>
        <w:t>el</w:t>
      </w:r>
      <w:r>
        <w:rPr>
          <w:rFonts w:ascii="Cambria" w:hAnsi="Cambria"/>
          <w:spacing w:val="-10"/>
          <w:w w:val="105"/>
        </w:rPr>
        <w:t> </w:t>
      </w:r>
      <w:r>
        <w:rPr>
          <w:rFonts w:ascii="Cambria" w:hAnsi="Cambria"/>
          <w:w w:val="105"/>
        </w:rPr>
        <w:t>efecto</w:t>
      </w:r>
      <w:r>
        <w:rPr>
          <w:rFonts w:ascii="Cambria" w:hAnsi="Cambria"/>
          <w:spacing w:val="-10"/>
          <w:w w:val="105"/>
        </w:rPr>
        <w:t> </w:t>
      </w:r>
      <w:r>
        <w:rPr>
          <w:rFonts w:ascii="Cambria" w:hAnsi="Cambria"/>
          <w:w w:val="105"/>
        </w:rPr>
        <w:t>buttom-up,</w:t>
      </w:r>
      <w:r>
        <w:rPr>
          <w:rFonts w:ascii="Cambria" w:hAnsi="Cambria"/>
          <w:spacing w:val="-10"/>
          <w:w w:val="105"/>
        </w:rPr>
        <w:t> </w:t>
      </w:r>
      <w:r>
        <w:rPr>
          <w:rFonts w:ascii="Cambria" w:hAnsi="Cambria"/>
          <w:w w:val="105"/>
        </w:rPr>
        <w:t>la</w:t>
      </w:r>
      <w:r>
        <w:rPr>
          <w:rFonts w:ascii="Cambria" w:hAnsi="Cambria"/>
          <w:spacing w:val="-10"/>
          <w:w w:val="105"/>
        </w:rPr>
        <w:t> </w:t>
      </w:r>
      <w:r>
        <w:rPr>
          <w:rFonts w:ascii="Cambria" w:hAnsi="Cambria"/>
          <w:w w:val="105"/>
        </w:rPr>
        <w:t>productividad</w:t>
      </w:r>
      <w:r>
        <w:rPr>
          <w:rFonts w:ascii="Cambria" w:hAnsi="Cambria"/>
          <w:spacing w:val="-10"/>
          <w:w w:val="105"/>
        </w:rPr>
        <w:t> </w:t>
      </w:r>
      <w:r>
        <w:rPr>
          <w:rFonts w:ascii="Cambria" w:hAnsi="Cambria"/>
          <w:w w:val="105"/>
        </w:rPr>
        <w:t>primaria</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151"/>
        <w:rPr>
          <w:rFonts w:ascii="Cambria" w:hAnsi="Cambria"/>
        </w:rPr>
      </w:pPr>
      <w:r>
        <w:rPr>
          <w:rFonts w:ascii="Cambria" w:hAnsi="Cambria"/>
          <w:w w:val="105"/>
        </w:rPr>
        <w:t>determina la cantidad y calidad de las plantas, limitando a la producción de herbívoros y a su vez la de los depredadores tope (Keeler et al. 2006; Gandiwa 2013). La importancia de conocer este tipo de efectos top-down y buttom-up es necesaria</w:t>
      </w:r>
      <w:r>
        <w:rPr>
          <w:rFonts w:ascii="Cambria" w:hAnsi="Cambria"/>
          <w:spacing w:val="-11"/>
          <w:w w:val="105"/>
        </w:rPr>
        <w:t> </w:t>
      </w:r>
      <w:r>
        <w:rPr>
          <w:rFonts w:ascii="Cambria" w:hAnsi="Cambria"/>
          <w:w w:val="105"/>
        </w:rPr>
        <w:t>para</w:t>
      </w:r>
      <w:r>
        <w:rPr>
          <w:rFonts w:ascii="Cambria" w:hAnsi="Cambria"/>
          <w:spacing w:val="-11"/>
          <w:w w:val="105"/>
        </w:rPr>
        <w:t> </w:t>
      </w:r>
      <w:r>
        <w:rPr>
          <w:rFonts w:ascii="Cambria" w:hAnsi="Cambria"/>
          <w:w w:val="105"/>
        </w:rPr>
        <w:t>comprender</w:t>
      </w:r>
      <w:r>
        <w:rPr>
          <w:rFonts w:ascii="Cambria" w:hAnsi="Cambria"/>
          <w:spacing w:val="-11"/>
          <w:w w:val="105"/>
        </w:rPr>
        <w:t> </w:t>
      </w:r>
      <w:r>
        <w:rPr>
          <w:rFonts w:ascii="Cambria" w:hAnsi="Cambria"/>
          <w:w w:val="105"/>
        </w:rPr>
        <w:t>los</w:t>
      </w:r>
      <w:r>
        <w:rPr>
          <w:rFonts w:ascii="Cambria" w:hAnsi="Cambria"/>
          <w:spacing w:val="-12"/>
          <w:w w:val="105"/>
        </w:rPr>
        <w:t> </w:t>
      </w:r>
      <w:r>
        <w:rPr>
          <w:rFonts w:ascii="Cambria" w:hAnsi="Cambria"/>
          <w:w w:val="105"/>
        </w:rPr>
        <w:t>mecanismos</w:t>
      </w:r>
      <w:r>
        <w:rPr>
          <w:rFonts w:ascii="Cambria" w:hAnsi="Cambria"/>
          <w:spacing w:val="-12"/>
          <w:w w:val="105"/>
        </w:rPr>
        <w:t> </w:t>
      </w:r>
      <w:r>
        <w:rPr>
          <w:rFonts w:ascii="Cambria" w:hAnsi="Cambria"/>
          <w:w w:val="105"/>
        </w:rPr>
        <w:t>que</w:t>
      </w:r>
      <w:r>
        <w:rPr>
          <w:rFonts w:ascii="Cambria" w:hAnsi="Cambria"/>
          <w:spacing w:val="-11"/>
          <w:w w:val="105"/>
        </w:rPr>
        <w:t> </w:t>
      </w:r>
      <w:r>
        <w:rPr>
          <w:rFonts w:ascii="Cambria" w:hAnsi="Cambria"/>
          <w:w w:val="105"/>
        </w:rPr>
        <w:t>están</w:t>
      </w:r>
      <w:r>
        <w:rPr>
          <w:rFonts w:ascii="Cambria" w:hAnsi="Cambria"/>
          <w:spacing w:val="-11"/>
          <w:w w:val="105"/>
        </w:rPr>
        <w:t> </w:t>
      </w:r>
      <w:r>
        <w:rPr>
          <w:rFonts w:ascii="Cambria" w:hAnsi="Cambria"/>
          <w:w w:val="105"/>
        </w:rPr>
        <w:t>regulando</w:t>
      </w:r>
      <w:r>
        <w:rPr>
          <w:rFonts w:ascii="Cambria" w:hAnsi="Cambria"/>
          <w:spacing w:val="-11"/>
          <w:w w:val="105"/>
        </w:rPr>
        <w:t> </w:t>
      </w:r>
      <w:r>
        <w:rPr>
          <w:rFonts w:ascii="Cambria" w:hAnsi="Cambria"/>
          <w:w w:val="105"/>
        </w:rPr>
        <w:t>a</w:t>
      </w:r>
      <w:r>
        <w:rPr>
          <w:rFonts w:ascii="Cambria" w:hAnsi="Cambria"/>
          <w:spacing w:val="-11"/>
          <w:w w:val="105"/>
        </w:rPr>
        <w:t> </w:t>
      </w:r>
      <w:r>
        <w:rPr>
          <w:rFonts w:ascii="Cambria" w:hAnsi="Cambria"/>
          <w:w w:val="105"/>
        </w:rPr>
        <w:t>la</w:t>
      </w:r>
      <w:r>
        <w:rPr>
          <w:rFonts w:ascii="Cambria" w:hAnsi="Cambria"/>
          <w:spacing w:val="-11"/>
          <w:w w:val="105"/>
        </w:rPr>
        <w:t> </w:t>
      </w:r>
      <w:r>
        <w:rPr>
          <w:rFonts w:ascii="Cambria" w:hAnsi="Cambria"/>
          <w:w w:val="105"/>
        </w:rPr>
        <w:t>población</w:t>
      </w:r>
      <w:r>
        <w:rPr>
          <w:rFonts w:ascii="Cambria" w:hAnsi="Cambria"/>
          <w:spacing w:val="-11"/>
          <w:w w:val="105"/>
        </w:rPr>
        <w:t> </w:t>
      </w:r>
      <w:r>
        <w:rPr>
          <w:rFonts w:ascii="Cambria" w:hAnsi="Cambria"/>
          <w:w w:val="105"/>
        </w:rPr>
        <w:t>en ese</w:t>
      </w:r>
      <w:r>
        <w:rPr>
          <w:rFonts w:ascii="Cambria" w:hAnsi="Cambria"/>
          <w:spacing w:val="-14"/>
          <w:w w:val="105"/>
        </w:rPr>
        <w:t> </w:t>
      </w:r>
      <w:r>
        <w:rPr>
          <w:rFonts w:ascii="Cambria" w:hAnsi="Cambria"/>
          <w:w w:val="105"/>
        </w:rPr>
        <w:t>momento</w:t>
      </w:r>
      <w:r>
        <w:rPr>
          <w:rFonts w:ascii="Cambria" w:hAnsi="Cambria"/>
          <w:spacing w:val="-14"/>
          <w:w w:val="105"/>
        </w:rPr>
        <w:t> </w:t>
      </w:r>
      <w:r>
        <w:rPr>
          <w:rFonts w:ascii="Cambria" w:hAnsi="Cambria"/>
          <w:w w:val="105"/>
        </w:rPr>
        <w:t>y</w:t>
      </w:r>
      <w:r>
        <w:rPr>
          <w:rFonts w:ascii="Cambria" w:hAnsi="Cambria"/>
          <w:spacing w:val="-14"/>
          <w:w w:val="105"/>
        </w:rPr>
        <w:t> </w:t>
      </w:r>
      <w:r>
        <w:rPr>
          <w:rFonts w:ascii="Cambria" w:hAnsi="Cambria"/>
          <w:w w:val="105"/>
        </w:rPr>
        <w:t>proponer</w:t>
      </w:r>
      <w:r>
        <w:rPr>
          <w:rFonts w:ascii="Cambria" w:hAnsi="Cambria"/>
          <w:spacing w:val="-14"/>
          <w:w w:val="105"/>
        </w:rPr>
        <w:t> </w:t>
      </w:r>
      <w:r>
        <w:rPr>
          <w:rFonts w:ascii="Cambria" w:hAnsi="Cambria"/>
          <w:w w:val="105"/>
        </w:rPr>
        <w:t>estrategias</w:t>
      </w:r>
      <w:r>
        <w:rPr>
          <w:rFonts w:ascii="Cambria" w:hAnsi="Cambria"/>
          <w:spacing w:val="-15"/>
          <w:w w:val="105"/>
        </w:rPr>
        <w:t> </w:t>
      </w:r>
      <w:r>
        <w:rPr>
          <w:rFonts w:ascii="Cambria" w:hAnsi="Cambria"/>
          <w:w w:val="105"/>
        </w:rPr>
        <w:t>adecuadas</w:t>
      </w:r>
      <w:r>
        <w:rPr>
          <w:rFonts w:ascii="Cambria" w:hAnsi="Cambria"/>
          <w:spacing w:val="-15"/>
          <w:w w:val="105"/>
        </w:rPr>
        <w:t> </w:t>
      </w:r>
      <w:r>
        <w:rPr>
          <w:rFonts w:ascii="Cambria" w:hAnsi="Cambria"/>
          <w:w w:val="105"/>
        </w:rPr>
        <w:t>para</w:t>
      </w:r>
      <w:r>
        <w:rPr>
          <w:rFonts w:ascii="Cambria" w:hAnsi="Cambria"/>
          <w:spacing w:val="-14"/>
          <w:w w:val="105"/>
        </w:rPr>
        <w:t> </w:t>
      </w:r>
      <w:r>
        <w:rPr>
          <w:rFonts w:ascii="Cambria" w:hAnsi="Cambria"/>
          <w:w w:val="105"/>
        </w:rPr>
        <w:t>conservar</w:t>
      </w:r>
      <w:r>
        <w:rPr>
          <w:rFonts w:ascii="Cambria" w:hAnsi="Cambria"/>
          <w:spacing w:val="-14"/>
          <w:w w:val="105"/>
        </w:rPr>
        <w:t> </w:t>
      </w:r>
      <w:r>
        <w:rPr>
          <w:rFonts w:ascii="Cambria" w:hAnsi="Cambria"/>
          <w:w w:val="105"/>
        </w:rPr>
        <w:t>la</w:t>
      </w:r>
      <w:r>
        <w:rPr>
          <w:rFonts w:ascii="Cambria" w:hAnsi="Cambria"/>
          <w:spacing w:val="-14"/>
          <w:w w:val="105"/>
        </w:rPr>
        <w:t> </w:t>
      </w:r>
      <w:r>
        <w:rPr>
          <w:rFonts w:ascii="Cambria" w:hAnsi="Cambria"/>
          <w:w w:val="105"/>
        </w:rPr>
        <w:t>biodiversidad</w:t>
      </w:r>
      <w:r>
        <w:rPr>
          <w:rFonts w:ascii="Cambria" w:hAnsi="Cambria"/>
          <w:spacing w:val="-11"/>
          <w:w w:val="105"/>
        </w:rPr>
        <w:t> </w:t>
      </w:r>
      <w:r>
        <w:rPr>
          <w:rFonts w:ascii="Cambria" w:hAnsi="Cambria"/>
          <w:w w:val="105"/>
        </w:rPr>
        <w:t>de estos</w:t>
      </w:r>
      <w:r>
        <w:rPr>
          <w:rFonts w:ascii="Cambria" w:hAnsi="Cambria"/>
          <w:spacing w:val="-24"/>
          <w:w w:val="105"/>
        </w:rPr>
        <w:t> </w:t>
      </w:r>
      <w:r>
        <w:rPr>
          <w:rFonts w:ascii="Cambria" w:hAnsi="Cambria"/>
          <w:w w:val="105"/>
        </w:rPr>
        <w:t>grupos</w:t>
      </w:r>
      <w:r>
        <w:rPr>
          <w:rFonts w:ascii="Cambria" w:hAnsi="Cambria"/>
          <w:spacing w:val="-24"/>
          <w:w w:val="105"/>
        </w:rPr>
        <w:t> </w:t>
      </w:r>
      <w:r>
        <w:rPr>
          <w:rFonts w:ascii="Cambria" w:hAnsi="Cambria"/>
          <w:w w:val="105"/>
        </w:rPr>
        <w:t>(Elmhagen</w:t>
      </w:r>
      <w:r>
        <w:rPr>
          <w:rFonts w:ascii="Cambria" w:hAnsi="Cambria"/>
          <w:spacing w:val="-24"/>
          <w:w w:val="105"/>
        </w:rPr>
        <w:t> </w:t>
      </w:r>
      <w:r>
        <w:rPr>
          <w:rFonts w:ascii="Cambria" w:hAnsi="Cambria"/>
          <w:w w:val="105"/>
        </w:rPr>
        <w:t>y</w:t>
      </w:r>
      <w:r>
        <w:rPr>
          <w:rFonts w:ascii="Cambria" w:hAnsi="Cambria"/>
          <w:spacing w:val="-23"/>
          <w:w w:val="105"/>
        </w:rPr>
        <w:t> </w:t>
      </w:r>
      <w:r>
        <w:rPr>
          <w:rFonts w:ascii="Cambria" w:hAnsi="Cambria"/>
          <w:w w:val="105"/>
        </w:rPr>
        <w:t>Rushton</w:t>
      </w:r>
      <w:r>
        <w:rPr>
          <w:rFonts w:ascii="Cambria" w:hAnsi="Cambria"/>
          <w:spacing w:val="-24"/>
          <w:w w:val="105"/>
        </w:rPr>
        <w:t> </w:t>
      </w:r>
      <w:r>
        <w:rPr>
          <w:rFonts w:ascii="Cambria" w:hAnsi="Cambria"/>
          <w:w w:val="105"/>
        </w:rPr>
        <w:t>2007).</w:t>
      </w:r>
    </w:p>
    <w:p>
      <w:pPr>
        <w:pStyle w:val="BodyText"/>
        <w:spacing w:line="508" w:lineRule="auto" w:before="1"/>
        <w:ind w:left="102" w:right="127" w:firstLine="707"/>
        <w:rPr>
          <w:rFonts w:ascii="Cambria" w:hAnsi="Cambria"/>
        </w:rPr>
      </w:pPr>
      <w:r>
        <w:rPr>
          <w:rFonts w:ascii="Cambria" w:hAnsi="Cambria"/>
        </w:rPr>
        <w:t>Finalmente otra forma de entender las interacciones entre depredadores y presas es en relación a su patrón de actividad; estas interacciones están reguladas principalmente por la habilidad del depredador para cazar y las estrategias que utilizan las presas para evitar ser depredadas, en algunos herbívoros se ha encontrado que como estrategia anti-depredatoria utilizan horarios nocturnos o antagonicos a los depredadores para disminuir el riesgo de depredación. Sin   embargo también sea mostrado que los depredadores para incrementar el acceso al alimento, modifican su actividad para coincidir con el de sus presas principales (Arias-Del Razoet al. 2011, Harmsen et al. 2011; Jenny and Zuberbuhler 2005). En distintos estudios se ha encontrado que la actividad de jaguares y pumas coinciden con el de sus presas principales (Carrillo et al. 2009, Harmsen et al.   </w:t>
      </w:r>
      <w:r>
        <w:rPr>
          <w:rFonts w:ascii="Cambria" w:hAnsi="Cambria"/>
          <w:spacing w:val="5"/>
        </w:rPr>
        <w:t> </w:t>
      </w:r>
      <w:r>
        <w:rPr>
          <w:rFonts w:ascii="Cambria" w:hAnsi="Cambria"/>
        </w:rPr>
        <w:t>2011).</w:t>
      </w:r>
    </w:p>
    <w:p>
      <w:pPr>
        <w:pStyle w:val="BodyText"/>
        <w:spacing w:line="487" w:lineRule="auto" w:before="1"/>
        <w:ind w:left="102" w:right="228" w:firstLine="707"/>
        <w:rPr>
          <w:rFonts w:ascii="Cambria" w:hAnsi="Cambria"/>
        </w:rPr>
      </w:pPr>
      <w:r>
        <w:rPr>
          <w:rFonts w:ascii="Cambria" w:hAnsi="Cambria"/>
        </w:rPr>
        <w:t>En la Sierra Nanchititla, a través de los estudios realizados sobre nicho   trófico, por Monroy-Vilchis </w:t>
      </w:r>
      <w:r>
        <w:rPr>
          <w:rFonts w:ascii="Palatino Linotype" w:hAnsi="Palatino Linotype"/>
          <w:i/>
        </w:rPr>
        <w:t>et al. </w:t>
      </w:r>
      <w:r>
        <w:rPr>
          <w:rFonts w:ascii="Cambria" w:hAnsi="Cambria"/>
        </w:rPr>
        <w:t>(2009a) y Gómez-Ortíz </w:t>
      </w:r>
      <w:r>
        <w:rPr>
          <w:rFonts w:ascii="Palatino Linotype" w:hAnsi="Palatino Linotype"/>
          <w:i/>
        </w:rPr>
        <w:t>et al. </w:t>
      </w:r>
      <w:r>
        <w:rPr>
          <w:rFonts w:ascii="Cambria" w:hAnsi="Cambria"/>
        </w:rPr>
        <w:t>(2011),   </w:t>
      </w:r>
      <w:r>
        <w:rPr>
          <w:rFonts w:ascii="Cambria" w:hAnsi="Cambria"/>
          <w:spacing w:val="7"/>
        </w:rPr>
        <w:t> </w:t>
      </w:r>
      <w:r>
        <w:rPr>
          <w:rFonts w:ascii="Cambria" w:hAnsi="Cambria"/>
        </w:rPr>
        <w:t>determinaron</w:t>
      </w:r>
    </w:p>
    <w:p>
      <w:pPr>
        <w:pStyle w:val="BodyText"/>
        <w:spacing w:line="264" w:lineRule="exact"/>
        <w:ind w:left="102"/>
        <w:rPr>
          <w:rFonts w:ascii="Palatino Linotype"/>
          <w:i/>
        </w:rPr>
      </w:pPr>
      <w:r>
        <w:rPr>
          <w:rFonts w:ascii="Cambria"/>
          <w:w w:val="105"/>
        </w:rPr>
        <w:t>que las tres presas principales en la dieta del puma son, armadillo (</w:t>
      </w:r>
      <w:r>
        <w:rPr>
          <w:rFonts w:ascii="Palatino Linotype"/>
          <w:i/>
          <w:w w:val="105"/>
        </w:rPr>
        <w:t>Dasypus</w:t>
      </w:r>
    </w:p>
    <w:p>
      <w:pPr>
        <w:pStyle w:val="BodyText"/>
        <w:spacing w:before="1"/>
        <w:rPr>
          <w:rFonts w:ascii="Palatino Linotype"/>
          <w:i/>
          <w:sz w:val="20"/>
        </w:rPr>
      </w:pPr>
    </w:p>
    <w:p>
      <w:pPr>
        <w:pStyle w:val="BodyText"/>
        <w:ind w:left="102"/>
        <w:rPr>
          <w:rFonts w:ascii="Cambria"/>
        </w:rPr>
      </w:pPr>
      <w:r>
        <w:rPr>
          <w:rFonts w:ascii="Palatino Linotype"/>
          <w:i/>
        </w:rPr>
        <w:t>novemcinctus</w:t>
      </w:r>
      <w:r>
        <w:rPr>
          <w:rFonts w:ascii="Cambria"/>
        </w:rPr>
        <w:t>) en primer lugar con el 58.65 % de frecuencia de ocurrencia, seguido</w:t>
      </w:r>
    </w:p>
    <w:p>
      <w:pPr>
        <w:spacing w:after="0"/>
        <w:rPr>
          <w:rFonts w:ascii="Cambria"/>
        </w:rPr>
        <w:sectPr>
          <w:pgSz w:w="12240" w:h="15840"/>
          <w:pgMar w:header="740" w:footer="779" w:top="960" w:bottom="960" w:left="1600" w:right="1600"/>
        </w:sectPr>
      </w:pPr>
    </w:p>
    <w:p>
      <w:pPr>
        <w:pStyle w:val="BodyText"/>
        <w:rPr>
          <w:rFonts w:ascii="Cambria"/>
          <w:sz w:val="20"/>
        </w:rPr>
      </w:pPr>
    </w:p>
    <w:p>
      <w:pPr>
        <w:spacing w:line="460" w:lineRule="auto" w:before="198"/>
        <w:ind w:left="102" w:right="0" w:firstLine="0"/>
        <w:jc w:val="left"/>
        <w:rPr>
          <w:rFonts w:ascii="Cambria" w:hAnsi="Cambria"/>
          <w:sz w:val="24"/>
        </w:rPr>
      </w:pPr>
      <w:r>
        <w:rPr>
          <w:rFonts w:ascii="Cambria" w:hAnsi="Cambria"/>
          <w:sz w:val="24"/>
        </w:rPr>
        <w:t>del coatí (</w:t>
      </w:r>
      <w:r>
        <w:rPr>
          <w:rFonts w:ascii="Palatino Linotype" w:hAnsi="Palatino Linotype"/>
          <w:i/>
          <w:sz w:val="24"/>
        </w:rPr>
        <w:t>Nasua narica</w:t>
      </w:r>
      <w:r>
        <w:rPr>
          <w:rFonts w:ascii="Cambria" w:hAnsi="Cambria"/>
          <w:sz w:val="24"/>
        </w:rPr>
        <w:t>) con el 22.12 % y venado cola blanca (</w:t>
      </w:r>
      <w:r>
        <w:rPr>
          <w:rFonts w:ascii="Palatino Linotype" w:hAnsi="Palatino Linotype"/>
          <w:i/>
          <w:sz w:val="24"/>
        </w:rPr>
        <w:t>Odocoileus virginianus</w:t>
      </w:r>
      <w:r>
        <w:rPr>
          <w:rFonts w:ascii="Cambria" w:hAnsi="Cambria"/>
          <w:sz w:val="24"/>
        </w:rPr>
        <w:t>) con el 14.42 %.</w:t>
      </w:r>
    </w:p>
    <w:p>
      <w:pPr>
        <w:pStyle w:val="BodyText"/>
        <w:spacing w:line="499" w:lineRule="auto" w:before="55"/>
        <w:ind w:left="102" w:right="50" w:firstLine="707"/>
        <w:rPr>
          <w:rFonts w:ascii="Cambria" w:hAnsi="Cambria"/>
        </w:rPr>
      </w:pPr>
      <w:r>
        <w:rPr>
          <w:rFonts w:ascii="Cambria" w:hAnsi="Cambria"/>
          <w:w w:val="105"/>
        </w:rPr>
        <w:t>La estimación de parámetros demográficos como supervivencia y migración e inmigración es importante para determinar la viabilidad que tienen las poblaciones en un sitio dado (Karanth </w:t>
      </w:r>
      <w:r>
        <w:rPr>
          <w:rFonts w:ascii="Palatino Linotype" w:hAnsi="Palatino Linotype"/>
          <w:i/>
          <w:w w:val="105"/>
        </w:rPr>
        <w:t>et al.</w:t>
      </w:r>
      <w:r>
        <w:rPr>
          <w:rFonts w:ascii="Cambria" w:hAnsi="Cambria"/>
          <w:w w:val="105"/>
        </w:rPr>
        <w:t>2006). Una manera en cómo se han</w:t>
      </w:r>
    </w:p>
    <w:p>
      <w:pPr>
        <w:pStyle w:val="BodyText"/>
        <w:spacing w:line="227" w:lineRule="exact"/>
        <w:ind w:left="102"/>
        <w:rPr>
          <w:rFonts w:ascii="Cambria" w:hAnsi="Cambria"/>
        </w:rPr>
      </w:pPr>
      <w:r>
        <w:rPr>
          <w:rFonts w:ascii="Cambria" w:hAnsi="Cambria"/>
          <w:w w:val="105"/>
        </w:rPr>
        <w:t>estimado estos aspectos demográficos es a través del programa Mark con una</w:t>
      </w:r>
    </w:p>
    <w:p>
      <w:pPr>
        <w:pStyle w:val="BodyText"/>
        <w:spacing w:before="11"/>
        <w:rPr>
          <w:rFonts w:ascii="Cambria"/>
        </w:rPr>
      </w:pPr>
    </w:p>
    <w:p>
      <w:pPr>
        <w:pStyle w:val="BodyText"/>
        <w:spacing w:line="458" w:lineRule="auto"/>
        <w:ind w:left="102"/>
        <w:rPr>
          <w:rFonts w:ascii="Cambria" w:hAnsi="Cambria"/>
        </w:rPr>
      </w:pPr>
      <w:r>
        <w:rPr>
          <w:rFonts w:ascii="Cambria" w:hAnsi="Cambria"/>
          <w:w w:val="105"/>
        </w:rPr>
        <w:t>herramienta llamada Robus desing. Siguiendo esta metodología Karanth </w:t>
      </w:r>
      <w:r>
        <w:rPr>
          <w:rFonts w:ascii="Palatino Linotype" w:hAnsi="Palatino Linotype"/>
          <w:i/>
          <w:w w:val="105"/>
        </w:rPr>
        <w:t>et al</w:t>
      </w:r>
      <w:r>
        <w:rPr>
          <w:rFonts w:ascii="Cambria" w:hAnsi="Cambria"/>
          <w:w w:val="105"/>
        </w:rPr>
        <w:t>. (2006), con 74 tigres identificados de trampas cámara de un estudio de 9 años,</w:t>
      </w:r>
    </w:p>
    <w:p>
      <w:pPr>
        <w:pStyle w:val="BodyText"/>
        <w:spacing w:line="484" w:lineRule="auto" w:before="60"/>
        <w:ind w:left="102"/>
        <w:rPr>
          <w:rFonts w:ascii="Cambria" w:hAnsi="Cambria"/>
        </w:rPr>
      </w:pPr>
      <w:r>
        <w:rPr>
          <w:rFonts w:ascii="Cambria" w:hAnsi="Cambria"/>
          <w:w w:val="105"/>
        </w:rPr>
        <w:t>determinan</w:t>
      </w:r>
      <w:r>
        <w:rPr>
          <w:rFonts w:ascii="Cambria" w:hAnsi="Cambria"/>
          <w:spacing w:val="-11"/>
          <w:w w:val="105"/>
        </w:rPr>
        <w:t> </w:t>
      </w:r>
      <w:r>
        <w:rPr>
          <w:rFonts w:ascii="Cambria" w:hAnsi="Cambria"/>
          <w:w w:val="105"/>
        </w:rPr>
        <w:t>una</w:t>
      </w:r>
      <w:r>
        <w:rPr>
          <w:rFonts w:ascii="Cambria" w:hAnsi="Cambria"/>
          <w:spacing w:val="-10"/>
          <w:w w:val="105"/>
        </w:rPr>
        <w:t> </w:t>
      </w:r>
      <w:r>
        <w:rPr>
          <w:rFonts w:ascii="Cambria" w:hAnsi="Cambria"/>
          <w:w w:val="105"/>
        </w:rPr>
        <w:t>supervivencia</w:t>
      </w:r>
      <w:r>
        <w:rPr>
          <w:rFonts w:ascii="Cambria" w:hAnsi="Cambria"/>
          <w:spacing w:val="-10"/>
          <w:w w:val="105"/>
        </w:rPr>
        <w:t> </w:t>
      </w:r>
      <w:r>
        <w:rPr>
          <w:rFonts w:ascii="Cambria" w:hAnsi="Cambria"/>
          <w:w w:val="105"/>
        </w:rPr>
        <w:t>para</w:t>
      </w:r>
      <w:r>
        <w:rPr>
          <w:rFonts w:ascii="Cambria" w:hAnsi="Cambria"/>
          <w:spacing w:val="-10"/>
          <w:w w:val="105"/>
        </w:rPr>
        <w:t> </w:t>
      </w:r>
      <w:r>
        <w:rPr>
          <w:rFonts w:ascii="Cambria" w:hAnsi="Cambria"/>
          <w:w w:val="105"/>
        </w:rPr>
        <w:t>tigres</w:t>
      </w:r>
      <w:r>
        <w:rPr>
          <w:rFonts w:ascii="Cambria" w:hAnsi="Cambria"/>
          <w:spacing w:val="-10"/>
          <w:w w:val="105"/>
        </w:rPr>
        <w:t> </w:t>
      </w:r>
      <w:r>
        <w:rPr>
          <w:rFonts w:ascii="Cambria" w:hAnsi="Cambria"/>
          <w:w w:val="105"/>
        </w:rPr>
        <w:t>del</w:t>
      </w:r>
      <w:r>
        <w:rPr>
          <w:rFonts w:ascii="Cambria" w:hAnsi="Cambria"/>
          <w:spacing w:val="-10"/>
          <w:w w:val="105"/>
        </w:rPr>
        <w:t> </w:t>
      </w:r>
      <w:r>
        <w:rPr>
          <w:rFonts w:ascii="Cambria" w:hAnsi="Cambria"/>
          <w:w w:val="105"/>
        </w:rPr>
        <w:t>77</w:t>
      </w:r>
      <w:r>
        <w:rPr>
          <w:rFonts w:ascii="Cambria" w:hAnsi="Cambria"/>
          <w:spacing w:val="-10"/>
          <w:w w:val="105"/>
        </w:rPr>
        <w:t> </w:t>
      </w:r>
      <w:r>
        <w:rPr>
          <w:rFonts w:ascii="Cambria" w:hAnsi="Cambria"/>
          <w:w w:val="105"/>
        </w:rPr>
        <w:t>%</w:t>
      </w:r>
      <w:r>
        <w:rPr>
          <w:rFonts w:ascii="Cambria" w:hAnsi="Cambria"/>
          <w:spacing w:val="-10"/>
          <w:w w:val="105"/>
        </w:rPr>
        <w:t> </w:t>
      </w:r>
      <w:r>
        <w:rPr>
          <w:rFonts w:ascii="Cambria" w:hAnsi="Cambria"/>
          <w:w w:val="105"/>
        </w:rPr>
        <w:t>y</w:t>
      </w:r>
      <w:r>
        <w:rPr>
          <w:rFonts w:ascii="Cambria" w:hAnsi="Cambria"/>
          <w:spacing w:val="-10"/>
          <w:w w:val="105"/>
        </w:rPr>
        <w:t> </w:t>
      </w:r>
      <w:r>
        <w:rPr>
          <w:rFonts w:ascii="Cambria" w:hAnsi="Cambria"/>
          <w:w w:val="105"/>
        </w:rPr>
        <w:t>una</w:t>
      </w:r>
      <w:r>
        <w:rPr>
          <w:rFonts w:ascii="Cambria" w:hAnsi="Cambria"/>
          <w:spacing w:val="-10"/>
          <w:w w:val="105"/>
        </w:rPr>
        <w:t> </w:t>
      </w:r>
      <w:r>
        <w:rPr>
          <w:rFonts w:ascii="Cambria" w:hAnsi="Cambria"/>
          <w:w w:val="105"/>
        </w:rPr>
        <w:t>migración</w:t>
      </w:r>
      <w:r>
        <w:rPr>
          <w:rFonts w:ascii="Cambria" w:hAnsi="Cambria"/>
          <w:spacing w:val="-10"/>
          <w:w w:val="105"/>
        </w:rPr>
        <w:t> </w:t>
      </w:r>
      <w:r>
        <w:rPr>
          <w:rFonts w:ascii="Cambria" w:hAnsi="Cambria"/>
          <w:w w:val="105"/>
        </w:rPr>
        <w:t>e</w:t>
      </w:r>
      <w:r>
        <w:rPr>
          <w:rFonts w:ascii="Cambria" w:hAnsi="Cambria"/>
          <w:spacing w:val="-10"/>
          <w:w w:val="105"/>
        </w:rPr>
        <w:t> </w:t>
      </w:r>
      <w:r>
        <w:rPr>
          <w:rFonts w:ascii="Cambria" w:hAnsi="Cambria"/>
          <w:w w:val="105"/>
        </w:rPr>
        <w:t>inmigración del</w:t>
      </w:r>
      <w:r>
        <w:rPr>
          <w:rFonts w:ascii="Cambria" w:hAnsi="Cambria"/>
          <w:spacing w:val="-18"/>
          <w:w w:val="105"/>
        </w:rPr>
        <w:t> </w:t>
      </w:r>
      <w:r>
        <w:rPr>
          <w:rFonts w:ascii="Cambria" w:hAnsi="Cambria"/>
          <w:w w:val="105"/>
        </w:rPr>
        <w:t>10</w:t>
      </w:r>
      <w:r>
        <w:rPr>
          <w:rFonts w:ascii="Cambria" w:hAnsi="Cambria"/>
          <w:spacing w:val="-18"/>
          <w:w w:val="105"/>
        </w:rPr>
        <w:t> </w:t>
      </w:r>
      <w:r>
        <w:rPr>
          <w:rFonts w:ascii="Cambria" w:hAnsi="Cambria"/>
          <w:w w:val="105"/>
        </w:rPr>
        <w:t>%.</w:t>
      </w:r>
      <w:r>
        <w:rPr>
          <w:rFonts w:ascii="Cambria" w:hAnsi="Cambria"/>
          <w:spacing w:val="-18"/>
          <w:w w:val="105"/>
        </w:rPr>
        <w:t> </w:t>
      </w:r>
      <w:r>
        <w:rPr>
          <w:rFonts w:ascii="Cambria" w:hAnsi="Cambria"/>
          <w:w w:val="105"/>
        </w:rPr>
        <w:t>Goswani</w:t>
      </w:r>
      <w:r>
        <w:rPr>
          <w:rFonts w:ascii="Cambria" w:hAnsi="Cambria"/>
          <w:spacing w:val="-18"/>
          <w:w w:val="105"/>
        </w:rPr>
        <w:t> </w:t>
      </w:r>
      <w:r>
        <w:rPr>
          <w:rFonts w:ascii="Palatino Linotype" w:hAnsi="Palatino Linotype"/>
          <w:i/>
          <w:w w:val="105"/>
        </w:rPr>
        <w:t>et</w:t>
      </w:r>
      <w:r>
        <w:rPr>
          <w:rFonts w:ascii="Palatino Linotype" w:hAnsi="Palatino Linotype"/>
          <w:i/>
          <w:spacing w:val="-24"/>
          <w:w w:val="105"/>
        </w:rPr>
        <w:t> </w:t>
      </w:r>
      <w:r>
        <w:rPr>
          <w:rFonts w:ascii="Palatino Linotype" w:hAnsi="Palatino Linotype"/>
          <w:i/>
          <w:w w:val="105"/>
        </w:rPr>
        <w:t>al.</w:t>
      </w:r>
      <w:r>
        <w:rPr>
          <w:rFonts w:ascii="Palatino Linotype" w:hAnsi="Palatino Linotype"/>
          <w:i/>
          <w:spacing w:val="-24"/>
          <w:w w:val="105"/>
        </w:rPr>
        <w:t> </w:t>
      </w:r>
      <w:r>
        <w:rPr>
          <w:rFonts w:ascii="Cambria" w:hAnsi="Cambria"/>
          <w:w w:val="105"/>
        </w:rPr>
        <w:t>(2007)</w:t>
      </w:r>
      <w:r>
        <w:rPr>
          <w:rFonts w:ascii="Cambria" w:hAnsi="Cambria"/>
          <w:spacing w:val="-18"/>
          <w:w w:val="105"/>
        </w:rPr>
        <w:t> </w:t>
      </w:r>
      <w:r>
        <w:rPr>
          <w:rFonts w:ascii="Cambria" w:hAnsi="Cambria"/>
          <w:w w:val="105"/>
        </w:rPr>
        <w:t>con</w:t>
      </w:r>
      <w:r>
        <w:rPr>
          <w:rFonts w:ascii="Cambria" w:hAnsi="Cambria"/>
          <w:spacing w:val="-18"/>
          <w:w w:val="105"/>
        </w:rPr>
        <w:t> </w:t>
      </w:r>
      <w:r>
        <w:rPr>
          <w:rFonts w:ascii="Cambria" w:hAnsi="Cambria"/>
          <w:w w:val="105"/>
        </w:rPr>
        <w:t>134</w:t>
      </w:r>
      <w:r>
        <w:rPr>
          <w:rFonts w:ascii="Cambria" w:hAnsi="Cambria"/>
          <w:spacing w:val="-18"/>
          <w:w w:val="105"/>
        </w:rPr>
        <w:t> </w:t>
      </w:r>
      <w:r>
        <w:rPr>
          <w:rFonts w:ascii="Cambria" w:hAnsi="Cambria"/>
          <w:w w:val="105"/>
        </w:rPr>
        <w:t>elefantes</w:t>
      </w:r>
      <w:r>
        <w:rPr>
          <w:rFonts w:ascii="Cambria" w:hAnsi="Cambria"/>
          <w:spacing w:val="-18"/>
          <w:w w:val="105"/>
        </w:rPr>
        <w:t> </w:t>
      </w:r>
      <w:r>
        <w:rPr>
          <w:rFonts w:ascii="Cambria" w:hAnsi="Cambria"/>
          <w:w w:val="105"/>
        </w:rPr>
        <w:t>identificados</w:t>
      </w:r>
      <w:r>
        <w:rPr>
          <w:rFonts w:ascii="Cambria" w:hAnsi="Cambria"/>
          <w:spacing w:val="-18"/>
          <w:w w:val="105"/>
        </w:rPr>
        <w:t> </w:t>
      </w:r>
      <w:r>
        <w:rPr>
          <w:rFonts w:ascii="Cambria" w:hAnsi="Cambria"/>
          <w:w w:val="105"/>
        </w:rPr>
        <w:t>de</w:t>
      </w:r>
      <w:r>
        <w:rPr>
          <w:rFonts w:ascii="Cambria" w:hAnsi="Cambria"/>
          <w:spacing w:val="-18"/>
          <w:w w:val="105"/>
        </w:rPr>
        <w:t> </w:t>
      </w:r>
      <w:r>
        <w:rPr>
          <w:rFonts w:ascii="Cambria" w:hAnsi="Cambria"/>
          <w:w w:val="105"/>
        </w:rPr>
        <w:t>trampas</w:t>
      </w:r>
      <w:r>
        <w:rPr>
          <w:rFonts w:ascii="Cambria" w:hAnsi="Cambria"/>
          <w:spacing w:val="-18"/>
          <w:w w:val="105"/>
        </w:rPr>
        <w:t> </w:t>
      </w:r>
      <w:r>
        <w:rPr>
          <w:rFonts w:ascii="Cambria" w:hAnsi="Cambria"/>
          <w:w w:val="105"/>
        </w:rPr>
        <w:t>cámara con 1 año de muestreo, determinan una supervivencia del 86 % para elefantes macho.</w:t>
      </w:r>
    </w:p>
    <w:p>
      <w:pPr>
        <w:spacing w:after="0" w:line="484" w:lineRule="auto"/>
        <w:rPr>
          <w:rFonts w:ascii="Cambria" w:hAnsi="Cambria"/>
        </w:rPr>
        <w:sectPr>
          <w:pgSz w:w="12240" w:h="15840"/>
          <w:pgMar w:header="740" w:footer="779" w:top="960" w:bottom="960" w:left="1600" w:right="1600"/>
        </w:sectPr>
      </w:pPr>
    </w:p>
    <w:p>
      <w:pPr>
        <w:pStyle w:val="BodyText"/>
        <w:rPr>
          <w:rFonts w:ascii="Cambria"/>
          <w:sz w:val="20"/>
        </w:rPr>
      </w:pPr>
    </w:p>
    <w:p>
      <w:pPr>
        <w:pStyle w:val="Heading1"/>
        <w:spacing w:before="188"/>
      </w:pPr>
      <w:bookmarkStart w:name="_bookmark5" w:id="6"/>
      <w:bookmarkEnd w:id="6"/>
      <w:r>
        <w:rPr>
          <w:b w:val="0"/>
        </w:rPr>
      </w:r>
      <w:r>
        <w:rPr/>
        <w:t>REVISIÓN DE LITERATURA</w:t>
      </w:r>
    </w:p>
    <w:p>
      <w:pPr>
        <w:pStyle w:val="BodyText"/>
        <w:spacing w:before="8"/>
        <w:rPr>
          <w:rFonts w:ascii="Palatino Linotype"/>
          <w:b/>
          <w:sz w:val="40"/>
        </w:rPr>
      </w:pPr>
    </w:p>
    <w:p>
      <w:pPr>
        <w:pStyle w:val="BodyText"/>
        <w:ind w:left="102"/>
        <w:rPr>
          <w:rFonts w:ascii="Cambria" w:hAnsi="Cambria"/>
        </w:rPr>
      </w:pPr>
      <w:r>
        <w:rPr>
          <w:rFonts w:ascii="Cambria" w:hAnsi="Cambria"/>
          <w:w w:val="105"/>
        </w:rPr>
        <w:t>Arias-Del Razo, I., L. Hernández, J. W. Laundré y O. Myers. 2011. Do predator   and</w:t>
      </w:r>
    </w:p>
    <w:p>
      <w:pPr>
        <w:pStyle w:val="BodyText"/>
        <w:spacing w:before="10"/>
        <w:rPr>
          <w:rFonts w:ascii="Cambria"/>
        </w:rPr>
      </w:pPr>
    </w:p>
    <w:p>
      <w:pPr>
        <w:spacing w:line="441" w:lineRule="auto" w:before="1"/>
        <w:ind w:left="821" w:right="0" w:firstLine="0"/>
        <w:jc w:val="left"/>
        <w:rPr>
          <w:rFonts w:ascii="Cambria"/>
          <w:sz w:val="24"/>
        </w:rPr>
      </w:pPr>
      <w:r>
        <w:rPr>
          <w:rFonts w:ascii="Cambria"/>
          <w:sz w:val="24"/>
        </w:rPr>
        <w:t>prey foraging activity patterns match? A study of coyotes (</w:t>
      </w:r>
      <w:r>
        <w:rPr>
          <w:rFonts w:ascii="Palatino Linotype"/>
          <w:i/>
          <w:sz w:val="24"/>
        </w:rPr>
        <w:t>canis latrans</w:t>
      </w:r>
      <w:r>
        <w:rPr>
          <w:rFonts w:ascii="Cambria"/>
          <w:sz w:val="24"/>
        </w:rPr>
        <w:t>) and lagomorphs (</w:t>
      </w:r>
      <w:r>
        <w:rPr>
          <w:rFonts w:ascii="Palatino Linotype"/>
          <w:i/>
          <w:sz w:val="24"/>
        </w:rPr>
        <w:t>Lepus californicus </w:t>
      </w:r>
      <w:r>
        <w:rPr>
          <w:rFonts w:ascii="Cambria"/>
          <w:sz w:val="24"/>
        </w:rPr>
        <w:t>and </w:t>
      </w:r>
      <w:r>
        <w:rPr>
          <w:rFonts w:ascii="Palatino Linotype"/>
          <w:i/>
          <w:sz w:val="24"/>
        </w:rPr>
        <w:t>Sylvilagus oudobonii</w:t>
      </w:r>
      <w:r>
        <w:rPr>
          <w:rFonts w:ascii="Cambria"/>
          <w:sz w:val="24"/>
        </w:rPr>
        <w:t>). </w:t>
      </w:r>
      <w:r>
        <w:rPr>
          <w:rFonts w:ascii="Palatino Linotype"/>
          <w:i/>
          <w:sz w:val="24"/>
        </w:rPr>
        <w:t>Journal of Arid </w:t>
      </w:r>
      <w:r>
        <w:rPr>
          <w:rFonts w:ascii="Palatino Linotype"/>
          <w:i/>
          <w:sz w:val="24"/>
        </w:rPr>
        <w:t>Environments</w:t>
      </w:r>
      <w:r>
        <w:rPr>
          <w:rFonts w:ascii="Cambria"/>
          <w:sz w:val="24"/>
        </w:rPr>
        <w:t>. </w:t>
      </w:r>
      <w:r>
        <w:rPr>
          <w:rFonts w:ascii="Palatino Linotype"/>
          <w:b/>
          <w:sz w:val="24"/>
        </w:rPr>
        <w:t>75. </w:t>
      </w:r>
      <w:r>
        <w:rPr>
          <w:rFonts w:ascii="Cambria"/>
          <w:sz w:val="24"/>
        </w:rPr>
        <w:t>112-118</w:t>
      </w:r>
    </w:p>
    <w:p>
      <w:pPr>
        <w:pStyle w:val="BodyText"/>
        <w:spacing w:line="489" w:lineRule="auto" w:before="23"/>
        <w:ind w:left="821" w:hanging="720"/>
        <w:rPr>
          <w:rFonts w:ascii="Cambria"/>
        </w:rPr>
      </w:pPr>
      <w:r>
        <w:rPr>
          <w:rFonts w:ascii="Cambria"/>
          <w:w w:val="105"/>
        </w:rPr>
        <w:t>Arispe, R., C. Venegas y D. Rumiz. 2008. Abundancia y patrones de actividad del mapache (</w:t>
      </w:r>
      <w:r>
        <w:rPr>
          <w:rFonts w:ascii="Palatino Linotype"/>
          <w:i/>
          <w:w w:val="105"/>
        </w:rPr>
        <w:t>Procyon cancrivorus</w:t>
      </w:r>
      <w:r>
        <w:rPr>
          <w:rFonts w:ascii="Cambria"/>
          <w:w w:val="105"/>
        </w:rPr>
        <w:t>) en un bosque Chiquitano de Bolivia.</w:t>
      </w:r>
    </w:p>
    <w:p>
      <w:pPr>
        <w:spacing w:line="258" w:lineRule="exact" w:before="0"/>
        <w:ind w:left="821" w:right="0" w:firstLine="0"/>
        <w:jc w:val="left"/>
        <w:rPr>
          <w:rFonts w:ascii="Cambria" w:hAnsi="Cambria"/>
          <w:sz w:val="24"/>
        </w:rPr>
      </w:pPr>
      <w:r>
        <w:rPr>
          <w:rFonts w:ascii="Palatino Linotype" w:hAnsi="Palatino Linotype"/>
          <w:i/>
          <w:sz w:val="24"/>
        </w:rPr>
        <w:t>Mastozoología Neotropical</w:t>
      </w:r>
      <w:r>
        <w:rPr>
          <w:rFonts w:ascii="Cambria" w:hAnsi="Cambria"/>
          <w:sz w:val="24"/>
        </w:rPr>
        <w:t>; </w:t>
      </w:r>
      <w:r>
        <w:rPr>
          <w:rFonts w:ascii="Palatino Linotype" w:hAnsi="Palatino Linotype"/>
          <w:b/>
          <w:sz w:val="24"/>
        </w:rPr>
        <w:t>15(2)</w:t>
      </w:r>
      <w:r>
        <w:rPr>
          <w:rFonts w:ascii="Cambria" w:hAnsi="Cambria"/>
          <w:sz w:val="24"/>
        </w:rPr>
        <w:t>. 323-333</w:t>
      </w:r>
    </w:p>
    <w:p>
      <w:pPr>
        <w:pStyle w:val="BodyText"/>
        <w:spacing w:before="4"/>
        <w:rPr>
          <w:rFonts w:ascii="Cambria"/>
          <w:sz w:val="23"/>
        </w:rPr>
      </w:pPr>
    </w:p>
    <w:p>
      <w:pPr>
        <w:pStyle w:val="BodyText"/>
        <w:spacing w:line="451" w:lineRule="auto"/>
        <w:ind w:left="821" w:right="340" w:hanging="720"/>
        <w:jc w:val="both"/>
        <w:rPr>
          <w:rFonts w:ascii="Cambria"/>
        </w:rPr>
      </w:pPr>
      <w:r>
        <w:rPr>
          <w:rFonts w:ascii="Cambria"/>
          <w:w w:val="105"/>
        </w:rPr>
        <w:t>Carrillo, E., Fuller, T.K. y Saenz, J.C. 2009. Jaguar (</w:t>
      </w:r>
      <w:r>
        <w:rPr>
          <w:rFonts w:ascii="Palatino Linotype"/>
          <w:i/>
          <w:w w:val="105"/>
        </w:rPr>
        <w:t>Panthera onca</w:t>
      </w:r>
      <w:r>
        <w:rPr>
          <w:rFonts w:ascii="Cambria"/>
          <w:w w:val="105"/>
        </w:rPr>
        <w:t>) hunting</w:t>
      </w:r>
      <w:r>
        <w:rPr>
          <w:rFonts w:ascii="Cambria"/>
          <w:spacing w:val="-27"/>
          <w:w w:val="105"/>
        </w:rPr>
        <w:t> </w:t>
      </w:r>
      <w:r>
        <w:rPr>
          <w:rFonts w:ascii="Cambria"/>
          <w:w w:val="105"/>
        </w:rPr>
        <w:t>activity: effects of prey distribution and availability. Journal of tropical Ecology </w:t>
      </w:r>
      <w:r>
        <w:rPr>
          <w:rFonts w:ascii="Palatino Linotype"/>
          <w:b/>
          <w:w w:val="105"/>
        </w:rPr>
        <w:t>25</w:t>
      </w:r>
      <w:r>
        <w:rPr>
          <w:rFonts w:ascii="Cambria"/>
          <w:w w:val="105"/>
        </w:rPr>
        <w:t>. 563-567</w:t>
      </w:r>
    </w:p>
    <w:p>
      <w:pPr>
        <w:pStyle w:val="BodyText"/>
        <w:spacing w:before="66"/>
        <w:ind w:left="102"/>
        <w:rPr>
          <w:rFonts w:ascii="Cambria"/>
        </w:rPr>
      </w:pPr>
      <w:r>
        <w:rPr>
          <w:rFonts w:ascii="Cambria"/>
          <w:w w:val="110"/>
        </w:rPr>
        <w:t>Curtis, P. D., B. Boldgiv, P. M. Mattison y J. R. Boulanger. 2009. Estimating deer</w:t>
      </w:r>
    </w:p>
    <w:p>
      <w:pPr>
        <w:pStyle w:val="BodyText"/>
        <w:spacing w:before="11"/>
        <w:rPr>
          <w:rFonts w:ascii="Cambria"/>
        </w:rPr>
      </w:pPr>
    </w:p>
    <w:p>
      <w:pPr>
        <w:spacing w:line="441" w:lineRule="auto" w:before="0"/>
        <w:ind w:left="821" w:right="338" w:firstLine="0"/>
        <w:jc w:val="left"/>
        <w:rPr>
          <w:rFonts w:ascii="Cambria" w:hAnsi="Cambria"/>
          <w:sz w:val="24"/>
        </w:rPr>
      </w:pPr>
      <w:r>
        <w:rPr>
          <w:rFonts w:ascii="Cambria" w:hAnsi="Cambria"/>
          <w:sz w:val="24"/>
        </w:rPr>
        <w:t>abundance in suburban areas with infrared-triggered cameras. </w:t>
      </w:r>
      <w:r>
        <w:rPr>
          <w:rFonts w:ascii="Palatino Linotype" w:hAnsi="Palatino Linotype"/>
          <w:i/>
          <w:sz w:val="24"/>
        </w:rPr>
        <w:t>Human</w:t>
      </w:r>
      <w:r>
        <w:rPr>
          <w:rFonts w:ascii="Calibri" w:hAnsi="Calibri"/>
          <w:i/>
          <w:sz w:val="24"/>
        </w:rPr>
        <w:t>– </w:t>
      </w:r>
      <w:r>
        <w:rPr>
          <w:rFonts w:ascii="Palatino Linotype" w:hAnsi="Palatino Linotype"/>
          <w:i/>
          <w:sz w:val="24"/>
        </w:rPr>
        <w:t>Wildlife Conflicts</w:t>
      </w:r>
      <w:r>
        <w:rPr>
          <w:rFonts w:ascii="Cambria" w:hAnsi="Cambria"/>
          <w:sz w:val="24"/>
        </w:rPr>
        <w:t>; </w:t>
      </w:r>
      <w:r>
        <w:rPr>
          <w:rFonts w:ascii="Palatino Linotype" w:hAnsi="Palatino Linotype"/>
          <w:b/>
          <w:sz w:val="24"/>
        </w:rPr>
        <w:t>3(1)</w:t>
      </w:r>
      <w:r>
        <w:rPr>
          <w:rFonts w:ascii="Cambria" w:hAnsi="Cambria"/>
          <w:sz w:val="24"/>
        </w:rPr>
        <w:t>. 116</w:t>
      </w:r>
      <w:r>
        <w:rPr>
          <w:rFonts w:ascii="Palatino Linotype" w:hAnsi="Palatino Linotype"/>
          <w:sz w:val="24"/>
        </w:rPr>
        <w:t>–</w:t>
      </w:r>
      <w:r>
        <w:rPr>
          <w:rFonts w:ascii="Cambria" w:hAnsi="Cambria"/>
          <w:sz w:val="24"/>
        </w:rPr>
        <w:t>128</w:t>
      </w:r>
    </w:p>
    <w:p>
      <w:pPr>
        <w:pStyle w:val="BodyText"/>
        <w:spacing w:line="480" w:lineRule="auto" w:before="15"/>
        <w:ind w:left="821" w:right="263" w:hanging="720"/>
      </w:pPr>
      <w:r>
        <w:rPr/>
        <w:t>Dale, B.W., Adams, L.G. y Bowyer, R.T. 1994: Functional response of wolves preying on barren-ground caribou in a multiple-prey ecosystem. Journal of Animal Ecology. </w:t>
      </w:r>
      <w:r>
        <w:rPr>
          <w:b/>
        </w:rPr>
        <w:t>63</w:t>
      </w:r>
      <w:r>
        <w:rPr/>
        <w:t>. 644-652</w:t>
      </w:r>
    </w:p>
    <w:p>
      <w:pPr>
        <w:pStyle w:val="BodyText"/>
        <w:spacing w:before="20"/>
        <w:ind w:left="102"/>
        <w:rPr>
          <w:rFonts w:ascii="Cambria" w:hAnsi="Cambria"/>
        </w:rPr>
      </w:pPr>
      <w:r>
        <w:rPr>
          <w:rFonts w:ascii="Cambria" w:hAnsi="Cambria"/>
          <w:w w:val="105"/>
        </w:rPr>
        <w:t>Delibes-Mateos, M., Fernández de Simón, J., Villafuerte, R. y Ferreras, P. 2008.</w:t>
      </w:r>
    </w:p>
    <w:p>
      <w:pPr>
        <w:pStyle w:val="BodyText"/>
        <w:spacing w:before="9"/>
        <w:rPr>
          <w:rFonts w:ascii="Cambria"/>
          <w:sz w:val="26"/>
        </w:rPr>
      </w:pPr>
    </w:p>
    <w:p>
      <w:pPr>
        <w:pStyle w:val="BodyText"/>
        <w:spacing w:line="499" w:lineRule="auto"/>
        <w:ind w:left="1167" w:right="122"/>
        <w:rPr>
          <w:rFonts w:ascii="Cambria" w:hAnsi="Cambria"/>
        </w:rPr>
      </w:pPr>
      <w:r>
        <w:rPr>
          <w:rFonts w:ascii="Cambria" w:hAnsi="Cambria"/>
          <w:w w:val="105"/>
        </w:rPr>
        <w:t>Feeding responses of the red fox (Vulpes vulpes) to different wild rabbit (Oryctolagus cuniculus) densities: a regional approach. European Journal Wildlife Research 54. 71</w:t>
      </w:r>
      <w:r>
        <w:rPr>
          <w:rFonts w:ascii="Palatino Linotype" w:hAnsi="Palatino Linotype"/>
          <w:w w:val="105"/>
        </w:rPr>
        <w:t>–</w:t>
      </w:r>
      <w:r>
        <w:rPr>
          <w:rFonts w:ascii="Cambria" w:hAnsi="Cambria"/>
          <w:w w:val="105"/>
        </w:rPr>
        <w:t>78</w:t>
      </w:r>
    </w:p>
    <w:p>
      <w:pPr>
        <w:spacing w:after="0" w:line="499"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489" w:lineRule="auto"/>
        <w:ind w:left="1167" w:hanging="1066"/>
        <w:rPr>
          <w:rFonts w:ascii="Cambria" w:hAnsi="Cambria"/>
        </w:rPr>
      </w:pPr>
      <w:r>
        <w:rPr>
          <w:rFonts w:ascii="Cambria" w:hAnsi="Cambria"/>
        </w:rPr>
        <w:t>Elmhagen, B. y Rushton S.P. 2007. Trophic control of mesopredators in terrestrial ecosystems: top-down or bottom-up? Ecol Lett </w:t>
      </w:r>
      <w:r>
        <w:rPr>
          <w:rFonts w:ascii="Palatino Linotype" w:hAnsi="Palatino Linotype"/>
          <w:b/>
        </w:rPr>
        <w:t>10.  </w:t>
      </w:r>
      <w:r>
        <w:rPr>
          <w:rFonts w:ascii="Cambria" w:hAnsi="Cambria"/>
        </w:rPr>
        <w:t>197</w:t>
      </w:r>
      <w:r>
        <w:rPr>
          <w:rFonts w:ascii="Palatino Linotype" w:hAnsi="Palatino Linotype"/>
        </w:rPr>
        <w:t>–</w:t>
      </w:r>
      <w:r>
        <w:rPr>
          <w:rFonts w:ascii="Cambria" w:hAnsi="Cambria"/>
        </w:rPr>
        <w:t>206</w:t>
      </w:r>
    </w:p>
    <w:p>
      <w:pPr>
        <w:pStyle w:val="BodyText"/>
        <w:spacing w:line="240" w:lineRule="exact"/>
        <w:ind w:left="1167" w:hanging="1066"/>
        <w:rPr>
          <w:rFonts w:ascii="Cambria"/>
        </w:rPr>
      </w:pPr>
      <w:r>
        <w:rPr>
          <w:rFonts w:ascii="Cambria"/>
          <w:w w:val="105"/>
        </w:rPr>
        <w:t>Ferreras, P., Travaini, A., Zapata, S.C. y Delibes, M. 2011. Short-term response of</w:t>
      </w:r>
    </w:p>
    <w:p>
      <w:pPr>
        <w:pStyle w:val="BodyText"/>
        <w:spacing w:before="11"/>
        <w:rPr>
          <w:rFonts w:ascii="Cambria"/>
          <w:sz w:val="26"/>
        </w:rPr>
      </w:pPr>
    </w:p>
    <w:p>
      <w:pPr>
        <w:pStyle w:val="BodyText"/>
        <w:spacing w:line="489" w:lineRule="auto"/>
        <w:ind w:left="1167" w:right="466"/>
        <w:rPr>
          <w:rFonts w:ascii="Cambria"/>
        </w:rPr>
      </w:pPr>
      <w:r>
        <w:rPr>
          <w:rFonts w:ascii="Cambria"/>
          <w:w w:val="105"/>
        </w:rPr>
        <w:t>mammals</w:t>
      </w:r>
      <w:r>
        <w:rPr>
          <w:rFonts w:ascii="Cambria"/>
          <w:spacing w:val="-12"/>
          <w:w w:val="105"/>
        </w:rPr>
        <w:t> </w:t>
      </w:r>
      <w:r>
        <w:rPr>
          <w:rFonts w:ascii="Cambria"/>
          <w:w w:val="105"/>
        </w:rPr>
        <w:t>carnivores</w:t>
      </w:r>
      <w:r>
        <w:rPr>
          <w:rFonts w:ascii="Cambria"/>
          <w:spacing w:val="-12"/>
          <w:w w:val="105"/>
        </w:rPr>
        <w:t> </w:t>
      </w:r>
      <w:r>
        <w:rPr>
          <w:rFonts w:ascii="Cambria"/>
          <w:w w:val="105"/>
        </w:rPr>
        <w:t>to</w:t>
      </w:r>
      <w:r>
        <w:rPr>
          <w:rFonts w:ascii="Cambria"/>
          <w:spacing w:val="-12"/>
          <w:w w:val="105"/>
        </w:rPr>
        <w:t> </w:t>
      </w:r>
      <w:r>
        <w:rPr>
          <w:rFonts w:ascii="Cambria"/>
          <w:w w:val="105"/>
        </w:rPr>
        <w:t>a</w:t>
      </w:r>
      <w:r>
        <w:rPr>
          <w:rFonts w:ascii="Cambria"/>
          <w:spacing w:val="-12"/>
          <w:w w:val="105"/>
        </w:rPr>
        <w:t> </w:t>
      </w:r>
      <w:r>
        <w:rPr>
          <w:rFonts w:ascii="Cambria"/>
          <w:w w:val="105"/>
        </w:rPr>
        <w:t>sudden</w:t>
      </w:r>
      <w:r>
        <w:rPr>
          <w:rFonts w:ascii="Cambria"/>
          <w:spacing w:val="-13"/>
          <w:w w:val="105"/>
        </w:rPr>
        <w:t> </w:t>
      </w:r>
      <w:r>
        <w:rPr>
          <w:rFonts w:ascii="Cambria"/>
          <w:w w:val="105"/>
        </w:rPr>
        <w:t>collapse</w:t>
      </w:r>
      <w:r>
        <w:rPr>
          <w:rFonts w:ascii="Cambria"/>
          <w:spacing w:val="-12"/>
          <w:w w:val="105"/>
        </w:rPr>
        <w:t> </w:t>
      </w:r>
      <w:r>
        <w:rPr>
          <w:rFonts w:ascii="Cambria"/>
          <w:w w:val="105"/>
        </w:rPr>
        <w:t>of</w:t>
      </w:r>
      <w:r>
        <w:rPr>
          <w:rFonts w:ascii="Cambria"/>
          <w:spacing w:val="-12"/>
          <w:w w:val="105"/>
        </w:rPr>
        <w:t> </w:t>
      </w:r>
      <w:r>
        <w:rPr>
          <w:rFonts w:ascii="Cambria"/>
          <w:w w:val="105"/>
        </w:rPr>
        <w:t>rabbits</w:t>
      </w:r>
      <w:r>
        <w:rPr>
          <w:rFonts w:ascii="Cambria"/>
          <w:spacing w:val="-13"/>
          <w:w w:val="105"/>
        </w:rPr>
        <w:t> </w:t>
      </w:r>
      <w:r>
        <w:rPr>
          <w:rFonts w:ascii="Cambria"/>
          <w:w w:val="105"/>
        </w:rPr>
        <w:t>in</w:t>
      </w:r>
      <w:r>
        <w:rPr>
          <w:rFonts w:ascii="Cambria"/>
          <w:spacing w:val="-13"/>
          <w:w w:val="105"/>
        </w:rPr>
        <w:t> </w:t>
      </w:r>
      <w:r>
        <w:rPr>
          <w:rFonts w:ascii="Cambria"/>
          <w:w w:val="105"/>
        </w:rPr>
        <w:t>Mediterranean Spain.</w:t>
      </w:r>
      <w:r>
        <w:rPr>
          <w:rFonts w:ascii="Cambria"/>
          <w:spacing w:val="-12"/>
          <w:w w:val="105"/>
        </w:rPr>
        <w:t> </w:t>
      </w:r>
      <w:r>
        <w:rPr>
          <w:rFonts w:ascii="Cambria"/>
          <w:w w:val="105"/>
        </w:rPr>
        <w:t>Basic</w:t>
      </w:r>
      <w:r>
        <w:rPr>
          <w:rFonts w:ascii="Cambria"/>
          <w:spacing w:val="-13"/>
          <w:w w:val="105"/>
        </w:rPr>
        <w:t> </w:t>
      </w:r>
      <w:r>
        <w:rPr>
          <w:rFonts w:ascii="Cambria"/>
          <w:w w:val="105"/>
        </w:rPr>
        <w:t>&amp;</w:t>
      </w:r>
      <w:r>
        <w:rPr>
          <w:rFonts w:ascii="Cambria"/>
          <w:spacing w:val="-12"/>
          <w:w w:val="105"/>
        </w:rPr>
        <w:t> </w:t>
      </w:r>
      <w:r>
        <w:rPr>
          <w:rFonts w:ascii="Cambria"/>
          <w:w w:val="105"/>
        </w:rPr>
        <w:t>Applied</w:t>
      </w:r>
      <w:r>
        <w:rPr>
          <w:rFonts w:ascii="Cambria"/>
          <w:spacing w:val="-10"/>
          <w:w w:val="105"/>
        </w:rPr>
        <w:t> </w:t>
      </w:r>
      <w:r>
        <w:rPr>
          <w:rFonts w:ascii="Cambria"/>
          <w:w w:val="105"/>
        </w:rPr>
        <w:t>Ecology</w:t>
      </w:r>
      <w:r>
        <w:rPr>
          <w:rFonts w:ascii="Cambria"/>
          <w:spacing w:val="-10"/>
          <w:w w:val="105"/>
        </w:rPr>
        <w:t> </w:t>
      </w:r>
      <w:r>
        <w:rPr>
          <w:rFonts w:ascii="Palatino Linotype"/>
          <w:b/>
          <w:w w:val="105"/>
        </w:rPr>
        <w:t>12.</w:t>
      </w:r>
      <w:r>
        <w:rPr>
          <w:rFonts w:ascii="Palatino Linotype"/>
          <w:b/>
          <w:spacing w:val="-19"/>
          <w:w w:val="105"/>
        </w:rPr>
        <w:t> </w:t>
      </w:r>
      <w:r>
        <w:rPr>
          <w:rFonts w:ascii="Cambria"/>
          <w:w w:val="105"/>
        </w:rPr>
        <w:t>116-124</w:t>
      </w:r>
    </w:p>
    <w:p>
      <w:pPr>
        <w:pStyle w:val="BodyText"/>
        <w:spacing w:line="240" w:lineRule="exact"/>
        <w:ind w:left="102"/>
        <w:rPr>
          <w:rFonts w:ascii="Cambria"/>
        </w:rPr>
      </w:pPr>
      <w:r>
        <w:rPr>
          <w:rFonts w:ascii="Cambria"/>
          <w:w w:val="105"/>
        </w:rPr>
        <w:t>Gandiwa, E. 2013. Top-down and bottom-up control of large hervivore</w:t>
      </w:r>
    </w:p>
    <w:p>
      <w:pPr>
        <w:pStyle w:val="BodyText"/>
        <w:rPr>
          <w:rFonts w:ascii="Cambria"/>
          <w:sz w:val="27"/>
        </w:rPr>
      </w:pPr>
    </w:p>
    <w:p>
      <w:pPr>
        <w:pStyle w:val="BodyText"/>
        <w:spacing w:line="487" w:lineRule="auto"/>
        <w:ind w:left="821"/>
        <w:rPr>
          <w:rFonts w:ascii="Cambria"/>
        </w:rPr>
      </w:pPr>
      <w:r>
        <w:rPr>
          <w:rFonts w:ascii="Cambria"/>
          <w:w w:val="105"/>
        </w:rPr>
        <w:t>populations: a review of natural and human-indeced influences. Trop </w:t>
      </w:r>
      <w:r>
        <w:rPr>
          <w:rFonts w:ascii="Cambria"/>
        </w:rPr>
        <w:t>Conserv Scien </w:t>
      </w:r>
      <w:r>
        <w:rPr>
          <w:rFonts w:ascii="Palatino Linotype"/>
          <w:b/>
        </w:rPr>
        <w:t>6</w:t>
      </w:r>
      <w:r>
        <w:rPr>
          <w:rFonts w:ascii="Cambria"/>
        </w:rPr>
        <w:t>. 493-505</w:t>
      </w:r>
    </w:p>
    <w:p>
      <w:pPr>
        <w:pStyle w:val="BodyText"/>
        <w:spacing w:line="246" w:lineRule="exact"/>
        <w:ind w:left="102"/>
        <w:rPr>
          <w:rFonts w:ascii="Cambria"/>
        </w:rPr>
      </w:pPr>
      <w:r>
        <w:rPr>
          <w:rFonts w:ascii="Cambria"/>
          <w:w w:val="105"/>
        </w:rPr>
        <w:t>Gittleman, J. L., S. M. Funk, D. Macdonald y R. K. Wayne. 2001. Carnivore</w:t>
      </w:r>
    </w:p>
    <w:p>
      <w:pPr>
        <w:pStyle w:val="BodyText"/>
        <w:spacing w:before="8"/>
        <w:rPr>
          <w:rFonts w:ascii="Cambria"/>
        </w:rPr>
      </w:pPr>
    </w:p>
    <w:p>
      <w:pPr>
        <w:spacing w:before="0"/>
        <w:ind w:left="821" w:right="0" w:firstLine="0"/>
        <w:jc w:val="left"/>
        <w:rPr>
          <w:rFonts w:ascii="Cambria"/>
          <w:sz w:val="24"/>
        </w:rPr>
      </w:pPr>
      <w:r>
        <w:rPr>
          <w:rFonts w:ascii="Cambria"/>
          <w:w w:val="105"/>
          <w:sz w:val="24"/>
        </w:rPr>
        <w:t>Conservation. </w:t>
      </w:r>
      <w:r>
        <w:rPr>
          <w:rFonts w:ascii="Palatino Linotype"/>
          <w:i/>
          <w:w w:val="105"/>
          <w:sz w:val="24"/>
        </w:rPr>
        <w:t>Cambridge. University Press</w:t>
      </w:r>
      <w:r>
        <w:rPr>
          <w:rFonts w:ascii="Cambria"/>
          <w:w w:val="105"/>
          <w:sz w:val="24"/>
        </w:rPr>
        <w:t>. London. 675</w:t>
      </w:r>
    </w:p>
    <w:p>
      <w:pPr>
        <w:pStyle w:val="BodyText"/>
        <w:spacing w:before="4"/>
        <w:rPr>
          <w:rFonts w:ascii="Cambria"/>
          <w:sz w:val="25"/>
        </w:rPr>
      </w:pPr>
    </w:p>
    <w:p>
      <w:pPr>
        <w:pStyle w:val="BodyText"/>
        <w:spacing w:line="463" w:lineRule="auto"/>
        <w:ind w:left="821" w:right="308" w:hanging="720"/>
        <w:jc w:val="both"/>
        <w:rPr>
          <w:rFonts w:ascii="Cambria" w:hAnsi="Cambria"/>
        </w:rPr>
      </w:pPr>
      <w:r>
        <w:rPr>
          <w:rFonts w:ascii="Cambria" w:hAnsi="Cambria"/>
          <w:w w:val="105"/>
        </w:rPr>
        <w:t>Gómez-Ortíz, Y., O. Monroy-Vilchis., V. Fajardo, G. D. Mendoza y V. Urios. 2011.   Is</w:t>
      </w:r>
      <w:r>
        <w:rPr>
          <w:rFonts w:ascii="Cambria" w:hAnsi="Cambria"/>
          <w:spacing w:val="-16"/>
          <w:w w:val="105"/>
        </w:rPr>
        <w:t> </w:t>
      </w:r>
      <w:r>
        <w:rPr>
          <w:rFonts w:ascii="Cambria" w:hAnsi="Cambria"/>
          <w:w w:val="105"/>
        </w:rPr>
        <w:t>food</w:t>
      </w:r>
      <w:r>
        <w:rPr>
          <w:rFonts w:ascii="Cambria" w:hAnsi="Cambria"/>
          <w:spacing w:val="-16"/>
          <w:w w:val="105"/>
        </w:rPr>
        <w:t> </w:t>
      </w:r>
      <w:r>
        <w:rPr>
          <w:rFonts w:ascii="Cambria" w:hAnsi="Cambria"/>
          <w:w w:val="105"/>
        </w:rPr>
        <w:t>quality</w:t>
      </w:r>
      <w:r>
        <w:rPr>
          <w:rFonts w:ascii="Cambria" w:hAnsi="Cambria"/>
          <w:spacing w:val="-15"/>
          <w:w w:val="105"/>
        </w:rPr>
        <w:t> </w:t>
      </w:r>
      <w:r>
        <w:rPr>
          <w:rFonts w:ascii="Cambria" w:hAnsi="Cambria"/>
          <w:w w:val="105"/>
        </w:rPr>
        <w:t>important</w:t>
      </w:r>
      <w:r>
        <w:rPr>
          <w:rFonts w:ascii="Cambria" w:hAnsi="Cambria"/>
          <w:spacing w:val="-16"/>
          <w:w w:val="105"/>
        </w:rPr>
        <w:t> </w:t>
      </w:r>
      <w:r>
        <w:rPr>
          <w:rFonts w:ascii="Cambria" w:hAnsi="Cambria"/>
          <w:w w:val="105"/>
        </w:rPr>
        <w:t>for</w:t>
      </w:r>
      <w:r>
        <w:rPr>
          <w:rFonts w:ascii="Cambria" w:hAnsi="Cambria"/>
          <w:spacing w:val="-15"/>
          <w:w w:val="105"/>
        </w:rPr>
        <w:t> </w:t>
      </w:r>
      <w:r>
        <w:rPr>
          <w:rFonts w:ascii="Cambria" w:hAnsi="Cambria"/>
          <w:w w:val="105"/>
        </w:rPr>
        <w:t>carnivores?</w:t>
      </w:r>
      <w:r>
        <w:rPr>
          <w:rFonts w:ascii="Cambria" w:hAnsi="Cambria"/>
          <w:spacing w:val="-17"/>
          <w:w w:val="105"/>
        </w:rPr>
        <w:t> </w:t>
      </w:r>
      <w:r>
        <w:rPr>
          <w:rFonts w:ascii="Cambria" w:hAnsi="Cambria"/>
          <w:w w:val="105"/>
        </w:rPr>
        <w:t>The</w:t>
      </w:r>
      <w:r>
        <w:rPr>
          <w:rFonts w:ascii="Cambria" w:hAnsi="Cambria"/>
          <w:spacing w:val="-16"/>
          <w:w w:val="105"/>
        </w:rPr>
        <w:t> </w:t>
      </w:r>
      <w:r>
        <w:rPr>
          <w:rFonts w:ascii="Cambria" w:hAnsi="Cambria"/>
          <w:w w:val="105"/>
        </w:rPr>
        <w:t>case</w:t>
      </w:r>
      <w:r>
        <w:rPr>
          <w:rFonts w:ascii="Cambria" w:hAnsi="Cambria"/>
          <w:spacing w:val="-16"/>
          <w:w w:val="105"/>
        </w:rPr>
        <w:t> </w:t>
      </w:r>
      <w:r>
        <w:rPr>
          <w:rFonts w:ascii="Cambria" w:hAnsi="Cambria"/>
          <w:w w:val="105"/>
        </w:rPr>
        <w:t>of</w:t>
      </w:r>
      <w:r>
        <w:rPr>
          <w:rFonts w:ascii="Cambria" w:hAnsi="Cambria"/>
          <w:spacing w:val="-14"/>
          <w:w w:val="105"/>
        </w:rPr>
        <w:t> </w:t>
      </w:r>
      <w:r>
        <w:rPr>
          <w:rFonts w:ascii="Palatino Linotype" w:hAnsi="Palatino Linotype"/>
          <w:i/>
          <w:w w:val="105"/>
        </w:rPr>
        <w:t>Puma</w:t>
      </w:r>
      <w:r>
        <w:rPr>
          <w:rFonts w:ascii="Palatino Linotype" w:hAnsi="Palatino Linotype"/>
          <w:i/>
          <w:spacing w:val="-24"/>
          <w:w w:val="105"/>
        </w:rPr>
        <w:t> </w:t>
      </w:r>
      <w:r>
        <w:rPr>
          <w:rFonts w:ascii="Palatino Linotype" w:hAnsi="Palatino Linotype"/>
          <w:i/>
          <w:w w:val="105"/>
        </w:rPr>
        <w:t>concolor.</w:t>
      </w:r>
      <w:r>
        <w:rPr>
          <w:rFonts w:ascii="Palatino Linotype" w:hAnsi="Palatino Linotype"/>
          <w:i/>
          <w:spacing w:val="-24"/>
          <w:w w:val="105"/>
        </w:rPr>
        <w:t> </w:t>
      </w:r>
      <w:r>
        <w:rPr>
          <w:rFonts w:ascii="Palatino Linotype" w:hAnsi="Palatino Linotype"/>
          <w:i/>
          <w:w w:val="105"/>
        </w:rPr>
        <w:t>Animal </w:t>
      </w:r>
      <w:r>
        <w:rPr>
          <w:rFonts w:ascii="Palatino Linotype" w:hAnsi="Palatino Linotype"/>
          <w:i/>
          <w:w w:val="95"/>
        </w:rPr>
        <w:t>Biology; </w:t>
      </w:r>
      <w:r>
        <w:rPr>
          <w:rFonts w:ascii="Palatino Linotype" w:hAnsi="Palatino Linotype"/>
          <w:b/>
          <w:w w:val="95"/>
        </w:rPr>
        <w:t>61.</w:t>
      </w:r>
      <w:r>
        <w:rPr>
          <w:rFonts w:ascii="Palatino Linotype" w:hAnsi="Palatino Linotype"/>
          <w:b/>
          <w:spacing w:val="24"/>
          <w:w w:val="95"/>
        </w:rPr>
        <w:t> </w:t>
      </w:r>
      <w:r>
        <w:rPr>
          <w:rFonts w:ascii="Cambria" w:hAnsi="Cambria"/>
          <w:w w:val="95"/>
        </w:rPr>
        <w:t>277-288</w:t>
      </w:r>
    </w:p>
    <w:p>
      <w:pPr>
        <w:pStyle w:val="BodyText"/>
        <w:spacing w:line="499" w:lineRule="auto"/>
        <w:ind w:left="821" w:right="104" w:hanging="720"/>
        <w:rPr>
          <w:rFonts w:ascii="Cambria" w:hAnsi="Cambria"/>
        </w:rPr>
      </w:pPr>
      <w:r>
        <w:rPr>
          <w:rFonts w:ascii="Cambria" w:hAnsi="Cambria"/>
          <w:w w:val="105"/>
        </w:rPr>
        <w:t>Goswani, V. R., M. D. Madhususan y K. U. Karanth. 2007. Application of photographic capture-recapture modelling to estímate demographic parameters</w:t>
      </w:r>
      <w:r>
        <w:rPr>
          <w:rFonts w:ascii="Cambria" w:hAnsi="Cambria"/>
          <w:spacing w:val="-36"/>
          <w:w w:val="105"/>
        </w:rPr>
        <w:t> </w:t>
      </w:r>
      <w:r>
        <w:rPr>
          <w:rFonts w:ascii="Cambria" w:hAnsi="Cambria"/>
          <w:w w:val="105"/>
        </w:rPr>
        <w:t>for</w:t>
      </w:r>
      <w:r>
        <w:rPr>
          <w:rFonts w:ascii="Cambria" w:hAnsi="Cambria"/>
          <w:spacing w:val="-36"/>
          <w:w w:val="105"/>
        </w:rPr>
        <w:t> </w:t>
      </w:r>
      <w:r>
        <w:rPr>
          <w:rFonts w:ascii="Cambria" w:hAnsi="Cambria"/>
          <w:w w:val="105"/>
        </w:rPr>
        <w:t>male</w:t>
      </w:r>
      <w:r>
        <w:rPr>
          <w:rFonts w:ascii="Cambria" w:hAnsi="Cambria"/>
          <w:spacing w:val="-36"/>
          <w:w w:val="105"/>
        </w:rPr>
        <w:t> </w:t>
      </w:r>
      <w:r>
        <w:rPr>
          <w:rFonts w:ascii="Cambria" w:hAnsi="Cambria"/>
          <w:w w:val="105"/>
        </w:rPr>
        <w:t>Asian</w:t>
      </w:r>
      <w:r>
        <w:rPr>
          <w:rFonts w:ascii="Cambria" w:hAnsi="Cambria"/>
          <w:spacing w:val="-36"/>
          <w:w w:val="105"/>
        </w:rPr>
        <w:t> </w:t>
      </w:r>
      <w:r>
        <w:rPr>
          <w:rFonts w:ascii="Cambria" w:hAnsi="Cambria"/>
          <w:w w:val="105"/>
        </w:rPr>
        <w:t>elephants.</w:t>
      </w:r>
      <w:r>
        <w:rPr>
          <w:rFonts w:ascii="Cambria" w:hAnsi="Cambria"/>
          <w:spacing w:val="-35"/>
          <w:w w:val="105"/>
        </w:rPr>
        <w:t> </w:t>
      </w:r>
      <w:r>
        <w:rPr>
          <w:rFonts w:ascii="Palatino Linotype" w:hAnsi="Palatino Linotype"/>
          <w:i/>
          <w:w w:val="105"/>
        </w:rPr>
        <w:t>Animal</w:t>
      </w:r>
      <w:r>
        <w:rPr>
          <w:rFonts w:ascii="Palatino Linotype" w:hAnsi="Palatino Linotype"/>
          <w:i/>
          <w:spacing w:val="-43"/>
          <w:w w:val="105"/>
        </w:rPr>
        <w:t> </w:t>
      </w:r>
      <w:r>
        <w:rPr>
          <w:rFonts w:ascii="Palatino Linotype" w:hAnsi="Palatino Linotype"/>
          <w:i/>
          <w:w w:val="105"/>
        </w:rPr>
        <w:t>Conservation;</w:t>
      </w:r>
      <w:r>
        <w:rPr>
          <w:rFonts w:ascii="Palatino Linotype" w:hAnsi="Palatino Linotype"/>
          <w:i/>
          <w:spacing w:val="-43"/>
          <w:w w:val="105"/>
        </w:rPr>
        <w:t> </w:t>
      </w:r>
      <w:r>
        <w:rPr>
          <w:rFonts w:ascii="Palatino Linotype" w:hAnsi="Palatino Linotype"/>
          <w:b/>
          <w:w w:val="105"/>
        </w:rPr>
        <w:t>10.</w:t>
      </w:r>
      <w:r>
        <w:rPr>
          <w:rFonts w:ascii="Palatino Linotype" w:hAnsi="Palatino Linotype"/>
          <w:b/>
          <w:spacing w:val="-43"/>
          <w:w w:val="105"/>
        </w:rPr>
        <w:t> </w:t>
      </w:r>
      <w:r>
        <w:rPr>
          <w:rFonts w:ascii="Cambria" w:hAnsi="Cambria"/>
          <w:w w:val="105"/>
        </w:rPr>
        <w:t>391-399</w:t>
      </w:r>
    </w:p>
    <w:p>
      <w:pPr>
        <w:pStyle w:val="BodyText"/>
        <w:spacing w:line="214" w:lineRule="exact"/>
        <w:ind w:left="810" w:hanging="708"/>
      </w:pPr>
      <w:r>
        <w:rPr/>
        <w:t>Harmsen, B.J., Foster, R.J., Silver, S.C., Ostro, L.E.T. y C.P. Doncaster. 2011. Jaguar and</w:t>
      </w:r>
    </w:p>
    <w:p>
      <w:pPr>
        <w:pStyle w:val="BodyText"/>
      </w:pPr>
    </w:p>
    <w:p>
      <w:pPr>
        <w:pStyle w:val="BodyText"/>
        <w:spacing w:line="480" w:lineRule="auto"/>
        <w:ind w:left="810" w:right="231"/>
      </w:pPr>
      <w:r>
        <w:rPr/>
        <w:t>puma activity patterns in relation to their main prey. Mammalian Biology. </w:t>
      </w:r>
      <w:r>
        <w:rPr>
          <w:b/>
        </w:rPr>
        <w:t>76. </w:t>
      </w:r>
      <w:r>
        <w:rPr/>
        <w:t>320- 324</w:t>
      </w:r>
    </w:p>
    <w:p>
      <w:pPr>
        <w:pStyle w:val="BodyText"/>
        <w:spacing w:line="487" w:lineRule="auto" w:before="20"/>
        <w:ind w:left="821" w:right="338" w:hanging="720"/>
        <w:rPr>
          <w:rFonts w:ascii="Cambria"/>
        </w:rPr>
      </w:pPr>
      <w:r>
        <w:rPr>
          <w:rFonts w:ascii="Cambria"/>
        </w:rPr>
        <w:t>Holling, C. S. 1959. Some characteristics of samples types of predation and parasitism. </w:t>
      </w:r>
      <w:r>
        <w:rPr>
          <w:rFonts w:ascii="Palatino Linotype"/>
          <w:i/>
        </w:rPr>
        <w:t>Canadian entomologist</w:t>
      </w:r>
      <w:r>
        <w:rPr>
          <w:rFonts w:ascii="Cambria"/>
        </w:rPr>
        <w:t>; </w:t>
      </w:r>
      <w:r>
        <w:rPr>
          <w:rFonts w:ascii="Palatino Linotype"/>
          <w:b/>
        </w:rPr>
        <w:t>91</w:t>
      </w:r>
      <w:r>
        <w:rPr>
          <w:rFonts w:ascii="Cambria"/>
        </w:rPr>
        <w:t>. 385-398</w:t>
      </w:r>
    </w:p>
    <w:p>
      <w:pPr>
        <w:spacing w:after="0" w:line="487" w:lineRule="auto"/>
        <w:rPr>
          <w:rFonts w:asci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ind w:left="102"/>
        <w:rPr>
          <w:rFonts w:ascii="Cambria"/>
        </w:rPr>
      </w:pPr>
      <w:r>
        <w:rPr>
          <w:rFonts w:ascii="Cambria"/>
          <w:w w:val="110"/>
        </w:rPr>
        <w:t>Jacobson, H. A., J. C. Kroll, R. W. Browning, B. H. Koerth y M. H. Conway. 1997.</w:t>
      </w:r>
    </w:p>
    <w:p>
      <w:pPr>
        <w:pStyle w:val="BodyText"/>
        <w:spacing w:before="11"/>
        <w:rPr>
          <w:rFonts w:ascii="Cambria"/>
        </w:rPr>
      </w:pPr>
    </w:p>
    <w:p>
      <w:pPr>
        <w:spacing w:line="441" w:lineRule="auto" w:before="0"/>
        <w:ind w:left="821" w:right="0" w:firstLine="0"/>
        <w:jc w:val="left"/>
        <w:rPr>
          <w:rFonts w:ascii="Cambria"/>
          <w:sz w:val="24"/>
        </w:rPr>
      </w:pPr>
      <w:r>
        <w:rPr>
          <w:rFonts w:ascii="Cambria"/>
          <w:sz w:val="24"/>
        </w:rPr>
        <w:t>Infrared-triggered cameras for censusing white-tailed deer. </w:t>
      </w:r>
      <w:r>
        <w:rPr>
          <w:rFonts w:ascii="Palatino Linotype"/>
          <w:i/>
          <w:sz w:val="24"/>
        </w:rPr>
        <w:t>Wildlife Society </w:t>
      </w:r>
      <w:r>
        <w:rPr>
          <w:rFonts w:ascii="Palatino Linotype"/>
          <w:i/>
          <w:sz w:val="24"/>
        </w:rPr>
        <w:t>Bulletin</w:t>
      </w:r>
      <w:r>
        <w:rPr>
          <w:rFonts w:ascii="Cambria"/>
          <w:sz w:val="24"/>
        </w:rPr>
        <w:t>; </w:t>
      </w:r>
      <w:r>
        <w:rPr>
          <w:rFonts w:ascii="Palatino Linotype"/>
          <w:b/>
          <w:sz w:val="24"/>
        </w:rPr>
        <w:t>25(2)</w:t>
      </w:r>
      <w:r>
        <w:rPr>
          <w:rFonts w:ascii="Cambria"/>
          <w:sz w:val="24"/>
        </w:rPr>
        <w:t>. 547-556</w:t>
      </w:r>
    </w:p>
    <w:p>
      <w:pPr>
        <w:pStyle w:val="BodyText"/>
        <w:spacing w:line="489" w:lineRule="auto" w:before="25"/>
        <w:ind w:left="810" w:right="338" w:hanging="708"/>
        <w:rPr>
          <w:rFonts w:ascii="Cambria"/>
        </w:rPr>
      </w:pPr>
      <w:r>
        <w:rPr>
          <w:rFonts w:ascii="Cambria"/>
          <w:w w:val="105"/>
        </w:rPr>
        <w:t>Jenny, D. y Zuberbuhler, K. 2005. Hunting behavior in west African forest leopards. African Journal Ecology. </w:t>
      </w:r>
      <w:r>
        <w:rPr>
          <w:rFonts w:ascii="Palatino Linotype"/>
          <w:b/>
          <w:w w:val="105"/>
        </w:rPr>
        <w:t>43. </w:t>
      </w:r>
      <w:r>
        <w:rPr>
          <w:rFonts w:ascii="Cambria"/>
          <w:w w:val="105"/>
        </w:rPr>
        <w:t>197-200</w:t>
      </w:r>
    </w:p>
    <w:p>
      <w:pPr>
        <w:pStyle w:val="BodyText"/>
        <w:spacing w:line="258" w:lineRule="exact"/>
        <w:ind w:left="102"/>
        <w:rPr>
          <w:rFonts w:ascii="Cambria"/>
        </w:rPr>
      </w:pPr>
      <w:r>
        <w:rPr>
          <w:rFonts w:ascii="Cambria"/>
          <w:w w:val="105"/>
        </w:rPr>
        <w:t>Karanth, K. U. 1995. Estimating tiger </w:t>
      </w:r>
      <w:r>
        <w:rPr>
          <w:rFonts w:ascii="Palatino Linotype"/>
          <w:i/>
          <w:w w:val="105"/>
        </w:rPr>
        <w:t>Panthera tigris </w:t>
      </w:r>
      <w:r>
        <w:rPr>
          <w:rFonts w:ascii="Cambria"/>
          <w:w w:val="105"/>
        </w:rPr>
        <w:t>populations from camera-trap</w:t>
      </w:r>
    </w:p>
    <w:p>
      <w:pPr>
        <w:pStyle w:val="BodyText"/>
        <w:spacing w:before="4"/>
        <w:rPr>
          <w:rFonts w:ascii="Cambria"/>
          <w:sz w:val="23"/>
        </w:rPr>
      </w:pPr>
    </w:p>
    <w:p>
      <w:pPr>
        <w:pStyle w:val="BodyText"/>
        <w:spacing w:line="458" w:lineRule="auto"/>
        <w:ind w:left="102" w:firstLine="719"/>
        <w:rPr>
          <w:rFonts w:ascii="Cambria"/>
        </w:rPr>
      </w:pPr>
      <w:r>
        <w:rPr>
          <w:rFonts w:ascii="Cambria"/>
          <w:w w:val="105"/>
        </w:rPr>
        <w:t>data using capture-recapture models. </w:t>
      </w:r>
      <w:r>
        <w:rPr>
          <w:rFonts w:ascii="Palatino Linotype"/>
          <w:i/>
          <w:w w:val="105"/>
        </w:rPr>
        <w:t>Biological Conservation</w:t>
      </w:r>
      <w:r>
        <w:rPr>
          <w:rFonts w:ascii="Cambria"/>
          <w:w w:val="105"/>
        </w:rPr>
        <w:t>; </w:t>
      </w:r>
      <w:r>
        <w:rPr>
          <w:rFonts w:ascii="Palatino Linotype"/>
          <w:b/>
          <w:w w:val="105"/>
        </w:rPr>
        <w:t>71</w:t>
      </w:r>
      <w:r>
        <w:rPr>
          <w:rFonts w:ascii="Cambria"/>
          <w:w w:val="105"/>
        </w:rPr>
        <w:t>. 333-338 Karanth, K. U., R. S. Chundawat, J. D. Nichols y N. S. Kumar. 2004. Estimation of</w:t>
      </w:r>
    </w:p>
    <w:p>
      <w:pPr>
        <w:pStyle w:val="BodyText"/>
        <w:spacing w:line="487" w:lineRule="auto" w:before="60"/>
        <w:ind w:left="821"/>
        <w:rPr>
          <w:rFonts w:ascii="Cambria" w:hAnsi="Cambria"/>
        </w:rPr>
      </w:pPr>
      <w:r>
        <w:rPr>
          <w:rFonts w:ascii="Cambria" w:hAnsi="Cambria"/>
        </w:rPr>
        <w:t>tiger densities in the tropical dry forests of Panna, Central India, using photographic capture</w:t>
      </w:r>
      <w:r>
        <w:rPr>
          <w:rFonts w:ascii="Palatino Linotype" w:hAnsi="Palatino Linotype"/>
        </w:rPr>
        <w:t>–</w:t>
      </w:r>
      <w:r>
        <w:rPr>
          <w:rFonts w:ascii="Cambria" w:hAnsi="Cambria"/>
        </w:rPr>
        <w:t>recapture sampling. </w:t>
      </w:r>
      <w:r>
        <w:rPr>
          <w:rFonts w:ascii="Palatino Linotype" w:hAnsi="Palatino Linotype"/>
          <w:i/>
        </w:rPr>
        <w:t>Animal Conservation</w:t>
      </w:r>
      <w:r>
        <w:rPr>
          <w:rFonts w:ascii="Cambria" w:hAnsi="Cambria"/>
        </w:rPr>
        <w:t>; </w:t>
      </w:r>
      <w:r>
        <w:rPr>
          <w:rFonts w:ascii="Palatino Linotype" w:hAnsi="Palatino Linotype"/>
          <w:b/>
        </w:rPr>
        <w:t>7</w:t>
      </w:r>
      <w:r>
        <w:rPr>
          <w:rFonts w:ascii="Cambria" w:hAnsi="Cambria"/>
        </w:rPr>
        <w:t>.  285</w:t>
      </w:r>
      <w:r>
        <w:rPr>
          <w:rFonts w:ascii="Palatino Linotype" w:hAnsi="Palatino Linotype"/>
        </w:rPr>
        <w:t>–</w:t>
      </w:r>
      <w:r>
        <w:rPr>
          <w:rFonts w:ascii="Cambria" w:hAnsi="Cambria"/>
        </w:rPr>
        <w:t>290</w:t>
      </w:r>
    </w:p>
    <w:p>
      <w:pPr>
        <w:pStyle w:val="BodyText"/>
        <w:spacing w:line="246" w:lineRule="exact"/>
        <w:ind w:left="102"/>
        <w:rPr>
          <w:rFonts w:ascii="Cambria"/>
        </w:rPr>
      </w:pPr>
      <w:r>
        <w:rPr>
          <w:rFonts w:ascii="Cambria"/>
          <w:w w:val="110"/>
        </w:rPr>
        <w:t>Karanth, K. U., J. D. Nichols, N. S. Kumar y J. E. Hines. 2006. Assessing tiger</w:t>
      </w:r>
    </w:p>
    <w:p>
      <w:pPr>
        <w:pStyle w:val="BodyText"/>
        <w:spacing w:before="9"/>
        <w:rPr>
          <w:rFonts w:ascii="Cambria"/>
          <w:sz w:val="26"/>
        </w:rPr>
      </w:pPr>
    </w:p>
    <w:p>
      <w:pPr>
        <w:pStyle w:val="BodyText"/>
        <w:ind w:left="821"/>
        <w:rPr>
          <w:rFonts w:ascii="Cambria"/>
        </w:rPr>
      </w:pPr>
      <w:r>
        <w:rPr>
          <w:rFonts w:ascii="Cambria"/>
          <w:w w:val="105"/>
        </w:rPr>
        <w:t>population dynamics using photographic capture-recapture sampling.</w:t>
      </w:r>
    </w:p>
    <w:p>
      <w:pPr>
        <w:pStyle w:val="BodyText"/>
        <w:spacing w:before="11"/>
        <w:rPr>
          <w:rFonts w:ascii="Cambria"/>
        </w:rPr>
      </w:pPr>
    </w:p>
    <w:p>
      <w:pPr>
        <w:spacing w:before="0"/>
        <w:ind w:left="821" w:right="0" w:firstLine="0"/>
        <w:jc w:val="left"/>
        <w:rPr>
          <w:rFonts w:ascii="Cambria"/>
          <w:sz w:val="24"/>
        </w:rPr>
      </w:pPr>
      <w:r>
        <w:rPr>
          <w:rFonts w:ascii="Palatino Linotype"/>
          <w:i/>
          <w:w w:val="95"/>
          <w:sz w:val="24"/>
        </w:rPr>
        <w:t>Ecology</w:t>
      </w:r>
      <w:r>
        <w:rPr>
          <w:rFonts w:ascii="Cambria"/>
          <w:w w:val="95"/>
          <w:sz w:val="24"/>
        </w:rPr>
        <w:t>; </w:t>
      </w:r>
      <w:r>
        <w:rPr>
          <w:rFonts w:ascii="Palatino Linotype"/>
          <w:b/>
          <w:w w:val="95"/>
          <w:sz w:val="24"/>
        </w:rPr>
        <w:t>87</w:t>
      </w:r>
      <w:r>
        <w:rPr>
          <w:rFonts w:ascii="Cambria"/>
          <w:w w:val="95"/>
          <w:sz w:val="24"/>
        </w:rPr>
        <w:t>(11). 2925-2937</w:t>
      </w:r>
    </w:p>
    <w:p>
      <w:pPr>
        <w:pStyle w:val="BodyText"/>
        <w:spacing w:before="2"/>
        <w:rPr>
          <w:rFonts w:ascii="Cambria"/>
          <w:sz w:val="25"/>
        </w:rPr>
      </w:pPr>
    </w:p>
    <w:p>
      <w:pPr>
        <w:pStyle w:val="BodyText"/>
        <w:spacing w:line="489" w:lineRule="auto"/>
        <w:ind w:left="821" w:hanging="720"/>
        <w:rPr>
          <w:rFonts w:ascii="Cambria"/>
        </w:rPr>
      </w:pPr>
      <w:r>
        <w:rPr>
          <w:rFonts w:ascii="Cambria"/>
          <w:w w:val="105"/>
        </w:rPr>
        <w:t>Karanth, K. U. y J. D. Nichols. 1998. Estimation of tiger densities in India using </w:t>
      </w:r>
      <w:r>
        <w:rPr>
          <w:rFonts w:ascii="Cambria"/>
        </w:rPr>
        <w:t>photographic captures and recaptures. </w:t>
      </w:r>
      <w:r>
        <w:rPr>
          <w:rFonts w:ascii="Palatino Linotype"/>
          <w:i/>
        </w:rPr>
        <w:t>Ecology</w:t>
      </w:r>
      <w:r>
        <w:rPr>
          <w:rFonts w:ascii="Cambria"/>
        </w:rPr>
        <w:t>; </w:t>
      </w:r>
      <w:r>
        <w:rPr>
          <w:rFonts w:ascii="Palatino Linotype"/>
          <w:b/>
        </w:rPr>
        <w:t>79(8)</w:t>
      </w:r>
      <w:r>
        <w:rPr>
          <w:rFonts w:ascii="Cambria"/>
        </w:rPr>
        <w:t>. 2852-2862</w:t>
      </w:r>
    </w:p>
    <w:p>
      <w:pPr>
        <w:pStyle w:val="BodyText"/>
        <w:spacing w:line="240" w:lineRule="exact"/>
        <w:ind w:left="102"/>
        <w:rPr>
          <w:rFonts w:ascii="Cambria"/>
        </w:rPr>
      </w:pPr>
      <w:r>
        <w:rPr>
          <w:rFonts w:ascii="Cambria"/>
          <w:w w:val="105"/>
        </w:rPr>
        <w:t>Keeler, M.S., Chew, F.S., Goodale, B.C. y    Reed J.M. 2006. Modelling the impacts of</w:t>
      </w:r>
    </w:p>
    <w:p>
      <w:pPr>
        <w:pStyle w:val="BodyText"/>
        <w:spacing w:before="11"/>
        <w:rPr>
          <w:rFonts w:ascii="Cambria"/>
          <w:sz w:val="26"/>
        </w:rPr>
      </w:pPr>
    </w:p>
    <w:p>
      <w:pPr>
        <w:pStyle w:val="BodyText"/>
        <w:spacing w:line="489" w:lineRule="auto"/>
        <w:ind w:left="821" w:right="345"/>
        <w:rPr>
          <w:rFonts w:ascii="Cambria" w:hAnsi="Cambria"/>
        </w:rPr>
      </w:pPr>
      <w:r>
        <w:rPr>
          <w:rFonts w:ascii="Cambria" w:hAnsi="Cambria"/>
          <w:w w:val="105"/>
        </w:rPr>
        <w:t>two exotic invasive species on a native butterfly: top-down vs. bottom-up effects. J. Anim. Ecol. </w:t>
      </w:r>
      <w:r>
        <w:rPr>
          <w:rFonts w:ascii="Palatino Linotype" w:hAnsi="Palatino Linotype"/>
          <w:b/>
          <w:w w:val="105"/>
        </w:rPr>
        <w:t>75. </w:t>
      </w:r>
      <w:r>
        <w:rPr>
          <w:rFonts w:ascii="Cambria" w:hAnsi="Cambria"/>
          <w:w w:val="105"/>
        </w:rPr>
        <w:t>777</w:t>
      </w:r>
      <w:r>
        <w:rPr>
          <w:rFonts w:ascii="Palatino Linotype" w:hAnsi="Palatino Linotype"/>
          <w:w w:val="105"/>
        </w:rPr>
        <w:t>–</w:t>
      </w:r>
      <w:r>
        <w:rPr>
          <w:rFonts w:ascii="Cambria" w:hAnsi="Cambria"/>
          <w:w w:val="105"/>
        </w:rPr>
        <w:t>788</w:t>
      </w:r>
    </w:p>
    <w:p>
      <w:pPr>
        <w:pStyle w:val="BodyText"/>
        <w:spacing w:line="241" w:lineRule="exact"/>
        <w:ind w:left="162"/>
        <w:rPr>
          <w:rFonts w:ascii="Cambria"/>
        </w:rPr>
      </w:pPr>
      <w:r>
        <w:rPr>
          <w:rFonts w:ascii="Cambria"/>
          <w:w w:val="115"/>
        </w:rPr>
        <w:t>Kelly,</w:t>
      </w:r>
      <w:r>
        <w:rPr>
          <w:rFonts w:ascii="Cambria"/>
          <w:spacing w:val="-14"/>
          <w:w w:val="115"/>
        </w:rPr>
        <w:t> </w:t>
      </w:r>
      <w:r>
        <w:rPr>
          <w:rFonts w:ascii="Cambria"/>
          <w:w w:val="115"/>
        </w:rPr>
        <w:t>M.</w:t>
      </w:r>
      <w:r>
        <w:rPr>
          <w:rFonts w:ascii="Cambria"/>
          <w:spacing w:val="-14"/>
          <w:w w:val="115"/>
        </w:rPr>
        <w:t> </w:t>
      </w:r>
      <w:r>
        <w:rPr>
          <w:rFonts w:ascii="Cambria"/>
          <w:w w:val="115"/>
        </w:rPr>
        <w:t>J.,</w:t>
      </w:r>
      <w:r>
        <w:rPr>
          <w:rFonts w:ascii="Cambria"/>
          <w:spacing w:val="-14"/>
          <w:w w:val="115"/>
        </w:rPr>
        <w:t> </w:t>
      </w:r>
      <w:r>
        <w:rPr>
          <w:rFonts w:ascii="Cambria"/>
          <w:w w:val="115"/>
        </w:rPr>
        <w:t>A.</w:t>
      </w:r>
      <w:r>
        <w:rPr>
          <w:rFonts w:ascii="Cambria"/>
          <w:spacing w:val="-14"/>
          <w:w w:val="115"/>
        </w:rPr>
        <w:t> </w:t>
      </w:r>
      <w:r>
        <w:rPr>
          <w:rFonts w:ascii="Cambria"/>
          <w:w w:val="115"/>
        </w:rPr>
        <w:t>J.</w:t>
      </w:r>
      <w:r>
        <w:rPr>
          <w:rFonts w:ascii="Cambria"/>
          <w:spacing w:val="-14"/>
          <w:w w:val="115"/>
        </w:rPr>
        <w:t> </w:t>
      </w:r>
      <w:r>
        <w:rPr>
          <w:rFonts w:ascii="Cambria"/>
          <w:w w:val="115"/>
        </w:rPr>
        <w:t>Noss,</w:t>
      </w:r>
      <w:r>
        <w:rPr>
          <w:rFonts w:ascii="Cambria"/>
          <w:spacing w:val="-14"/>
          <w:w w:val="115"/>
        </w:rPr>
        <w:t> </w:t>
      </w:r>
      <w:r>
        <w:rPr>
          <w:rFonts w:ascii="Cambria"/>
          <w:w w:val="115"/>
        </w:rPr>
        <w:t>M.</w:t>
      </w:r>
      <w:r>
        <w:rPr>
          <w:rFonts w:ascii="Cambria"/>
          <w:spacing w:val="-14"/>
          <w:w w:val="115"/>
        </w:rPr>
        <w:t> </w:t>
      </w:r>
      <w:r>
        <w:rPr>
          <w:rFonts w:ascii="Cambria"/>
          <w:w w:val="115"/>
        </w:rPr>
        <w:t>S.</w:t>
      </w:r>
      <w:r>
        <w:rPr>
          <w:rFonts w:ascii="Cambria"/>
          <w:spacing w:val="-14"/>
          <w:w w:val="115"/>
        </w:rPr>
        <w:t> </w:t>
      </w:r>
      <w:r>
        <w:rPr>
          <w:rFonts w:ascii="Cambria"/>
          <w:w w:val="115"/>
        </w:rPr>
        <w:t>D.</w:t>
      </w:r>
      <w:r>
        <w:rPr>
          <w:rFonts w:ascii="Cambria"/>
          <w:spacing w:val="-14"/>
          <w:w w:val="115"/>
        </w:rPr>
        <w:t> </w:t>
      </w:r>
      <w:r>
        <w:rPr>
          <w:rFonts w:ascii="Cambria"/>
          <w:w w:val="115"/>
        </w:rPr>
        <w:t>Ditetti,</w:t>
      </w:r>
      <w:r>
        <w:rPr>
          <w:rFonts w:ascii="Cambria"/>
          <w:spacing w:val="-14"/>
          <w:w w:val="115"/>
        </w:rPr>
        <w:t> </w:t>
      </w:r>
      <w:r>
        <w:rPr>
          <w:rFonts w:ascii="Cambria"/>
          <w:w w:val="115"/>
        </w:rPr>
        <w:t>L.</w:t>
      </w:r>
      <w:r>
        <w:rPr>
          <w:rFonts w:ascii="Cambria"/>
          <w:spacing w:val="-14"/>
          <w:w w:val="115"/>
        </w:rPr>
        <w:t> </w:t>
      </w:r>
      <w:r>
        <w:rPr>
          <w:rFonts w:ascii="Cambria"/>
          <w:w w:val="115"/>
        </w:rPr>
        <w:t>Maffei,</w:t>
      </w:r>
      <w:r>
        <w:rPr>
          <w:rFonts w:ascii="Cambria"/>
          <w:spacing w:val="-14"/>
          <w:w w:val="115"/>
        </w:rPr>
        <w:t> </w:t>
      </w:r>
      <w:r>
        <w:rPr>
          <w:rFonts w:ascii="Cambria"/>
          <w:w w:val="115"/>
        </w:rPr>
        <w:t>R.</w:t>
      </w:r>
      <w:r>
        <w:rPr>
          <w:rFonts w:ascii="Cambria"/>
          <w:spacing w:val="-14"/>
          <w:w w:val="115"/>
        </w:rPr>
        <w:t> </w:t>
      </w:r>
      <w:r>
        <w:rPr>
          <w:rFonts w:ascii="Cambria"/>
          <w:w w:val="115"/>
        </w:rPr>
        <w:t>L.</w:t>
      </w:r>
      <w:r>
        <w:rPr>
          <w:rFonts w:ascii="Cambria"/>
          <w:spacing w:val="-14"/>
          <w:w w:val="115"/>
        </w:rPr>
        <w:t> </w:t>
      </w:r>
      <w:r>
        <w:rPr>
          <w:rFonts w:ascii="Cambria"/>
          <w:w w:val="115"/>
        </w:rPr>
        <w:t>Arispe,</w:t>
      </w:r>
      <w:r>
        <w:rPr>
          <w:rFonts w:ascii="Cambria"/>
          <w:spacing w:val="-14"/>
          <w:w w:val="115"/>
        </w:rPr>
        <w:t> </w:t>
      </w:r>
      <w:r>
        <w:rPr>
          <w:rFonts w:ascii="Cambria"/>
          <w:w w:val="115"/>
        </w:rPr>
        <w:t>A.</w:t>
      </w:r>
      <w:r>
        <w:rPr>
          <w:rFonts w:ascii="Cambria"/>
          <w:spacing w:val="-14"/>
          <w:w w:val="115"/>
        </w:rPr>
        <w:t> </w:t>
      </w:r>
      <w:r>
        <w:rPr>
          <w:rFonts w:ascii="Cambria"/>
          <w:w w:val="115"/>
        </w:rPr>
        <w:t>Paviolo,</w:t>
      </w:r>
      <w:r>
        <w:rPr>
          <w:rFonts w:ascii="Cambria"/>
          <w:spacing w:val="-14"/>
          <w:w w:val="115"/>
        </w:rPr>
        <w:t> </w:t>
      </w:r>
      <w:r>
        <w:rPr>
          <w:rFonts w:ascii="Cambria"/>
          <w:w w:val="115"/>
        </w:rPr>
        <w:t>C.</w:t>
      </w:r>
      <w:r>
        <w:rPr>
          <w:rFonts w:ascii="Cambria"/>
          <w:spacing w:val="-14"/>
          <w:w w:val="115"/>
        </w:rPr>
        <w:t> </w:t>
      </w:r>
      <w:r>
        <w:rPr>
          <w:rFonts w:ascii="Cambria"/>
          <w:w w:val="115"/>
        </w:rPr>
        <w:t>D.</w:t>
      </w:r>
      <w:r>
        <w:rPr>
          <w:rFonts w:ascii="Cambria"/>
          <w:spacing w:val="-11"/>
          <w:w w:val="115"/>
        </w:rPr>
        <w:t> </w:t>
      </w:r>
      <w:r>
        <w:rPr>
          <w:rFonts w:ascii="Cambria"/>
          <w:w w:val="115"/>
        </w:rPr>
        <w:t>D.</w:t>
      </w:r>
    </w:p>
    <w:p>
      <w:pPr>
        <w:pStyle w:val="BodyText"/>
        <w:spacing w:before="11"/>
        <w:rPr>
          <w:rFonts w:ascii="Cambria"/>
          <w:sz w:val="26"/>
        </w:rPr>
      </w:pPr>
    </w:p>
    <w:p>
      <w:pPr>
        <w:pStyle w:val="BodyText"/>
        <w:spacing w:line="463" w:lineRule="auto"/>
        <w:ind w:left="821" w:right="420"/>
        <w:rPr>
          <w:rFonts w:ascii="Cambria" w:hAnsi="Cambria"/>
        </w:rPr>
      </w:pPr>
      <w:r>
        <w:rPr>
          <w:rFonts w:ascii="Cambria" w:hAnsi="Cambria"/>
          <w:w w:val="105"/>
        </w:rPr>
        <w:t>Angelo y Y. E. D. Blanco. 2008. Estimating Puma densities from camera trapping</w:t>
      </w:r>
      <w:r>
        <w:rPr>
          <w:rFonts w:ascii="Cambria" w:hAnsi="Cambria"/>
          <w:spacing w:val="-9"/>
          <w:w w:val="105"/>
        </w:rPr>
        <w:t> </w:t>
      </w:r>
      <w:r>
        <w:rPr>
          <w:rFonts w:ascii="Cambria" w:hAnsi="Cambria"/>
          <w:w w:val="105"/>
        </w:rPr>
        <w:t>across</w:t>
      </w:r>
      <w:r>
        <w:rPr>
          <w:rFonts w:ascii="Cambria" w:hAnsi="Cambria"/>
          <w:spacing w:val="-10"/>
          <w:w w:val="105"/>
        </w:rPr>
        <w:t> </w:t>
      </w:r>
      <w:r>
        <w:rPr>
          <w:rFonts w:ascii="Cambria" w:hAnsi="Cambria"/>
          <w:w w:val="105"/>
        </w:rPr>
        <w:t>three</w:t>
      </w:r>
      <w:r>
        <w:rPr>
          <w:rFonts w:ascii="Cambria" w:hAnsi="Cambria"/>
          <w:spacing w:val="-9"/>
          <w:w w:val="105"/>
        </w:rPr>
        <w:t> </w:t>
      </w:r>
      <w:r>
        <w:rPr>
          <w:rFonts w:ascii="Cambria" w:hAnsi="Cambria"/>
          <w:w w:val="105"/>
        </w:rPr>
        <w:t>study</w:t>
      </w:r>
      <w:r>
        <w:rPr>
          <w:rFonts w:ascii="Cambria" w:hAnsi="Cambria"/>
          <w:spacing w:val="-9"/>
          <w:w w:val="105"/>
        </w:rPr>
        <w:t> </w:t>
      </w:r>
      <w:r>
        <w:rPr>
          <w:rFonts w:ascii="Cambria" w:hAnsi="Cambria"/>
          <w:w w:val="105"/>
        </w:rPr>
        <w:t>sites:</w:t>
      </w:r>
      <w:r>
        <w:rPr>
          <w:rFonts w:ascii="Cambria" w:hAnsi="Cambria"/>
          <w:spacing w:val="-10"/>
          <w:w w:val="105"/>
        </w:rPr>
        <w:t> </w:t>
      </w:r>
      <w:r>
        <w:rPr>
          <w:rFonts w:ascii="Cambria" w:hAnsi="Cambria"/>
          <w:w w:val="105"/>
        </w:rPr>
        <w:t>Bolivia,</w:t>
      </w:r>
      <w:r>
        <w:rPr>
          <w:rFonts w:ascii="Cambria" w:hAnsi="Cambria"/>
          <w:spacing w:val="-9"/>
          <w:w w:val="105"/>
        </w:rPr>
        <w:t> </w:t>
      </w:r>
      <w:r>
        <w:rPr>
          <w:rFonts w:ascii="Cambria" w:hAnsi="Cambria"/>
          <w:w w:val="105"/>
        </w:rPr>
        <w:t>Argentina,</w:t>
      </w:r>
      <w:r>
        <w:rPr>
          <w:rFonts w:ascii="Cambria" w:hAnsi="Cambria"/>
          <w:spacing w:val="-9"/>
          <w:w w:val="105"/>
        </w:rPr>
        <w:t> </w:t>
      </w:r>
      <w:r>
        <w:rPr>
          <w:rFonts w:ascii="Cambria" w:hAnsi="Cambria"/>
          <w:w w:val="105"/>
        </w:rPr>
        <w:t>and</w:t>
      </w:r>
      <w:r>
        <w:rPr>
          <w:rFonts w:ascii="Cambria" w:hAnsi="Cambria"/>
          <w:spacing w:val="-10"/>
          <w:w w:val="105"/>
        </w:rPr>
        <w:t> </w:t>
      </w:r>
      <w:r>
        <w:rPr>
          <w:rFonts w:ascii="Cambria" w:hAnsi="Cambria"/>
          <w:w w:val="105"/>
        </w:rPr>
        <w:t>Belize.</w:t>
      </w:r>
      <w:r>
        <w:rPr>
          <w:rFonts w:ascii="Cambria" w:hAnsi="Cambria"/>
          <w:spacing w:val="-8"/>
          <w:w w:val="105"/>
        </w:rPr>
        <w:t> </w:t>
      </w:r>
      <w:r>
        <w:rPr>
          <w:rFonts w:ascii="Palatino Linotype" w:hAnsi="Palatino Linotype"/>
          <w:i/>
          <w:w w:val="105"/>
        </w:rPr>
        <w:t>Journal</w:t>
      </w:r>
      <w:r>
        <w:rPr>
          <w:rFonts w:ascii="Palatino Linotype" w:hAnsi="Palatino Linotype"/>
          <w:i/>
          <w:spacing w:val="-17"/>
          <w:w w:val="105"/>
        </w:rPr>
        <w:t> </w:t>
      </w:r>
      <w:r>
        <w:rPr>
          <w:rFonts w:ascii="Palatino Linotype" w:hAnsi="Palatino Linotype"/>
          <w:i/>
          <w:w w:val="105"/>
        </w:rPr>
        <w:t>of </w:t>
      </w:r>
      <w:r>
        <w:rPr>
          <w:rFonts w:ascii="Palatino Linotype" w:hAnsi="Palatino Linotype"/>
          <w:i/>
        </w:rPr>
        <w:t>Mammalogy</w:t>
      </w:r>
      <w:r>
        <w:rPr>
          <w:rFonts w:ascii="Cambria" w:hAnsi="Cambria"/>
        </w:rPr>
        <w:t>;</w:t>
      </w:r>
      <w:r>
        <w:rPr>
          <w:rFonts w:ascii="Cambria" w:hAnsi="Cambria"/>
          <w:spacing w:val="-30"/>
        </w:rPr>
        <w:t> </w:t>
      </w:r>
      <w:r>
        <w:rPr>
          <w:rFonts w:ascii="Palatino Linotype" w:hAnsi="Palatino Linotype"/>
          <w:b/>
        </w:rPr>
        <w:t>89(2)</w:t>
      </w:r>
      <w:r>
        <w:rPr>
          <w:rFonts w:ascii="Cambria" w:hAnsi="Cambria"/>
        </w:rPr>
        <w:t>.</w:t>
      </w:r>
      <w:r>
        <w:rPr>
          <w:rFonts w:ascii="Cambria" w:hAnsi="Cambria"/>
          <w:spacing w:val="-30"/>
        </w:rPr>
        <w:t> </w:t>
      </w:r>
      <w:r>
        <w:rPr>
          <w:rFonts w:ascii="Cambria" w:hAnsi="Cambria"/>
        </w:rPr>
        <w:t>408</w:t>
      </w:r>
      <w:r>
        <w:rPr>
          <w:rFonts w:ascii="Palatino Linotype" w:hAnsi="Palatino Linotype"/>
        </w:rPr>
        <w:t>–</w:t>
      </w:r>
      <w:r>
        <w:rPr>
          <w:rFonts w:ascii="Cambria" w:hAnsi="Cambria"/>
        </w:rPr>
        <w:t>418</w:t>
      </w:r>
    </w:p>
    <w:p>
      <w:pPr>
        <w:spacing w:after="0" w:line="463"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499" w:lineRule="auto"/>
        <w:ind w:left="821" w:right="263" w:hanging="720"/>
        <w:rPr>
          <w:rFonts w:ascii="Cambria"/>
        </w:rPr>
      </w:pPr>
      <w:r>
        <w:rPr>
          <w:rFonts w:ascii="Cambria"/>
          <w:w w:val="105"/>
        </w:rPr>
        <w:t>Keith, L.B., Todd, A.W., Brand, C.J., Adamcik, R.S. y Rusch, D.H. 1977. An analysis   of predation during a cyclic fluctuation of snowshoe hares. Proceedings of the</w:t>
      </w:r>
      <w:r>
        <w:rPr>
          <w:rFonts w:ascii="Cambria"/>
          <w:spacing w:val="-25"/>
          <w:w w:val="105"/>
        </w:rPr>
        <w:t> </w:t>
      </w:r>
      <w:r>
        <w:rPr>
          <w:rFonts w:ascii="Cambria"/>
          <w:w w:val="105"/>
        </w:rPr>
        <w:t>International</w:t>
      </w:r>
      <w:r>
        <w:rPr>
          <w:rFonts w:ascii="Cambria"/>
          <w:spacing w:val="-25"/>
          <w:w w:val="105"/>
        </w:rPr>
        <w:t> </w:t>
      </w:r>
      <w:r>
        <w:rPr>
          <w:rFonts w:ascii="Cambria"/>
          <w:w w:val="105"/>
        </w:rPr>
        <w:t>Congress</w:t>
      </w:r>
      <w:r>
        <w:rPr>
          <w:rFonts w:ascii="Cambria"/>
          <w:spacing w:val="-26"/>
          <w:w w:val="105"/>
        </w:rPr>
        <w:t> </w:t>
      </w:r>
      <w:r>
        <w:rPr>
          <w:rFonts w:ascii="Cambria"/>
          <w:w w:val="105"/>
        </w:rPr>
        <w:t>of</w:t>
      </w:r>
      <w:r>
        <w:rPr>
          <w:rFonts w:ascii="Cambria"/>
          <w:spacing w:val="-25"/>
          <w:w w:val="105"/>
        </w:rPr>
        <w:t> </w:t>
      </w:r>
      <w:r>
        <w:rPr>
          <w:rFonts w:ascii="Cambria"/>
          <w:w w:val="105"/>
        </w:rPr>
        <w:t>Game</w:t>
      </w:r>
      <w:r>
        <w:rPr>
          <w:rFonts w:ascii="Cambria"/>
          <w:spacing w:val="-25"/>
          <w:w w:val="105"/>
        </w:rPr>
        <w:t> </w:t>
      </w:r>
      <w:r>
        <w:rPr>
          <w:rFonts w:ascii="Cambria"/>
          <w:w w:val="105"/>
        </w:rPr>
        <w:t>Biologists</w:t>
      </w:r>
      <w:r>
        <w:rPr>
          <w:rFonts w:ascii="Cambria"/>
          <w:spacing w:val="-24"/>
          <w:w w:val="105"/>
        </w:rPr>
        <w:t> </w:t>
      </w:r>
      <w:r>
        <w:rPr>
          <w:rFonts w:ascii="Palatino Linotype"/>
          <w:b/>
          <w:w w:val="105"/>
        </w:rPr>
        <w:t>13.</w:t>
      </w:r>
      <w:r>
        <w:rPr>
          <w:rFonts w:ascii="Palatino Linotype"/>
          <w:b/>
          <w:spacing w:val="-32"/>
          <w:w w:val="105"/>
        </w:rPr>
        <w:t> </w:t>
      </w:r>
      <w:r>
        <w:rPr>
          <w:rFonts w:ascii="Cambria"/>
          <w:w w:val="105"/>
        </w:rPr>
        <w:t>151-175</w:t>
      </w:r>
    </w:p>
    <w:p>
      <w:pPr>
        <w:pStyle w:val="BodyText"/>
        <w:spacing w:line="229" w:lineRule="exact"/>
        <w:ind w:left="821" w:hanging="720"/>
        <w:rPr>
          <w:rFonts w:ascii="Cambria" w:hAnsi="Cambria"/>
        </w:rPr>
      </w:pPr>
      <w:r>
        <w:rPr>
          <w:rFonts w:ascii="Cambria" w:hAnsi="Cambria"/>
          <w:w w:val="110"/>
        </w:rPr>
        <w:t>Maffei,</w:t>
      </w:r>
      <w:r>
        <w:rPr>
          <w:rFonts w:ascii="Cambria" w:hAnsi="Cambria"/>
          <w:spacing w:val="-24"/>
          <w:w w:val="110"/>
        </w:rPr>
        <w:t> </w:t>
      </w:r>
      <w:r>
        <w:rPr>
          <w:rFonts w:ascii="Cambria" w:hAnsi="Cambria"/>
          <w:w w:val="110"/>
        </w:rPr>
        <w:t>L.,</w:t>
      </w:r>
      <w:r>
        <w:rPr>
          <w:rFonts w:ascii="Cambria" w:hAnsi="Cambria"/>
          <w:spacing w:val="-24"/>
          <w:w w:val="110"/>
        </w:rPr>
        <w:t> </w:t>
      </w:r>
      <w:r>
        <w:rPr>
          <w:rFonts w:ascii="Cambria" w:hAnsi="Cambria"/>
          <w:w w:val="110"/>
        </w:rPr>
        <w:t>E.</w:t>
      </w:r>
      <w:r>
        <w:rPr>
          <w:rFonts w:ascii="Cambria" w:hAnsi="Cambria"/>
          <w:spacing w:val="-24"/>
          <w:w w:val="110"/>
        </w:rPr>
        <w:t> </w:t>
      </w:r>
      <w:r>
        <w:rPr>
          <w:rFonts w:ascii="Cambria" w:hAnsi="Cambria"/>
          <w:w w:val="110"/>
        </w:rPr>
        <w:t>Cuéllar</w:t>
      </w:r>
      <w:r>
        <w:rPr>
          <w:rFonts w:ascii="Cambria" w:hAnsi="Cambria"/>
          <w:spacing w:val="-24"/>
          <w:w w:val="110"/>
        </w:rPr>
        <w:t> </w:t>
      </w:r>
      <w:r>
        <w:rPr>
          <w:rFonts w:ascii="Cambria" w:hAnsi="Cambria"/>
          <w:w w:val="110"/>
        </w:rPr>
        <w:t>y</w:t>
      </w:r>
      <w:r>
        <w:rPr>
          <w:rFonts w:ascii="Cambria" w:hAnsi="Cambria"/>
          <w:spacing w:val="-24"/>
          <w:w w:val="110"/>
        </w:rPr>
        <w:t> </w:t>
      </w:r>
      <w:r>
        <w:rPr>
          <w:rFonts w:ascii="Cambria" w:hAnsi="Cambria"/>
          <w:w w:val="110"/>
        </w:rPr>
        <w:t>A.</w:t>
      </w:r>
      <w:r>
        <w:rPr>
          <w:rFonts w:ascii="Cambria" w:hAnsi="Cambria"/>
          <w:spacing w:val="-24"/>
          <w:w w:val="110"/>
        </w:rPr>
        <w:t> </w:t>
      </w:r>
      <w:r>
        <w:rPr>
          <w:rFonts w:ascii="Cambria" w:hAnsi="Cambria"/>
          <w:w w:val="110"/>
        </w:rPr>
        <w:t>J.</w:t>
      </w:r>
      <w:r>
        <w:rPr>
          <w:rFonts w:ascii="Cambria" w:hAnsi="Cambria"/>
          <w:spacing w:val="-24"/>
          <w:w w:val="110"/>
        </w:rPr>
        <w:t> </w:t>
      </w:r>
      <w:r>
        <w:rPr>
          <w:rFonts w:ascii="Cambria" w:hAnsi="Cambria"/>
          <w:w w:val="110"/>
        </w:rPr>
        <w:t>Noss.</w:t>
      </w:r>
      <w:r>
        <w:rPr>
          <w:rFonts w:ascii="Cambria" w:hAnsi="Cambria"/>
          <w:spacing w:val="-24"/>
          <w:w w:val="110"/>
        </w:rPr>
        <w:t> </w:t>
      </w:r>
      <w:r>
        <w:rPr>
          <w:rFonts w:ascii="Cambria" w:hAnsi="Cambria"/>
          <w:w w:val="110"/>
        </w:rPr>
        <w:t>2002.</w:t>
      </w:r>
      <w:r>
        <w:rPr>
          <w:rFonts w:ascii="Cambria" w:hAnsi="Cambria"/>
          <w:spacing w:val="-23"/>
          <w:w w:val="110"/>
        </w:rPr>
        <w:t> </w:t>
      </w:r>
      <w:r>
        <w:rPr>
          <w:rFonts w:ascii="Cambria" w:hAnsi="Cambria"/>
          <w:w w:val="110"/>
        </w:rPr>
        <w:t>Uso</w:t>
      </w:r>
      <w:r>
        <w:rPr>
          <w:rFonts w:ascii="Cambria" w:hAnsi="Cambria"/>
          <w:spacing w:val="-24"/>
          <w:w w:val="110"/>
        </w:rPr>
        <w:t> </w:t>
      </w:r>
      <w:r>
        <w:rPr>
          <w:rFonts w:ascii="Cambria" w:hAnsi="Cambria"/>
          <w:w w:val="110"/>
        </w:rPr>
        <w:t>de</w:t>
      </w:r>
      <w:r>
        <w:rPr>
          <w:rFonts w:ascii="Cambria" w:hAnsi="Cambria"/>
          <w:spacing w:val="-24"/>
          <w:w w:val="110"/>
        </w:rPr>
        <w:t> </w:t>
      </w:r>
      <w:r>
        <w:rPr>
          <w:rFonts w:ascii="Cambria" w:hAnsi="Cambria"/>
          <w:w w:val="110"/>
        </w:rPr>
        <w:t>trampas-cámara</w:t>
      </w:r>
      <w:r>
        <w:rPr>
          <w:rFonts w:ascii="Cambria" w:hAnsi="Cambria"/>
          <w:spacing w:val="-24"/>
          <w:w w:val="110"/>
        </w:rPr>
        <w:t> </w:t>
      </w:r>
      <w:r>
        <w:rPr>
          <w:rFonts w:ascii="Cambria" w:hAnsi="Cambria"/>
          <w:w w:val="110"/>
        </w:rPr>
        <w:t>para</w:t>
      </w:r>
      <w:r>
        <w:rPr>
          <w:rFonts w:ascii="Cambria" w:hAnsi="Cambria"/>
          <w:spacing w:val="-24"/>
          <w:w w:val="110"/>
        </w:rPr>
        <w:t> </w:t>
      </w:r>
      <w:r>
        <w:rPr>
          <w:rFonts w:ascii="Cambria" w:hAnsi="Cambria"/>
          <w:w w:val="110"/>
        </w:rPr>
        <w:t>la</w:t>
      </w:r>
      <w:r>
        <w:rPr>
          <w:rFonts w:ascii="Cambria" w:hAnsi="Cambria"/>
          <w:spacing w:val="-24"/>
          <w:w w:val="110"/>
        </w:rPr>
        <w:t> </w:t>
      </w:r>
      <w:r>
        <w:rPr>
          <w:rFonts w:ascii="Cambria" w:hAnsi="Cambria"/>
          <w:w w:val="110"/>
        </w:rPr>
        <w:t>evaluación</w:t>
      </w:r>
    </w:p>
    <w:p>
      <w:pPr>
        <w:pStyle w:val="BodyText"/>
        <w:spacing w:before="10"/>
        <w:rPr>
          <w:rFonts w:ascii="Cambria"/>
        </w:rPr>
      </w:pPr>
    </w:p>
    <w:p>
      <w:pPr>
        <w:spacing w:line="441" w:lineRule="auto" w:before="1"/>
        <w:ind w:left="821" w:right="271" w:firstLine="0"/>
        <w:jc w:val="left"/>
        <w:rPr>
          <w:rFonts w:ascii="Cambria" w:hAnsi="Cambria"/>
          <w:sz w:val="24"/>
        </w:rPr>
      </w:pPr>
      <w:r>
        <w:rPr>
          <w:rFonts w:ascii="Cambria" w:hAnsi="Cambria"/>
          <w:w w:val="105"/>
          <w:sz w:val="24"/>
        </w:rPr>
        <w:t>de</w:t>
      </w:r>
      <w:r>
        <w:rPr>
          <w:rFonts w:ascii="Cambria" w:hAnsi="Cambria"/>
          <w:spacing w:val="-15"/>
          <w:w w:val="105"/>
          <w:sz w:val="24"/>
        </w:rPr>
        <w:t> </w:t>
      </w:r>
      <w:r>
        <w:rPr>
          <w:rFonts w:ascii="Cambria" w:hAnsi="Cambria"/>
          <w:w w:val="105"/>
          <w:sz w:val="24"/>
        </w:rPr>
        <w:t>mamíferos</w:t>
      </w:r>
      <w:r>
        <w:rPr>
          <w:rFonts w:ascii="Cambria" w:hAnsi="Cambria"/>
          <w:spacing w:val="-16"/>
          <w:w w:val="105"/>
          <w:sz w:val="24"/>
        </w:rPr>
        <w:t> </w:t>
      </w:r>
      <w:r>
        <w:rPr>
          <w:rFonts w:ascii="Cambria" w:hAnsi="Cambria"/>
          <w:w w:val="105"/>
          <w:sz w:val="24"/>
        </w:rPr>
        <w:t>en</w:t>
      </w:r>
      <w:r>
        <w:rPr>
          <w:rFonts w:ascii="Cambria" w:hAnsi="Cambria"/>
          <w:spacing w:val="-15"/>
          <w:w w:val="105"/>
          <w:sz w:val="24"/>
        </w:rPr>
        <w:t> </w:t>
      </w:r>
      <w:r>
        <w:rPr>
          <w:rFonts w:ascii="Cambria" w:hAnsi="Cambria"/>
          <w:w w:val="105"/>
          <w:sz w:val="24"/>
        </w:rPr>
        <w:t>el</w:t>
      </w:r>
      <w:r>
        <w:rPr>
          <w:rFonts w:ascii="Cambria" w:hAnsi="Cambria"/>
          <w:spacing w:val="-15"/>
          <w:w w:val="105"/>
          <w:sz w:val="24"/>
        </w:rPr>
        <w:t> </w:t>
      </w:r>
      <w:r>
        <w:rPr>
          <w:rFonts w:ascii="Cambria" w:hAnsi="Cambria"/>
          <w:w w:val="105"/>
          <w:sz w:val="24"/>
        </w:rPr>
        <w:t>ecotono</w:t>
      </w:r>
      <w:r>
        <w:rPr>
          <w:rFonts w:ascii="Cambria" w:hAnsi="Cambria"/>
          <w:spacing w:val="-15"/>
          <w:w w:val="105"/>
          <w:sz w:val="24"/>
        </w:rPr>
        <w:t> </w:t>
      </w:r>
      <w:r>
        <w:rPr>
          <w:rFonts w:ascii="Cambria" w:hAnsi="Cambria"/>
          <w:w w:val="105"/>
          <w:sz w:val="24"/>
        </w:rPr>
        <w:t>Chaco-Chiquitanía.</w:t>
      </w:r>
      <w:r>
        <w:rPr>
          <w:rFonts w:ascii="Cambria" w:hAnsi="Cambria"/>
          <w:spacing w:val="-14"/>
          <w:w w:val="105"/>
          <w:sz w:val="24"/>
        </w:rPr>
        <w:t> </w:t>
      </w:r>
      <w:r>
        <w:rPr>
          <w:rFonts w:ascii="Palatino Linotype" w:hAnsi="Palatino Linotype"/>
          <w:i/>
          <w:w w:val="105"/>
          <w:sz w:val="24"/>
        </w:rPr>
        <w:t>Revista</w:t>
      </w:r>
      <w:r>
        <w:rPr>
          <w:rFonts w:ascii="Palatino Linotype" w:hAnsi="Palatino Linotype"/>
          <w:i/>
          <w:spacing w:val="-24"/>
          <w:w w:val="105"/>
          <w:sz w:val="24"/>
        </w:rPr>
        <w:t> </w:t>
      </w:r>
      <w:r>
        <w:rPr>
          <w:rFonts w:ascii="Palatino Linotype" w:hAnsi="Palatino Linotype"/>
          <w:i/>
          <w:w w:val="105"/>
          <w:sz w:val="24"/>
        </w:rPr>
        <w:t>Boliviana</w:t>
      </w:r>
      <w:r>
        <w:rPr>
          <w:rFonts w:ascii="Palatino Linotype" w:hAnsi="Palatino Linotype"/>
          <w:i/>
          <w:spacing w:val="-22"/>
          <w:w w:val="105"/>
          <w:sz w:val="24"/>
        </w:rPr>
        <w:t> </w:t>
      </w:r>
      <w:r>
        <w:rPr>
          <w:rFonts w:ascii="Palatino Linotype" w:hAnsi="Palatino Linotype"/>
          <w:i/>
          <w:w w:val="105"/>
          <w:sz w:val="24"/>
        </w:rPr>
        <w:t>de</w:t>
      </w:r>
      <w:r>
        <w:rPr>
          <w:rFonts w:ascii="Palatino Linotype" w:hAnsi="Palatino Linotype"/>
          <w:i/>
          <w:spacing w:val="-23"/>
          <w:w w:val="105"/>
          <w:sz w:val="24"/>
        </w:rPr>
        <w:t> </w:t>
      </w:r>
      <w:r>
        <w:rPr>
          <w:rFonts w:ascii="Palatino Linotype" w:hAnsi="Palatino Linotype"/>
          <w:i/>
          <w:w w:val="105"/>
          <w:sz w:val="24"/>
        </w:rPr>
        <w:t>Ecología </w:t>
      </w:r>
      <w:r>
        <w:rPr>
          <w:rFonts w:ascii="Palatino Linotype" w:hAnsi="Palatino Linotype"/>
          <w:i/>
          <w:sz w:val="24"/>
        </w:rPr>
        <w:t>y Conservación</w:t>
      </w:r>
      <w:r>
        <w:rPr>
          <w:rFonts w:ascii="Palatino Linotype" w:hAnsi="Palatino Linotype"/>
          <w:i/>
          <w:spacing w:val="-43"/>
          <w:sz w:val="24"/>
        </w:rPr>
        <w:t> </w:t>
      </w:r>
      <w:r>
        <w:rPr>
          <w:rFonts w:ascii="Palatino Linotype" w:hAnsi="Palatino Linotype"/>
          <w:i/>
          <w:sz w:val="24"/>
        </w:rPr>
        <w:t>Ambiental</w:t>
      </w:r>
      <w:r>
        <w:rPr>
          <w:rFonts w:ascii="Cambria" w:hAnsi="Cambria"/>
          <w:sz w:val="24"/>
        </w:rPr>
        <w:t>; </w:t>
      </w:r>
      <w:r>
        <w:rPr>
          <w:rFonts w:ascii="Palatino Linotype" w:hAnsi="Palatino Linotype"/>
          <w:b/>
          <w:sz w:val="24"/>
        </w:rPr>
        <w:t>11</w:t>
      </w:r>
      <w:r>
        <w:rPr>
          <w:rFonts w:ascii="Cambria" w:hAnsi="Cambria"/>
          <w:sz w:val="24"/>
        </w:rPr>
        <w:t>. 55-65</w:t>
      </w:r>
    </w:p>
    <w:p>
      <w:pPr>
        <w:spacing w:line="441" w:lineRule="auto" w:before="2"/>
        <w:ind w:left="821" w:right="0" w:hanging="720"/>
        <w:jc w:val="left"/>
        <w:rPr>
          <w:rFonts w:ascii="Cambria" w:hAnsi="Cambria"/>
          <w:sz w:val="24"/>
        </w:rPr>
      </w:pPr>
      <w:r>
        <w:rPr>
          <w:rFonts w:ascii="Cambria" w:hAnsi="Cambria"/>
          <w:w w:val="105"/>
          <w:sz w:val="24"/>
        </w:rPr>
        <w:t>Monroy-Vilchis, O., Y. Gómez, M. Janczur y V. urios. 2009a. Food niche of </w:t>
      </w:r>
      <w:r>
        <w:rPr>
          <w:rFonts w:ascii="Palatino Linotype" w:hAnsi="Palatino Linotype"/>
          <w:i/>
          <w:w w:val="105"/>
          <w:sz w:val="24"/>
        </w:rPr>
        <w:t>Puma </w:t>
      </w:r>
      <w:r>
        <w:rPr>
          <w:rFonts w:ascii="Palatino Linotype" w:hAnsi="Palatino Linotype"/>
          <w:i/>
          <w:w w:val="105"/>
          <w:sz w:val="24"/>
        </w:rPr>
        <w:t>concolor </w:t>
      </w:r>
      <w:r>
        <w:rPr>
          <w:rFonts w:ascii="Cambria" w:hAnsi="Cambria"/>
          <w:w w:val="105"/>
          <w:sz w:val="24"/>
        </w:rPr>
        <w:t>in central Mexico. </w:t>
      </w:r>
      <w:r>
        <w:rPr>
          <w:rFonts w:ascii="Palatino Linotype" w:hAnsi="Palatino Linotype"/>
          <w:i/>
          <w:w w:val="105"/>
          <w:sz w:val="24"/>
        </w:rPr>
        <w:t>Wildlife Biology</w:t>
      </w:r>
      <w:r>
        <w:rPr>
          <w:rFonts w:ascii="Cambria" w:hAnsi="Cambria"/>
          <w:w w:val="105"/>
          <w:sz w:val="24"/>
        </w:rPr>
        <w:t>; </w:t>
      </w:r>
      <w:r>
        <w:rPr>
          <w:rFonts w:ascii="Palatino Linotype" w:hAnsi="Palatino Linotype"/>
          <w:b/>
          <w:w w:val="105"/>
          <w:sz w:val="24"/>
        </w:rPr>
        <w:t>15</w:t>
      </w:r>
      <w:r>
        <w:rPr>
          <w:rFonts w:ascii="Cambria" w:hAnsi="Cambria"/>
          <w:w w:val="105"/>
          <w:sz w:val="24"/>
        </w:rPr>
        <w:t>. 97-105</w:t>
      </w:r>
    </w:p>
    <w:p>
      <w:pPr>
        <w:pStyle w:val="BodyText"/>
        <w:spacing w:line="499" w:lineRule="auto" w:before="25"/>
        <w:ind w:left="821" w:right="748" w:hanging="720"/>
        <w:jc w:val="both"/>
        <w:rPr>
          <w:rFonts w:ascii="Cambria" w:hAnsi="Cambria"/>
        </w:rPr>
      </w:pPr>
      <w:r>
        <w:rPr>
          <w:rFonts w:ascii="Cambria" w:hAnsi="Cambria"/>
          <w:w w:val="105"/>
        </w:rPr>
        <w:t>Monroy-Vilchis, O., C. Rodríguez-Soto, M. Zarco-González y V. Urios. 2009b. Cougar and jaguar habitat use and activity patterns in central Mexico. </w:t>
      </w:r>
      <w:r>
        <w:rPr>
          <w:rFonts w:ascii="Palatino Linotype" w:hAnsi="Palatino Linotype"/>
          <w:i/>
        </w:rPr>
        <w:t>Animal Biology</w:t>
      </w:r>
      <w:r>
        <w:rPr>
          <w:rFonts w:ascii="Cambria" w:hAnsi="Cambria"/>
        </w:rPr>
        <w:t>; </w:t>
      </w:r>
      <w:r>
        <w:rPr>
          <w:rFonts w:ascii="Palatino Linotype" w:hAnsi="Palatino Linotype"/>
          <w:b/>
        </w:rPr>
        <w:t>59</w:t>
      </w:r>
      <w:r>
        <w:rPr>
          <w:rFonts w:ascii="Cambria" w:hAnsi="Cambria"/>
        </w:rPr>
        <w:t>. 145-157</w:t>
      </w:r>
    </w:p>
    <w:p>
      <w:pPr>
        <w:pStyle w:val="BodyText"/>
        <w:spacing w:line="227" w:lineRule="exact"/>
        <w:ind w:left="102"/>
        <w:rPr>
          <w:rFonts w:ascii="Cambria" w:hAnsi="Cambria"/>
        </w:rPr>
      </w:pPr>
      <w:r>
        <w:rPr>
          <w:rFonts w:ascii="Cambria" w:hAnsi="Cambria"/>
          <w:w w:val="110"/>
        </w:rPr>
        <w:t>Monroy-Vilchis, O., O. Sánchez, U. Aguilera-Reyes y P. Suárez. 2008. Jaguar</w:t>
      </w:r>
    </w:p>
    <w:p>
      <w:pPr>
        <w:pStyle w:val="BodyText"/>
        <w:spacing w:before="11"/>
        <w:rPr>
          <w:rFonts w:ascii="Cambria"/>
        </w:rPr>
      </w:pPr>
    </w:p>
    <w:p>
      <w:pPr>
        <w:spacing w:before="0"/>
        <w:ind w:left="821" w:right="0" w:firstLine="0"/>
        <w:jc w:val="left"/>
        <w:rPr>
          <w:rFonts w:ascii="Cambria"/>
          <w:sz w:val="24"/>
        </w:rPr>
      </w:pPr>
      <w:r>
        <w:rPr>
          <w:rFonts w:ascii="Cambria"/>
          <w:sz w:val="24"/>
        </w:rPr>
        <w:t>(</w:t>
      </w:r>
      <w:r>
        <w:rPr>
          <w:rFonts w:ascii="Palatino Linotype"/>
          <w:i/>
          <w:sz w:val="24"/>
        </w:rPr>
        <w:t>Panthera onca</w:t>
      </w:r>
      <w:r>
        <w:rPr>
          <w:rFonts w:ascii="Cambria"/>
          <w:sz w:val="24"/>
        </w:rPr>
        <w:t>) in the</w:t>
      </w:r>
    </w:p>
    <w:p>
      <w:pPr>
        <w:pStyle w:val="BodyText"/>
        <w:spacing w:before="1"/>
        <w:rPr>
          <w:rFonts w:ascii="Cambria"/>
          <w:sz w:val="23"/>
        </w:rPr>
      </w:pPr>
    </w:p>
    <w:p>
      <w:pPr>
        <w:spacing w:before="0"/>
        <w:ind w:left="810" w:right="0" w:firstLine="0"/>
        <w:jc w:val="left"/>
        <w:rPr>
          <w:rFonts w:ascii="Cambria"/>
          <w:sz w:val="24"/>
        </w:rPr>
      </w:pPr>
      <w:r>
        <w:rPr>
          <w:rFonts w:ascii="Cambria"/>
          <w:sz w:val="24"/>
        </w:rPr>
        <w:t>State of Mexico. </w:t>
      </w:r>
      <w:r>
        <w:rPr>
          <w:rFonts w:ascii="Palatino Linotype"/>
          <w:i/>
          <w:sz w:val="24"/>
        </w:rPr>
        <w:t>Southtwest Naturalist; </w:t>
      </w:r>
      <w:r>
        <w:rPr>
          <w:rFonts w:ascii="Palatino Linotype"/>
          <w:b/>
          <w:sz w:val="24"/>
        </w:rPr>
        <w:t>53</w:t>
      </w:r>
      <w:r>
        <w:rPr>
          <w:rFonts w:ascii="Cambria"/>
          <w:sz w:val="24"/>
        </w:rPr>
        <w:t>(4). 533 - 537</w:t>
      </w:r>
    </w:p>
    <w:p>
      <w:pPr>
        <w:pStyle w:val="BodyText"/>
        <w:spacing w:before="4"/>
        <w:rPr>
          <w:rFonts w:ascii="Cambria"/>
          <w:sz w:val="25"/>
        </w:rPr>
      </w:pPr>
    </w:p>
    <w:p>
      <w:pPr>
        <w:pStyle w:val="BodyText"/>
        <w:spacing w:line="499" w:lineRule="auto"/>
        <w:ind w:left="821" w:right="755" w:hanging="720"/>
        <w:rPr>
          <w:rFonts w:ascii="Cambria" w:hAnsi="Cambria"/>
        </w:rPr>
      </w:pPr>
      <w:r>
        <w:rPr>
          <w:rFonts w:ascii="Cambria" w:hAnsi="Cambria"/>
          <w:w w:val="105"/>
        </w:rPr>
        <w:t>Murphy, K. M., G. S. Felzien, M. G. Hornocker y T. K. Ruth. 1998. Encounter competition</w:t>
      </w:r>
      <w:r>
        <w:rPr>
          <w:rFonts w:ascii="Cambria" w:hAnsi="Cambria"/>
          <w:spacing w:val="-18"/>
          <w:w w:val="105"/>
        </w:rPr>
        <w:t> </w:t>
      </w:r>
      <w:r>
        <w:rPr>
          <w:rFonts w:ascii="Cambria" w:hAnsi="Cambria"/>
          <w:w w:val="105"/>
        </w:rPr>
        <w:t>between</w:t>
      </w:r>
      <w:r>
        <w:rPr>
          <w:rFonts w:ascii="Cambria" w:hAnsi="Cambria"/>
          <w:spacing w:val="-18"/>
          <w:w w:val="105"/>
        </w:rPr>
        <w:t> </w:t>
      </w:r>
      <w:r>
        <w:rPr>
          <w:rFonts w:ascii="Cambria" w:hAnsi="Cambria"/>
          <w:w w:val="105"/>
        </w:rPr>
        <w:t>bears</w:t>
      </w:r>
      <w:r>
        <w:rPr>
          <w:rFonts w:ascii="Cambria" w:hAnsi="Cambria"/>
          <w:spacing w:val="-18"/>
          <w:w w:val="105"/>
        </w:rPr>
        <w:t> </w:t>
      </w:r>
      <w:r>
        <w:rPr>
          <w:rFonts w:ascii="Cambria" w:hAnsi="Cambria"/>
          <w:w w:val="105"/>
        </w:rPr>
        <w:t>and</w:t>
      </w:r>
      <w:r>
        <w:rPr>
          <w:rFonts w:ascii="Cambria" w:hAnsi="Cambria"/>
          <w:spacing w:val="-18"/>
          <w:w w:val="105"/>
        </w:rPr>
        <w:t> </w:t>
      </w:r>
      <w:r>
        <w:rPr>
          <w:rFonts w:ascii="Cambria" w:hAnsi="Cambria"/>
          <w:w w:val="105"/>
        </w:rPr>
        <w:t>cougars:</w:t>
      </w:r>
      <w:r>
        <w:rPr>
          <w:rFonts w:ascii="Cambria" w:hAnsi="Cambria"/>
          <w:spacing w:val="-18"/>
          <w:w w:val="105"/>
        </w:rPr>
        <w:t> </w:t>
      </w:r>
      <w:r>
        <w:rPr>
          <w:rFonts w:ascii="Cambria" w:hAnsi="Cambria"/>
          <w:w w:val="105"/>
        </w:rPr>
        <w:t>Some</w:t>
      </w:r>
      <w:r>
        <w:rPr>
          <w:rFonts w:ascii="Cambria" w:hAnsi="Cambria"/>
          <w:spacing w:val="-18"/>
          <w:w w:val="105"/>
        </w:rPr>
        <w:t> </w:t>
      </w:r>
      <w:r>
        <w:rPr>
          <w:rFonts w:ascii="Cambria" w:hAnsi="Cambria"/>
          <w:w w:val="105"/>
        </w:rPr>
        <w:t>ecological</w:t>
      </w:r>
      <w:r>
        <w:rPr>
          <w:rFonts w:ascii="Cambria" w:hAnsi="Cambria"/>
          <w:spacing w:val="-18"/>
          <w:w w:val="105"/>
        </w:rPr>
        <w:t> </w:t>
      </w:r>
      <w:r>
        <w:rPr>
          <w:rFonts w:ascii="Cambria" w:hAnsi="Cambria"/>
          <w:w w:val="105"/>
        </w:rPr>
        <w:t>implications. </w:t>
      </w:r>
      <w:r>
        <w:rPr>
          <w:rFonts w:ascii="Palatino Linotype" w:hAnsi="Palatino Linotype"/>
          <w:i/>
        </w:rPr>
        <w:t>Ursus; </w:t>
      </w:r>
      <w:r>
        <w:rPr>
          <w:rFonts w:ascii="Palatino Linotype" w:hAnsi="Palatino Linotype"/>
          <w:b/>
        </w:rPr>
        <w:t>10</w:t>
      </w:r>
      <w:r>
        <w:rPr>
          <w:rFonts w:ascii="Cambria" w:hAnsi="Cambria"/>
        </w:rPr>
        <w:t>.</w:t>
      </w:r>
      <w:r>
        <w:rPr>
          <w:rFonts w:ascii="Cambria" w:hAnsi="Cambria"/>
          <w:spacing w:val="-27"/>
        </w:rPr>
        <w:t> </w:t>
      </w:r>
      <w:r>
        <w:rPr>
          <w:rFonts w:ascii="Cambria" w:hAnsi="Cambria"/>
        </w:rPr>
        <w:t>55</w:t>
      </w:r>
      <w:r>
        <w:rPr>
          <w:rFonts w:ascii="Palatino Linotype" w:hAnsi="Palatino Linotype"/>
        </w:rPr>
        <w:t>–</w:t>
      </w:r>
      <w:r>
        <w:rPr>
          <w:rFonts w:ascii="Cambria" w:hAnsi="Cambria"/>
        </w:rPr>
        <w:t>60.</w:t>
      </w:r>
    </w:p>
    <w:p>
      <w:pPr>
        <w:pStyle w:val="BodyText"/>
        <w:spacing w:line="229" w:lineRule="exact"/>
        <w:ind w:left="102"/>
        <w:rPr>
          <w:rFonts w:ascii="Cambria" w:hAnsi="Cambria"/>
        </w:rPr>
      </w:pPr>
      <w:r>
        <w:rPr>
          <w:rFonts w:ascii="Cambria" w:hAnsi="Cambria"/>
          <w:w w:val="110"/>
        </w:rPr>
        <w:t>Noss, A. J., R. L. Cuéllar, J. Barrientos, L. Maffei, E. Cuéllar, R. Arispe, D. Rúmiz y</w:t>
      </w:r>
    </w:p>
    <w:p>
      <w:pPr>
        <w:pStyle w:val="BodyText"/>
        <w:spacing w:before="9"/>
        <w:rPr>
          <w:rFonts w:ascii="Cambria"/>
          <w:sz w:val="26"/>
        </w:rPr>
      </w:pPr>
    </w:p>
    <w:p>
      <w:pPr>
        <w:pStyle w:val="BodyText"/>
        <w:ind w:left="821"/>
        <w:rPr>
          <w:rFonts w:ascii="Cambria"/>
        </w:rPr>
      </w:pPr>
      <w:r>
        <w:rPr>
          <w:rFonts w:ascii="Cambria"/>
          <w:w w:val="105"/>
        </w:rPr>
        <w:t>K. Rivero. 2003. A Camera Trapping and Radio Telemetry Study of</w:t>
      </w:r>
    </w:p>
    <w:p>
      <w:pPr>
        <w:pStyle w:val="BodyText"/>
        <w:spacing w:before="10"/>
        <w:rPr>
          <w:rFonts w:ascii="Cambria"/>
        </w:rPr>
      </w:pPr>
    </w:p>
    <w:p>
      <w:pPr>
        <w:spacing w:line="441" w:lineRule="auto" w:before="1"/>
        <w:ind w:left="821" w:right="0" w:firstLine="0"/>
        <w:jc w:val="left"/>
        <w:rPr>
          <w:rFonts w:ascii="Cambria"/>
          <w:sz w:val="24"/>
        </w:rPr>
      </w:pPr>
      <w:r>
        <w:rPr>
          <w:rFonts w:ascii="Cambria"/>
          <w:sz w:val="24"/>
        </w:rPr>
        <w:t>Lowland Tapir (</w:t>
      </w:r>
      <w:r>
        <w:rPr>
          <w:rFonts w:ascii="Palatino Linotype"/>
          <w:i/>
          <w:sz w:val="24"/>
        </w:rPr>
        <w:t>Tapirus terrestris</w:t>
      </w:r>
      <w:r>
        <w:rPr>
          <w:rFonts w:ascii="Cambria"/>
          <w:sz w:val="24"/>
        </w:rPr>
        <w:t>) in Bolivian Dry Forests. </w:t>
      </w:r>
      <w:r>
        <w:rPr>
          <w:rFonts w:ascii="Palatino Linotype"/>
          <w:i/>
          <w:sz w:val="24"/>
        </w:rPr>
        <w:t>Tapir Conservation. </w:t>
      </w:r>
      <w:r>
        <w:rPr>
          <w:rFonts w:ascii="Palatino Linotype"/>
          <w:i/>
          <w:sz w:val="24"/>
        </w:rPr>
        <w:t>Newsletter of the IUCN/SSC Tapir Specialist Group</w:t>
      </w:r>
      <w:r>
        <w:rPr>
          <w:rFonts w:ascii="Cambria"/>
          <w:sz w:val="24"/>
        </w:rPr>
        <w:t>; </w:t>
      </w:r>
      <w:r>
        <w:rPr>
          <w:rFonts w:ascii="Palatino Linotype"/>
          <w:b/>
          <w:sz w:val="24"/>
        </w:rPr>
        <w:t>12(1)</w:t>
      </w:r>
      <w:r>
        <w:rPr>
          <w:rFonts w:ascii="Cambria"/>
          <w:sz w:val="24"/>
        </w:rPr>
        <w:t>. 24-32</w:t>
      </w:r>
    </w:p>
    <w:p>
      <w:pPr>
        <w:spacing w:after="0" w:line="441" w:lineRule="auto"/>
        <w:jc w:val="left"/>
        <w:rPr>
          <w:rFonts w:ascii="Cambria"/>
          <w:sz w:val="24"/>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489" w:lineRule="auto"/>
        <w:ind w:left="821" w:hanging="720"/>
        <w:rPr>
          <w:rFonts w:ascii="Cambria" w:hAnsi="Cambria"/>
        </w:rPr>
      </w:pPr>
      <w:r>
        <w:rPr>
          <w:rFonts w:ascii="Cambria" w:hAnsi="Cambria"/>
          <w:w w:val="105"/>
        </w:rPr>
        <w:t>O´Donoghue, M., S. Boutin, C. J. Krebs y E. J. Hofer. 1997. Numerical responses of coyotes and lynx to snowshoe hare cycle. </w:t>
      </w:r>
      <w:r>
        <w:rPr>
          <w:rFonts w:ascii="Palatino Linotype" w:hAnsi="Palatino Linotype"/>
          <w:i/>
          <w:w w:val="105"/>
        </w:rPr>
        <w:t>OIKOS</w:t>
      </w:r>
      <w:r>
        <w:rPr>
          <w:rFonts w:ascii="Cambria" w:hAnsi="Cambria"/>
          <w:w w:val="105"/>
        </w:rPr>
        <w:t>; </w:t>
      </w:r>
      <w:r>
        <w:rPr>
          <w:rFonts w:ascii="Palatino Linotype" w:hAnsi="Palatino Linotype"/>
          <w:b/>
          <w:w w:val="105"/>
        </w:rPr>
        <w:t>80</w:t>
      </w:r>
      <w:r>
        <w:rPr>
          <w:rFonts w:ascii="Cambria" w:hAnsi="Cambria"/>
          <w:w w:val="105"/>
        </w:rPr>
        <w:t>. 150-162</w:t>
      </w:r>
    </w:p>
    <w:p>
      <w:pPr>
        <w:pStyle w:val="BodyText"/>
        <w:spacing w:line="240" w:lineRule="exact"/>
        <w:ind w:left="102"/>
        <w:rPr>
          <w:rFonts w:ascii="Cambria" w:hAnsi="Cambria"/>
        </w:rPr>
      </w:pPr>
      <w:r>
        <w:rPr>
          <w:rFonts w:ascii="Cambria" w:hAnsi="Cambria"/>
          <w:w w:val="110"/>
        </w:rPr>
        <w:t>O´Donoghue, M.O., Boutin, S., Krebs, C.J., Zuleta, G., Murray, D.L. y Hofer, E.J.</w:t>
      </w:r>
    </w:p>
    <w:p>
      <w:pPr>
        <w:pStyle w:val="BodyText"/>
        <w:spacing w:before="11"/>
        <w:rPr>
          <w:rFonts w:ascii="Cambria"/>
          <w:sz w:val="26"/>
        </w:rPr>
      </w:pPr>
    </w:p>
    <w:p>
      <w:pPr>
        <w:pStyle w:val="BodyText"/>
        <w:spacing w:line="489" w:lineRule="auto"/>
        <w:ind w:left="821"/>
        <w:rPr>
          <w:rFonts w:ascii="Cambria"/>
        </w:rPr>
      </w:pPr>
      <w:r>
        <w:rPr>
          <w:rFonts w:ascii="Cambria"/>
          <w:w w:val="105"/>
        </w:rPr>
        <w:t>1998.</w:t>
      </w:r>
      <w:r>
        <w:rPr>
          <w:rFonts w:ascii="Cambria"/>
          <w:spacing w:val="-14"/>
          <w:w w:val="105"/>
        </w:rPr>
        <w:t> </w:t>
      </w:r>
      <w:r>
        <w:rPr>
          <w:rFonts w:ascii="Cambria"/>
          <w:w w:val="105"/>
        </w:rPr>
        <w:t>Functional</w:t>
      </w:r>
      <w:r>
        <w:rPr>
          <w:rFonts w:ascii="Cambria"/>
          <w:spacing w:val="-14"/>
          <w:w w:val="105"/>
        </w:rPr>
        <w:t> </w:t>
      </w:r>
      <w:r>
        <w:rPr>
          <w:rFonts w:ascii="Cambria"/>
          <w:w w:val="105"/>
        </w:rPr>
        <w:t>response</w:t>
      </w:r>
      <w:r>
        <w:rPr>
          <w:rFonts w:ascii="Cambria"/>
          <w:spacing w:val="-14"/>
          <w:w w:val="105"/>
        </w:rPr>
        <w:t> </w:t>
      </w:r>
      <w:r>
        <w:rPr>
          <w:rFonts w:ascii="Cambria"/>
          <w:w w:val="105"/>
        </w:rPr>
        <w:t>of</w:t>
      </w:r>
      <w:r>
        <w:rPr>
          <w:rFonts w:ascii="Cambria"/>
          <w:spacing w:val="-14"/>
          <w:w w:val="105"/>
        </w:rPr>
        <w:t> </w:t>
      </w:r>
      <w:r>
        <w:rPr>
          <w:rFonts w:ascii="Cambria"/>
          <w:w w:val="105"/>
        </w:rPr>
        <w:t>coyotes</w:t>
      </w:r>
      <w:r>
        <w:rPr>
          <w:rFonts w:ascii="Cambria"/>
          <w:spacing w:val="-14"/>
          <w:w w:val="105"/>
        </w:rPr>
        <w:t> </w:t>
      </w:r>
      <w:r>
        <w:rPr>
          <w:rFonts w:ascii="Cambria"/>
          <w:w w:val="105"/>
        </w:rPr>
        <w:t>and</w:t>
      </w:r>
      <w:r>
        <w:rPr>
          <w:rFonts w:ascii="Cambria"/>
          <w:spacing w:val="-14"/>
          <w:w w:val="105"/>
        </w:rPr>
        <w:t> </w:t>
      </w:r>
      <w:r>
        <w:rPr>
          <w:rFonts w:ascii="Cambria"/>
          <w:w w:val="105"/>
        </w:rPr>
        <w:t>lynx</w:t>
      </w:r>
      <w:r>
        <w:rPr>
          <w:rFonts w:ascii="Cambria"/>
          <w:spacing w:val="-14"/>
          <w:w w:val="105"/>
        </w:rPr>
        <w:t> </w:t>
      </w:r>
      <w:r>
        <w:rPr>
          <w:rFonts w:ascii="Cambria"/>
          <w:w w:val="105"/>
        </w:rPr>
        <w:t>to</w:t>
      </w:r>
      <w:r>
        <w:rPr>
          <w:rFonts w:ascii="Cambria"/>
          <w:spacing w:val="-12"/>
          <w:w w:val="105"/>
        </w:rPr>
        <w:t> </w:t>
      </w:r>
      <w:r>
        <w:rPr>
          <w:rFonts w:ascii="Cambria"/>
          <w:w w:val="105"/>
        </w:rPr>
        <w:t>the</w:t>
      </w:r>
      <w:r>
        <w:rPr>
          <w:rFonts w:ascii="Cambria"/>
          <w:spacing w:val="-14"/>
          <w:w w:val="105"/>
        </w:rPr>
        <w:t> </w:t>
      </w:r>
      <w:r>
        <w:rPr>
          <w:rFonts w:ascii="Cambria"/>
          <w:w w:val="105"/>
        </w:rPr>
        <w:t>snowshoe</w:t>
      </w:r>
      <w:r>
        <w:rPr>
          <w:rFonts w:ascii="Cambria"/>
          <w:spacing w:val="-14"/>
          <w:w w:val="105"/>
        </w:rPr>
        <w:t> </w:t>
      </w:r>
      <w:r>
        <w:rPr>
          <w:rFonts w:ascii="Cambria"/>
          <w:w w:val="105"/>
        </w:rPr>
        <w:t>hare</w:t>
      </w:r>
      <w:r>
        <w:rPr>
          <w:rFonts w:ascii="Cambria"/>
          <w:spacing w:val="-14"/>
          <w:w w:val="105"/>
        </w:rPr>
        <w:t> </w:t>
      </w:r>
      <w:r>
        <w:rPr>
          <w:rFonts w:ascii="Cambria"/>
          <w:w w:val="105"/>
        </w:rPr>
        <w:t>cycle.</w:t>
      </w:r>
      <w:r>
        <w:rPr>
          <w:rFonts w:ascii="Cambria"/>
          <w:spacing w:val="-13"/>
          <w:w w:val="105"/>
        </w:rPr>
        <w:t> </w:t>
      </w:r>
      <w:r>
        <w:rPr>
          <w:rFonts w:ascii="Cambria"/>
          <w:w w:val="105"/>
        </w:rPr>
        <w:t>- </w:t>
      </w:r>
      <w:r>
        <w:rPr>
          <w:rFonts w:ascii="Cambria"/>
        </w:rPr>
        <w:t>Ecology </w:t>
      </w:r>
      <w:r>
        <w:rPr>
          <w:rFonts w:ascii="Palatino Linotype"/>
          <w:b/>
        </w:rPr>
        <w:t>79.</w:t>
      </w:r>
      <w:r>
        <w:rPr>
          <w:rFonts w:ascii="Palatino Linotype"/>
          <w:b/>
          <w:spacing w:val="-49"/>
        </w:rPr>
        <w:t> </w:t>
      </w:r>
      <w:r>
        <w:rPr>
          <w:rFonts w:ascii="Cambria"/>
        </w:rPr>
        <w:t>1193-1208</w:t>
      </w:r>
    </w:p>
    <w:p>
      <w:pPr>
        <w:pStyle w:val="BodyText"/>
        <w:spacing w:line="258" w:lineRule="exact"/>
        <w:ind w:left="821" w:hanging="720"/>
        <w:rPr>
          <w:rFonts w:ascii="Palatino Linotype" w:hAnsi="Palatino Linotype"/>
        </w:rPr>
      </w:pPr>
      <w:r>
        <w:rPr>
          <w:rFonts w:ascii="Palatino Linotype" w:hAnsi="Palatino Linotype"/>
        </w:rPr>
        <w:t>O’Brien, T. G., M. F. Kinnaird y H. T. Wibisono. 2003. Crouching tigers, hidden</w:t>
      </w:r>
    </w:p>
    <w:p>
      <w:pPr>
        <w:pStyle w:val="BodyText"/>
        <w:spacing w:before="1"/>
        <w:rPr>
          <w:rFonts w:ascii="Palatino Linotype"/>
          <w:sz w:val="22"/>
        </w:rPr>
      </w:pPr>
    </w:p>
    <w:p>
      <w:pPr>
        <w:pStyle w:val="BodyText"/>
        <w:ind w:left="821"/>
        <w:rPr>
          <w:rFonts w:ascii="Cambria"/>
        </w:rPr>
      </w:pPr>
      <w:r>
        <w:rPr>
          <w:rFonts w:ascii="Cambria"/>
          <w:w w:val="105"/>
        </w:rPr>
        <w:t>prey: Sumatran tiger and prey populations in a tropical forest landscape.</w:t>
      </w:r>
    </w:p>
    <w:p>
      <w:pPr>
        <w:pStyle w:val="BodyText"/>
        <w:spacing w:before="8"/>
        <w:rPr>
          <w:rFonts w:ascii="Cambria"/>
        </w:rPr>
      </w:pPr>
    </w:p>
    <w:p>
      <w:pPr>
        <w:spacing w:before="0"/>
        <w:ind w:left="821" w:right="0" w:firstLine="0"/>
        <w:jc w:val="left"/>
        <w:rPr>
          <w:rFonts w:ascii="Cambria" w:hAnsi="Cambria"/>
          <w:sz w:val="24"/>
        </w:rPr>
      </w:pPr>
      <w:r>
        <w:rPr>
          <w:rFonts w:ascii="Palatino Linotype" w:hAnsi="Palatino Linotype"/>
          <w:i/>
          <w:sz w:val="24"/>
        </w:rPr>
        <w:t>Animal Conservation</w:t>
      </w:r>
      <w:r>
        <w:rPr>
          <w:rFonts w:ascii="Cambria" w:hAnsi="Cambria"/>
          <w:sz w:val="24"/>
        </w:rPr>
        <w:t>; </w:t>
      </w:r>
      <w:r>
        <w:rPr>
          <w:rFonts w:ascii="Palatino Linotype" w:hAnsi="Palatino Linotype"/>
          <w:b/>
          <w:sz w:val="24"/>
        </w:rPr>
        <w:t>6</w:t>
      </w:r>
      <w:r>
        <w:rPr>
          <w:rFonts w:ascii="Cambria" w:hAnsi="Cambria"/>
          <w:sz w:val="24"/>
        </w:rPr>
        <w:t>. 131</w:t>
      </w:r>
      <w:r>
        <w:rPr>
          <w:rFonts w:ascii="Palatino Linotype" w:hAnsi="Palatino Linotype"/>
          <w:sz w:val="24"/>
        </w:rPr>
        <w:t>–</w:t>
      </w:r>
      <w:r>
        <w:rPr>
          <w:rFonts w:ascii="Cambria" w:hAnsi="Cambria"/>
          <w:sz w:val="24"/>
        </w:rPr>
        <w:t>139</w:t>
      </w:r>
    </w:p>
    <w:p>
      <w:pPr>
        <w:pStyle w:val="BodyText"/>
        <w:spacing w:before="4"/>
        <w:rPr>
          <w:rFonts w:ascii="Cambria"/>
          <w:sz w:val="25"/>
        </w:rPr>
      </w:pPr>
    </w:p>
    <w:p>
      <w:pPr>
        <w:pStyle w:val="BodyText"/>
        <w:ind w:left="102"/>
        <w:rPr>
          <w:rFonts w:ascii="Cambria" w:hAnsi="Cambria"/>
        </w:rPr>
      </w:pPr>
      <w:r>
        <w:rPr>
          <w:rFonts w:ascii="Cambria" w:hAnsi="Cambria"/>
          <w:w w:val="105"/>
        </w:rPr>
        <w:t>Ricklefs, R. E. y G. L. Miller. Capítulo 23. Predation. 447-478. In  Ecology. Ricklefs,</w:t>
      </w:r>
    </w:p>
    <w:p>
      <w:pPr>
        <w:pStyle w:val="BodyText"/>
        <w:spacing w:before="9"/>
        <w:rPr>
          <w:rFonts w:ascii="Cambria"/>
          <w:sz w:val="26"/>
        </w:rPr>
      </w:pPr>
    </w:p>
    <w:p>
      <w:pPr>
        <w:pStyle w:val="ListParagraph"/>
        <w:numPr>
          <w:ilvl w:val="0"/>
          <w:numId w:val="3"/>
        </w:numPr>
        <w:tabs>
          <w:tab w:pos="1103" w:val="left" w:leader="none"/>
        </w:tabs>
        <w:spacing w:line="240" w:lineRule="auto" w:before="0" w:after="0"/>
        <w:ind w:left="1102" w:right="0" w:hanging="280"/>
        <w:jc w:val="left"/>
        <w:rPr>
          <w:sz w:val="24"/>
        </w:rPr>
      </w:pPr>
      <w:r>
        <w:rPr>
          <w:w w:val="105"/>
          <w:sz w:val="24"/>
        </w:rPr>
        <w:t>E. y G. L. Miller. 2000. 4a edition. Ed.</w:t>
      </w:r>
      <w:r>
        <w:rPr>
          <w:spacing w:val="30"/>
          <w:w w:val="105"/>
          <w:sz w:val="24"/>
        </w:rPr>
        <w:t> </w:t>
      </w:r>
      <w:r>
        <w:rPr>
          <w:w w:val="105"/>
          <w:sz w:val="24"/>
        </w:rPr>
        <w:t>Freman.</w:t>
      </w:r>
    </w:p>
    <w:p>
      <w:pPr>
        <w:pStyle w:val="BodyText"/>
        <w:spacing w:before="11"/>
        <w:rPr>
          <w:rFonts w:ascii="Cambria"/>
          <w:sz w:val="26"/>
        </w:rPr>
      </w:pPr>
    </w:p>
    <w:p>
      <w:pPr>
        <w:pStyle w:val="BodyText"/>
        <w:spacing w:line="499" w:lineRule="auto"/>
        <w:ind w:left="821" w:right="240" w:hanging="720"/>
        <w:rPr>
          <w:rFonts w:ascii="Cambria" w:hAnsi="Cambria"/>
        </w:rPr>
      </w:pPr>
      <w:r>
        <w:rPr>
          <w:rFonts w:ascii="Cambria" w:hAnsi="Cambria"/>
          <w:w w:val="105"/>
        </w:rPr>
        <w:t>Roberts, C. W., B. L. Pierce, A. W. Braden, R. R. López, N. J. Silvy, P. A. Frank y D. Ransom. 2006. Comparison of Camera and Road Survey Estimates for </w:t>
      </w:r>
      <w:r>
        <w:rPr>
          <w:rFonts w:ascii="Cambria" w:hAnsi="Cambria"/>
        </w:rPr>
        <w:t>White-Tailed Deer. </w:t>
      </w:r>
      <w:r>
        <w:rPr>
          <w:rFonts w:ascii="Palatino Linotype" w:hAnsi="Palatino Linotype"/>
          <w:i/>
        </w:rPr>
        <w:t>Journal of Wildlife Management</w:t>
      </w:r>
      <w:r>
        <w:rPr>
          <w:rFonts w:ascii="Cambria" w:hAnsi="Cambria"/>
        </w:rPr>
        <w:t>; </w:t>
      </w:r>
      <w:r>
        <w:rPr>
          <w:rFonts w:ascii="Palatino Linotype" w:hAnsi="Palatino Linotype"/>
          <w:b/>
        </w:rPr>
        <w:t>70(1)</w:t>
      </w:r>
      <w:r>
        <w:rPr>
          <w:rFonts w:ascii="Cambria" w:hAnsi="Cambria"/>
        </w:rPr>
        <w:t>. 263-267</w:t>
      </w:r>
    </w:p>
    <w:p>
      <w:pPr>
        <w:pStyle w:val="BodyText"/>
        <w:spacing w:line="227" w:lineRule="exact"/>
        <w:ind w:left="102"/>
        <w:rPr>
          <w:rFonts w:ascii="Cambria"/>
        </w:rPr>
      </w:pPr>
      <w:r>
        <w:rPr>
          <w:rFonts w:ascii="Cambria"/>
          <w:w w:val="110"/>
        </w:rPr>
        <w:t>Robinson, H. S., R. B. Wielgus y J. C. Gwilliam. 2002. Cougar predation and</w:t>
      </w:r>
    </w:p>
    <w:p>
      <w:pPr>
        <w:pStyle w:val="BodyText"/>
        <w:spacing w:before="10"/>
        <w:rPr>
          <w:rFonts w:ascii="Cambria"/>
        </w:rPr>
      </w:pPr>
    </w:p>
    <w:p>
      <w:pPr>
        <w:spacing w:line="441" w:lineRule="auto" w:before="1"/>
        <w:ind w:left="821" w:right="193" w:firstLine="0"/>
        <w:jc w:val="left"/>
        <w:rPr>
          <w:rFonts w:ascii="Cambria" w:hAnsi="Cambria"/>
          <w:sz w:val="24"/>
        </w:rPr>
      </w:pPr>
      <w:r>
        <w:rPr>
          <w:rFonts w:ascii="Cambria" w:hAnsi="Cambria"/>
          <w:w w:val="105"/>
          <w:sz w:val="24"/>
        </w:rPr>
        <w:t>population growth of sympatric mule deer and white-tailed deer. </w:t>
      </w:r>
      <w:r>
        <w:rPr>
          <w:rFonts w:ascii="Palatino Linotype" w:hAnsi="Palatino Linotype"/>
          <w:i/>
          <w:w w:val="105"/>
          <w:sz w:val="24"/>
        </w:rPr>
        <w:t>Canadian </w:t>
      </w:r>
      <w:r>
        <w:rPr>
          <w:rFonts w:ascii="Palatino Linotype" w:hAnsi="Palatino Linotype"/>
          <w:i/>
          <w:sz w:val="24"/>
        </w:rPr>
        <w:t>Journal Zoology</w:t>
      </w:r>
      <w:r>
        <w:rPr>
          <w:rFonts w:ascii="Cambria" w:hAnsi="Cambria"/>
          <w:sz w:val="24"/>
        </w:rPr>
        <w:t>; </w:t>
      </w:r>
      <w:r>
        <w:rPr>
          <w:rFonts w:ascii="Palatino Linotype" w:hAnsi="Palatino Linotype"/>
          <w:b/>
          <w:sz w:val="24"/>
        </w:rPr>
        <w:t>80</w:t>
      </w:r>
      <w:r>
        <w:rPr>
          <w:rFonts w:ascii="Cambria" w:hAnsi="Cambria"/>
          <w:sz w:val="24"/>
        </w:rPr>
        <w:t>. 556</w:t>
      </w:r>
      <w:r>
        <w:rPr>
          <w:rFonts w:ascii="Palatino Linotype" w:hAnsi="Palatino Linotype"/>
          <w:sz w:val="24"/>
        </w:rPr>
        <w:t>–</w:t>
      </w:r>
      <w:r>
        <w:rPr>
          <w:rFonts w:ascii="Cambria" w:hAnsi="Cambria"/>
          <w:sz w:val="24"/>
        </w:rPr>
        <w:t>68.</w:t>
      </w:r>
    </w:p>
    <w:p>
      <w:pPr>
        <w:spacing w:line="444" w:lineRule="auto" w:before="2"/>
        <w:ind w:left="821" w:right="338" w:hanging="720"/>
        <w:jc w:val="left"/>
        <w:rPr>
          <w:rFonts w:ascii="Cambria"/>
          <w:sz w:val="24"/>
        </w:rPr>
      </w:pPr>
      <w:r>
        <w:rPr>
          <w:rFonts w:ascii="Cambria"/>
          <w:w w:val="105"/>
          <w:sz w:val="24"/>
        </w:rPr>
        <w:t>Sanderson, J. G. y M. Trolle. 2005. Monitoring Elusive Mammals. </w:t>
      </w:r>
      <w:r>
        <w:rPr>
          <w:rFonts w:ascii="Palatino Linotype"/>
          <w:i/>
          <w:w w:val="105"/>
          <w:sz w:val="24"/>
        </w:rPr>
        <w:t>American </w:t>
      </w:r>
      <w:r>
        <w:rPr>
          <w:rFonts w:ascii="Palatino Linotype"/>
          <w:i/>
          <w:sz w:val="24"/>
        </w:rPr>
        <w:t>Scientist</w:t>
      </w:r>
      <w:r>
        <w:rPr>
          <w:rFonts w:ascii="Cambria"/>
          <w:sz w:val="24"/>
        </w:rPr>
        <w:t>; </w:t>
      </w:r>
      <w:r>
        <w:rPr>
          <w:rFonts w:ascii="Palatino Linotype"/>
          <w:b/>
          <w:sz w:val="24"/>
        </w:rPr>
        <w:t>93</w:t>
      </w:r>
      <w:r>
        <w:rPr>
          <w:rFonts w:ascii="Cambria"/>
          <w:sz w:val="24"/>
        </w:rPr>
        <w:t>. 148-156</w:t>
      </w:r>
    </w:p>
    <w:p>
      <w:pPr>
        <w:pStyle w:val="BodyText"/>
        <w:spacing w:line="501" w:lineRule="auto" w:before="20"/>
        <w:ind w:left="821" w:right="195" w:hanging="720"/>
        <w:rPr>
          <w:rFonts w:ascii="Cambria" w:hAnsi="Cambria"/>
        </w:rPr>
      </w:pPr>
      <w:r>
        <w:rPr>
          <w:rFonts w:ascii="Cambria" w:hAnsi="Cambria"/>
          <w:w w:val="110"/>
        </w:rPr>
        <w:t>Silver, S. C., L. E. T. Ostro, L. K. Marsh, L. Maffei, A. J. Noss, M. J. Kelly, R. B. Wallace,</w:t>
      </w:r>
      <w:r>
        <w:rPr>
          <w:rFonts w:ascii="Cambria" w:hAnsi="Cambria"/>
          <w:spacing w:val="-27"/>
          <w:w w:val="110"/>
        </w:rPr>
        <w:t> </w:t>
      </w:r>
      <w:r>
        <w:rPr>
          <w:rFonts w:ascii="Cambria" w:hAnsi="Cambria"/>
          <w:w w:val="110"/>
        </w:rPr>
        <w:t>H.</w:t>
      </w:r>
      <w:r>
        <w:rPr>
          <w:rFonts w:ascii="Cambria" w:hAnsi="Cambria"/>
          <w:spacing w:val="-27"/>
          <w:w w:val="110"/>
        </w:rPr>
        <w:t> </w:t>
      </w:r>
      <w:r>
        <w:rPr>
          <w:rFonts w:ascii="Cambria" w:hAnsi="Cambria"/>
          <w:w w:val="110"/>
        </w:rPr>
        <w:t>Gómez</w:t>
      </w:r>
      <w:r>
        <w:rPr>
          <w:rFonts w:ascii="Cambria" w:hAnsi="Cambria"/>
          <w:spacing w:val="-27"/>
          <w:w w:val="110"/>
        </w:rPr>
        <w:t> </w:t>
      </w:r>
      <w:r>
        <w:rPr>
          <w:rFonts w:ascii="Cambria" w:hAnsi="Cambria"/>
          <w:w w:val="110"/>
        </w:rPr>
        <w:t>y</w:t>
      </w:r>
      <w:r>
        <w:rPr>
          <w:rFonts w:ascii="Cambria" w:hAnsi="Cambria"/>
          <w:spacing w:val="-27"/>
          <w:w w:val="110"/>
        </w:rPr>
        <w:t> </w:t>
      </w:r>
      <w:r>
        <w:rPr>
          <w:rFonts w:ascii="Cambria" w:hAnsi="Cambria"/>
          <w:w w:val="110"/>
        </w:rPr>
        <w:t>G.</w:t>
      </w:r>
      <w:r>
        <w:rPr>
          <w:rFonts w:ascii="Cambria" w:hAnsi="Cambria"/>
          <w:spacing w:val="-27"/>
          <w:w w:val="110"/>
        </w:rPr>
        <w:t> </w:t>
      </w:r>
      <w:r>
        <w:rPr>
          <w:rFonts w:ascii="Cambria" w:hAnsi="Cambria"/>
          <w:w w:val="110"/>
        </w:rPr>
        <w:t>Ayala.</w:t>
      </w:r>
      <w:r>
        <w:rPr>
          <w:rFonts w:ascii="Cambria" w:hAnsi="Cambria"/>
          <w:spacing w:val="-27"/>
          <w:w w:val="110"/>
        </w:rPr>
        <w:t> </w:t>
      </w:r>
      <w:r>
        <w:rPr>
          <w:rFonts w:ascii="Cambria" w:hAnsi="Cambria"/>
          <w:w w:val="110"/>
        </w:rPr>
        <w:t>2004.</w:t>
      </w:r>
      <w:r>
        <w:rPr>
          <w:rFonts w:ascii="Cambria" w:hAnsi="Cambria"/>
          <w:spacing w:val="-27"/>
          <w:w w:val="110"/>
        </w:rPr>
        <w:t> </w:t>
      </w:r>
      <w:r>
        <w:rPr>
          <w:rFonts w:ascii="Cambria" w:hAnsi="Cambria"/>
          <w:w w:val="110"/>
        </w:rPr>
        <w:t>The</w:t>
      </w:r>
      <w:r>
        <w:rPr>
          <w:rFonts w:ascii="Cambria" w:hAnsi="Cambria"/>
          <w:spacing w:val="-27"/>
          <w:w w:val="110"/>
        </w:rPr>
        <w:t> </w:t>
      </w:r>
      <w:r>
        <w:rPr>
          <w:rFonts w:ascii="Cambria" w:hAnsi="Cambria"/>
          <w:w w:val="110"/>
        </w:rPr>
        <w:t>use</w:t>
      </w:r>
      <w:r>
        <w:rPr>
          <w:rFonts w:ascii="Cambria" w:hAnsi="Cambria"/>
          <w:spacing w:val="-27"/>
          <w:w w:val="110"/>
        </w:rPr>
        <w:t> </w:t>
      </w:r>
      <w:r>
        <w:rPr>
          <w:rFonts w:ascii="Cambria" w:hAnsi="Cambria"/>
          <w:w w:val="110"/>
        </w:rPr>
        <w:t>of</w:t>
      </w:r>
      <w:r>
        <w:rPr>
          <w:rFonts w:ascii="Cambria" w:hAnsi="Cambria"/>
          <w:spacing w:val="-27"/>
          <w:w w:val="110"/>
        </w:rPr>
        <w:t> </w:t>
      </w:r>
      <w:r>
        <w:rPr>
          <w:rFonts w:ascii="Cambria" w:hAnsi="Cambria"/>
          <w:w w:val="110"/>
        </w:rPr>
        <w:t>camera</w:t>
      </w:r>
      <w:r>
        <w:rPr>
          <w:rFonts w:ascii="Cambria" w:hAnsi="Cambria"/>
          <w:spacing w:val="-27"/>
          <w:w w:val="110"/>
        </w:rPr>
        <w:t> </w:t>
      </w:r>
      <w:r>
        <w:rPr>
          <w:rFonts w:ascii="Cambria" w:hAnsi="Cambria"/>
          <w:w w:val="110"/>
        </w:rPr>
        <w:t>traps</w:t>
      </w:r>
      <w:r>
        <w:rPr>
          <w:rFonts w:ascii="Cambria" w:hAnsi="Cambria"/>
          <w:spacing w:val="-28"/>
          <w:w w:val="110"/>
        </w:rPr>
        <w:t> </w:t>
      </w:r>
      <w:r>
        <w:rPr>
          <w:rFonts w:ascii="Cambria" w:hAnsi="Cambria"/>
          <w:w w:val="110"/>
        </w:rPr>
        <w:t>for</w:t>
      </w:r>
      <w:r>
        <w:rPr>
          <w:rFonts w:ascii="Cambria" w:hAnsi="Cambria"/>
          <w:spacing w:val="-26"/>
          <w:w w:val="110"/>
        </w:rPr>
        <w:t> </w:t>
      </w:r>
      <w:r>
        <w:rPr>
          <w:rFonts w:ascii="Cambria" w:hAnsi="Cambria"/>
          <w:w w:val="110"/>
        </w:rPr>
        <w:t>estimating jaguar Panthera onca abundance and density using capture/recapture </w:t>
      </w:r>
      <w:r>
        <w:rPr>
          <w:rFonts w:ascii="Cambria" w:hAnsi="Cambria"/>
        </w:rPr>
        <w:t>analysis. </w:t>
      </w:r>
      <w:r>
        <w:rPr>
          <w:rFonts w:ascii="Palatino Linotype" w:hAnsi="Palatino Linotype"/>
          <w:i/>
        </w:rPr>
        <w:t>Oryx</w:t>
      </w:r>
      <w:r>
        <w:rPr>
          <w:rFonts w:ascii="Cambria" w:hAnsi="Cambria"/>
        </w:rPr>
        <w:t>; </w:t>
      </w:r>
      <w:r>
        <w:rPr>
          <w:rFonts w:ascii="Palatino Linotype" w:hAnsi="Palatino Linotype"/>
          <w:b/>
        </w:rPr>
        <w:t>38(2)</w:t>
      </w:r>
      <w:r>
        <w:rPr>
          <w:rFonts w:ascii="Cambria" w:hAnsi="Cambria"/>
        </w:rPr>
        <w:t>.</w:t>
      </w:r>
      <w:r>
        <w:rPr>
          <w:rFonts w:ascii="Cambria" w:hAnsi="Cambria"/>
          <w:spacing w:val="-17"/>
        </w:rPr>
        <w:t> </w:t>
      </w:r>
      <w:r>
        <w:rPr>
          <w:rFonts w:ascii="Cambria" w:hAnsi="Cambria"/>
        </w:rPr>
        <w:t>148</w:t>
      </w:r>
      <w:r>
        <w:rPr>
          <w:rFonts w:ascii="Palatino Linotype" w:hAnsi="Palatino Linotype"/>
        </w:rPr>
        <w:t>–</w:t>
      </w:r>
      <w:r>
        <w:rPr>
          <w:rFonts w:ascii="Cambria" w:hAnsi="Cambria"/>
        </w:rPr>
        <w:t>154</w:t>
      </w:r>
    </w:p>
    <w:p>
      <w:pPr>
        <w:spacing w:after="0" w:line="501"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ind w:left="102"/>
        <w:rPr>
          <w:rFonts w:ascii="Cambria"/>
        </w:rPr>
      </w:pPr>
      <w:r>
        <w:rPr>
          <w:rFonts w:ascii="Cambria"/>
          <w:w w:val="105"/>
        </w:rPr>
        <w:t>Soisalo, K. y M. C. Cavalcanti. 2006. Estimating the density of a jaguar population</w:t>
      </w:r>
    </w:p>
    <w:p>
      <w:pPr>
        <w:pStyle w:val="BodyText"/>
        <w:spacing w:before="11"/>
        <w:rPr>
          <w:rFonts w:ascii="Cambria"/>
        </w:rPr>
      </w:pPr>
    </w:p>
    <w:p>
      <w:pPr>
        <w:pStyle w:val="BodyText"/>
        <w:spacing w:line="441" w:lineRule="auto"/>
        <w:ind w:left="821" w:right="338"/>
        <w:rPr>
          <w:rFonts w:ascii="Cambria" w:hAnsi="Cambria"/>
        </w:rPr>
      </w:pPr>
      <w:r>
        <w:rPr>
          <w:rFonts w:ascii="Cambria" w:hAnsi="Cambria"/>
        </w:rPr>
        <w:t>in the Brazilian Pantanal using camera-traps and capture</w:t>
      </w:r>
      <w:r>
        <w:rPr>
          <w:rFonts w:ascii="Palatino Linotype" w:hAnsi="Palatino Linotype"/>
        </w:rPr>
        <w:t>–</w:t>
      </w:r>
      <w:r>
        <w:rPr>
          <w:rFonts w:ascii="Cambria" w:hAnsi="Cambria"/>
        </w:rPr>
        <w:t>recapture  sampling in combination with GPS radio-telemetry. </w:t>
      </w:r>
      <w:r>
        <w:rPr>
          <w:rFonts w:ascii="Palatino Linotype" w:hAnsi="Palatino Linotype"/>
          <w:i/>
        </w:rPr>
        <w:t>Biological Conservation</w:t>
      </w:r>
      <w:r>
        <w:rPr>
          <w:rFonts w:ascii="Cambria" w:hAnsi="Cambria"/>
        </w:rPr>
        <w:t>; </w:t>
      </w:r>
      <w:r>
        <w:rPr>
          <w:rFonts w:ascii="Palatino Linotype" w:hAnsi="Palatino Linotype"/>
          <w:b/>
          <w:w w:val="95"/>
        </w:rPr>
        <w:t>129</w:t>
      </w:r>
      <w:r>
        <w:rPr>
          <w:rFonts w:ascii="Cambria" w:hAnsi="Cambria"/>
          <w:w w:val="95"/>
        </w:rPr>
        <w:t>.</w:t>
      </w:r>
      <w:r>
        <w:rPr>
          <w:rFonts w:ascii="Cambria" w:hAnsi="Cambria"/>
          <w:spacing w:val="6"/>
          <w:w w:val="95"/>
        </w:rPr>
        <w:t> </w:t>
      </w:r>
      <w:r>
        <w:rPr>
          <w:rFonts w:ascii="Cambria" w:hAnsi="Cambria"/>
          <w:w w:val="95"/>
        </w:rPr>
        <w:t>487-496</w:t>
      </w:r>
    </w:p>
    <w:p>
      <w:pPr>
        <w:pStyle w:val="BodyText"/>
        <w:spacing w:before="25"/>
        <w:ind w:left="102"/>
        <w:rPr>
          <w:rFonts w:ascii="Cambria" w:hAnsi="Cambria"/>
        </w:rPr>
      </w:pPr>
      <w:r>
        <w:rPr>
          <w:rFonts w:ascii="Cambria" w:hAnsi="Cambria"/>
          <w:w w:val="110"/>
        </w:rPr>
        <w:t>Soria-Díaz, L. O. Monroy-Vilchis, C. Rodríguez, M. Zarco y V. Urios. 2010.</w:t>
      </w:r>
    </w:p>
    <w:p>
      <w:pPr>
        <w:pStyle w:val="BodyText"/>
        <w:spacing w:before="8"/>
        <w:rPr>
          <w:rFonts w:ascii="Cambria"/>
        </w:rPr>
      </w:pPr>
    </w:p>
    <w:p>
      <w:pPr>
        <w:spacing w:line="441" w:lineRule="auto" w:before="0"/>
        <w:ind w:left="821" w:right="466" w:firstLine="0"/>
        <w:jc w:val="left"/>
        <w:rPr>
          <w:rFonts w:ascii="Cambria"/>
          <w:sz w:val="24"/>
        </w:rPr>
      </w:pPr>
      <w:r>
        <w:rPr>
          <w:rFonts w:ascii="Cambria"/>
          <w:sz w:val="24"/>
        </w:rPr>
        <w:t>Variation of the abundance and density of </w:t>
      </w:r>
      <w:r>
        <w:rPr>
          <w:rFonts w:ascii="Palatino Linotype"/>
          <w:i/>
          <w:sz w:val="24"/>
        </w:rPr>
        <w:t>Puma concolor </w:t>
      </w:r>
      <w:r>
        <w:rPr>
          <w:rFonts w:ascii="Cambria"/>
          <w:sz w:val="24"/>
        </w:rPr>
        <w:t>in zones of high  and low concentration of cameras traps in Central Mexico. </w:t>
      </w:r>
      <w:r>
        <w:rPr>
          <w:rFonts w:ascii="Palatino Linotype"/>
          <w:i/>
          <w:sz w:val="24"/>
        </w:rPr>
        <w:t>Animal Biology; </w:t>
      </w:r>
      <w:r>
        <w:rPr>
          <w:rFonts w:ascii="Palatino Linotype"/>
          <w:b/>
          <w:w w:val="95"/>
          <w:sz w:val="24"/>
        </w:rPr>
        <w:t>60</w:t>
      </w:r>
      <w:r>
        <w:rPr>
          <w:rFonts w:ascii="Cambria"/>
          <w:w w:val="95"/>
          <w:sz w:val="24"/>
        </w:rPr>
        <w:t>. 361-371</w:t>
      </w:r>
    </w:p>
    <w:p>
      <w:pPr>
        <w:spacing w:line="441" w:lineRule="auto" w:before="2"/>
        <w:ind w:left="821" w:right="562" w:hanging="720"/>
        <w:jc w:val="left"/>
        <w:rPr>
          <w:rFonts w:ascii="Cambria"/>
          <w:sz w:val="24"/>
        </w:rPr>
      </w:pPr>
      <w:r>
        <w:rPr>
          <w:rFonts w:ascii="Cambria"/>
          <w:w w:val="105"/>
          <w:sz w:val="24"/>
        </w:rPr>
        <w:t>Sunquist, M. y F. Sunquist. 2002. Wild Cats of the World. </w:t>
      </w:r>
      <w:r>
        <w:rPr>
          <w:rFonts w:ascii="Palatino Linotype"/>
          <w:i/>
          <w:w w:val="105"/>
          <w:sz w:val="24"/>
        </w:rPr>
        <w:t>University Of Chicago </w:t>
      </w:r>
      <w:r>
        <w:rPr>
          <w:rFonts w:ascii="Palatino Linotype"/>
          <w:i/>
          <w:w w:val="105"/>
          <w:sz w:val="24"/>
        </w:rPr>
        <w:t>Press</w:t>
      </w:r>
      <w:r>
        <w:rPr>
          <w:rFonts w:ascii="Cambria"/>
          <w:w w:val="105"/>
          <w:sz w:val="24"/>
        </w:rPr>
        <w:t>. pp 452</w:t>
      </w:r>
    </w:p>
    <w:p>
      <w:pPr>
        <w:pStyle w:val="BodyText"/>
        <w:spacing w:line="458" w:lineRule="auto" w:before="2"/>
        <w:ind w:left="821" w:right="338" w:hanging="720"/>
        <w:rPr>
          <w:rFonts w:ascii="Cambria"/>
        </w:rPr>
      </w:pPr>
      <w:r>
        <w:rPr>
          <w:rFonts w:ascii="Cambria"/>
          <w:w w:val="105"/>
        </w:rPr>
        <w:t>Sutherland, W. 1996. Ecological Census Techniques. </w:t>
      </w:r>
      <w:r>
        <w:rPr>
          <w:rFonts w:ascii="Palatino Linotype"/>
          <w:i/>
          <w:w w:val="105"/>
        </w:rPr>
        <w:t>Cambridge</w:t>
      </w:r>
      <w:r>
        <w:rPr>
          <w:rFonts w:ascii="Cambria"/>
          <w:w w:val="105"/>
        </w:rPr>
        <w:t>. USA New York. </w:t>
      </w:r>
      <w:r>
        <w:rPr>
          <w:rFonts w:ascii="Cambria"/>
        </w:rPr>
        <w:t>pp. 336</w:t>
      </w:r>
    </w:p>
    <w:p>
      <w:pPr>
        <w:pStyle w:val="BodyText"/>
        <w:spacing w:line="499" w:lineRule="auto" w:before="60"/>
        <w:ind w:left="821" w:right="358" w:hanging="720"/>
        <w:jc w:val="both"/>
        <w:rPr>
          <w:rFonts w:ascii="Cambria" w:hAnsi="Cambria"/>
        </w:rPr>
      </w:pPr>
      <w:r>
        <w:rPr>
          <w:rFonts w:ascii="Cambria" w:hAnsi="Cambria"/>
          <w:w w:val="105"/>
        </w:rPr>
        <w:t>Trolle, M., A. J. Noss, J. L. Passos y L. F. B. Oliveira. 2008. Brazilian Tapir Density in the Pantanal: A Comparison of Systematic Camera-Trapping and Line- </w:t>
      </w:r>
      <w:r>
        <w:rPr>
          <w:rFonts w:ascii="Cambria" w:hAnsi="Cambria"/>
        </w:rPr>
        <w:t>Transect Surveys. </w:t>
      </w:r>
      <w:r>
        <w:rPr>
          <w:rFonts w:ascii="Palatino Linotype" w:hAnsi="Palatino Linotype"/>
          <w:i/>
        </w:rPr>
        <w:t>Biotropica</w:t>
      </w:r>
      <w:r>
        <w:rPr>
          <w:rFonts w:ascii="Cambria" w:hAnsi="Cambria"/>
        </w:rPr>
        <w:t>; </w:t>
      </w:r>
      <w:r>
        <w:rPr>
          <w:rFonts w:ascii="Palatino Linotype" w:hAnsi="Palatino Linotype"/>
          <w:b/>
        </w:rPr>
        <w:t>40(2)</w:t>
      </w:r>
      <w:r>
        <w:rPr>
          <w:rFonts w:ascii="Cambria" w:hAnsi="Cambria"/>
        </w:rPr>
        <w:t>. 211</w:t>
      </w:r>
      <w:r>
        <w:rPr>
          <w:rFonts w:ascii="Palatino Linotype" w:hAnsi="Palatino Linotype"/>
        </w:rPr>
        <w:t>–</w:t>
      </w:r>
      <w:r>
        <w:rPr>
          <w:rFonts w:ascii="Cambria" w:hAnsi="Cambria"/>
        </w:rPr>
        <w:t>217</w:t>
      </w:r>
    </w:p>
    <w:p>
      <w:pPr>
        <w:pStyle w:val="BodyText"/>
        <w:spacing w:line="246" w:lineRule="exact"/>
        <w:ind w:left="102"/>
        <w:rPr>
          <w:rFonts w:ascii="Cambria" w:hAnsi="Cambria"/>
        </w:rPr>
      </w:pPr>
      <w:r>
        <w:rPr>
          <w:rFonts w:ascii="Cambria" w:hAnsi="Cambria"/>
          <w:w w:val="105"/>
        </w:rPr>
        <w:t>Vucetich J.A. y Peterson R.O. 2004. The influence of top</w:t>
      </w:r>
      <w:r>
        <w:rPr>
          <w:rFonts w:ascii="Palatino Linotype" w:hAnsi="Palatino Linotype"/>
          <w:w w:val="105"/>
        </w:rPr>
        <w:t>–</w:t>
      </w:r>
      <w:r>
        <w:rPr>
          <w:rFonts w:ascii="Cambria" w:hAnsi="Cambria"/>
          <w:w w:val="105"/>
        </w:rPr>
        <w:t>down, bottom</w:t>
      </w:r>
      <w:r>
        <w:rPr>
          <w:rFonts w:ascii="Palatino Linotype" w:hAnsi="Palatino Linotype"/>
          <w:w w:val="105"/>
        </w:rPr>
        <w:t>–</w:t>
      </w:r>
      <w:r>
        <w:rPr>
          <w:rFonts w:ascii="Cambria" w:hAnsi="Cambria"/>
          <w:w w:val="105"/>
        </w:rPr>
        <w:t>up and</w:t>
      </w:r>
    </w:p>
    <w:p>
      <w:pPr>
        <w:pStyle w:val="BodyText"/>
        <w:spacing w:before="4"/>
        <w:rPr>
          <w:rFonts w:ascii="Cambria"/>
          <w:sz w:val="23"/>
        </w:rPr>
      </w:pPr>
    </w:p>
    <w:p>
      <w:pPr>
        <w:pStyle w:val="BodyText"/>
        <w:spacing w:line="444" w:lineRule="auto"/>
        <w:ind w:left="821"/>
        <w:rPr>
          <w:rFonts w:ascii="Cambria" w:hAnsi="Cambria"/>
        </w:rPr>
      </w:pPr>
      <w:r>
        <w:rPr>
          <w:rFonts w:ascii="Cambria" w:hAnsi="Cambria"/>
          <w:w w:val="105"/>
        </w:rPr>
        <w:t>abiotic</w:t>
      </w:r>
      <w:r>
        <w:rPr>
          <w:rFonts w:ascii="Cambria" w:hAnsi="Cambria"/>
          <w:spacing w:val="-12"/>
          <w:w w:val="105"/>
        </w:rPr>
        <w:t> </w:t>
      </w:r>
      <w:r>
        <w:rPr>
          <w:rFonts w:ascii="Cambria" w:hAnsi="Cambria"/>
          <w:w w:val="105"/>
        </w:rPr>
        <w:t>factors</w:t>
      </w:r>
      <w:r>
        <w:rPr>
          <w:rFonts w:ascii="Cambria" w:hAnsi="Cambria"/>
          <w:spacing w:val="-12"/>
          <w:w w:val="105"/>
        </w:rPr>
        <w:t> </w:t>
      </w:r>
      <w:r>
        <w:rPr>
          <w:rFonts w:ascii="Cambria" w:hAnsi="Cambria"/>
          <w:w w:val="105"/>
        </w:rPr>
        <w:t>on</w:t>
      </w:r>
      <w:r>
        <w:rPr>
          <w:rFonts w:ascii="Cambria" w:hAnsi="Cambria"/>
          <w:spacing w:val="-11"/>
          <w:w w:val="105"/>
        </w:rPr>
        <w:t> </w:t>
      </w:r>
      <w:r>
        <w:rPr>
          <w:rFonts w:ascii="Cambria" w:hAnsi="Cambria"/>
          <w:w w:val="105"/>
        </w:rPr>
        <w:t>the</w:t>
      </w:r>
      <w:r>
        <w:rPr>
          <w:rFonts w:ascii="Cambria" w:hAnsi="Cambria"/>
          <w:spacing w:val="-12"/>
          <w:w w:val="105"/>
        </w:rPr>
        <w:t> </w:t>
      </w:r>
      <w:r>
        <w:rPr>
          <w:rFonts w:ascii="Cambria" w:hAnsi="Cambria"/>
          <w:w w:val="105"/>
        </w:rPr>
        <w:t>moose</w:t>
      </w:r>
      <w:r>
        <w:rPr>
          <w:rFonts w:ascii="Cambria" w:hAnsi="Cambria"/>
          <w:spacing w:val="-11"/>
          <w:w w:val="105"/>
        </w:rPr>
        <w:t> </w:t>
      </w:r>
      <w:r>
        <w:rPr>
          <w:rFonts w:ascii="Cambria" w:hAnsi="Cambria"/>
          <w:w w:val="105"/>
        </w:rPr>
        <w:t>(</w:t>
      </w:r>
      <w:r>
        <w:rPr>
          <w:rFonts w:ascii="Palatino Linotype" w:hAnsi="Palatino Linotype"/>
          <w:i/>
          <w:w w:val="105"/>
        </w:rPr>
        <w:t>Alces</w:t>
      </w:r>
      <w:r>
        <w:rPr>
          <w:rFonts w:ascii="Palatino Linotype" w:hAnsi="Palatino Linotype"/>
          <w:i/>
          <w:spacing w:val="-19"/>
          <w:w w:val="105"/>
        </w:rPr>
        <w:t> </w:t>
      </w:r>
      <w:r>
        <w:rPr>
          <w:rFonts w:ascii="Palatino Linotype" w:hAnsi="Palatino Linotype"/>
          <w:i/>
          <w:w w:val="105"/>
        </w:rPr>
        <w:t>alces</w:t>
      </w:r>
      <w:r>
        <w:rPr>
          <w:rFonts w:ascii="Cambria" w:hAnsi="Cambria"/>
          <w:w w:val="105"/>
        </w:rPr>
        <w:t>)</w:t>
      </w:r>
      <w:r>
        <w:rPr>
          <w:rFonts w:ascii="Cambria" w:hAnsi="Cambria"/>
          <w:spacing w:val="-11"/>
          <w:w w:val="105"/>
        </w:rPr>
        <w:t> </w:t>
      </w:r>
      <w:r>
        <w:rPr>
          <w:rFonts w:ascii="Cambria" w:hAnsi="Cambria"/>
          <w:w w:val="105"/>
        </w:rPr>
        <w:t>population</w:t>
      </w:r>
      <w:r>
        <w:rPr>
          <w:rFonts w:ascii="Cambria" w:hAnsi="Cambria"/>
          <w:spacing w:val="-11"/>
          <w:w w:val="105"/>
        </w:rPr>
        <w:t> </w:t>
      </w:r>
      <w:r>
        <w:rPr>
          <w:rFonts w:ascii="Cambria" w:hAnsi="Cambria"/>
          <w:w w:val="105"/>
        </w:rPr>
        <w:t>of</w:t>
      </w:r>
      <w:r>
        <w:rPr>
          <w:rFonts w:ascii="Cambria" w:hAnsi="Cambria"/>
          <w:spacing w:val="-11"/>
          <w:w w:val="105"/>
        </w:rPr>
        <w:t> </w:t>
      </w:r>
      <w:r>
        <w:rPr>
          <w:rFonts w:ascii="Cambria" w:hAnsi="Cambria"/>
          <w:w w:val="105"/>
        </w:rPr>
        <w:t>Isle</w:t>
      </w:r>
      <w:r>
        <w:rPr>
          <w:rFonts w:ascii="Cambria" w:hAnsi="Cambria"/>
          <w:spacing w:val="-11"/>
          <w:w w:val="105"/>
        </w:rPr>
        <w:t> </w:t>
      </w:r>
      <w:r>
        <w:rPr>
          <w:rFonts w:ascii="Cambria" w:hAnsi="Cambria"/>
          <w:w w:val="105"/>
        </w:rPr>
        <w:t>Royale.</w:t>
      </w:r>
      <w:r>
        <w:rPr>
          <w:rFonts w:ascii="Cambria" w:hAnsi="Cambria"/>
          <w:spacing w:val="-12"/>
          <w:w w:val="105"/>
        </w:rPr>
        <w:t> </w:t>
      </w:r>
      <w:r>
        <w:rPr>
          <w:rFonts w:ascii="Cambria" w:hAnsi="Cambria"/>
          <w:w w:val="105"/>
        </w:rPr>
        <w:t>Proc.</w:t>
      </w:r>
      <w:r>
        <w:rPr>
          <w:rFonts w:ascii="Cambria" w:hAnsi="Cambria"/>
          <w:spacing w:val="-11"/>
          <w:w w:val="105"/>
        </w:rPr>
        <w:t> </w:t>
      </w:r>
      <w:r>
        <w:rPr>
          <w:rFonts w:ascii="Cambria" w:hAnsi="Cambria"/>
          <w:w w:val="105"/>
        </w:rPr>
        <w:t>R. Soc.</w:t>
      </w:r>
      <w:r>
        <w:rPr>
          <w:rFonts w:ascii="Cambria" w:hAnsi="Cambria"/>
          <w:spacing w:val="-15"/>
          <w:w w:val="105"/>
        </w:rPr>
        <w:t> </w:t>
      </w:r>
      <w:r>
        <w:rPr>
          <w:rFonts w:ascii="Cambria" w:hAnsi="Cambria"/>
          <w:w w:val="105"/>
        </w:rPr>
        <w:t>Lond.</w:t>
      </w:r>
      <w:r>
        <w:rPr>
          <w:rFonts w:ascii="Cambria" w:hAnsi="Cambria"/>
          <w:spacing w:val="-16"/>
          <w:w w:val="105"/>
        </w:rPr>
        <w:t> </w:t>
      </w:r>
      <w:r>
        <w:rPr>
          <w:rFonts w:ascii="Cambria" w:hAnsi="Cambria"/>
          <w:w w:val="105"/>
        </w:rPr>
        <w:t>B.</w:t>
      </w:r>
      <w:r>
        <w:rPr>
          <w:rFonts w:ascii="Cambria" w:hAnsi="Cambria"/>
          <w:spacing w:val="-15"/>
          <w:w w:val="105"/>
        </w:rPr>
        <w:t> </w:t>
      </w:r>
      <w:r>
        <w:rPr>
          <w:rFonts w:ascii="Cambria" w:hAnsi="Cambria"/>
          <w:w w:val="105"/>
        </w:rPr>
        <w:t>Biol.</w:t>
      </w:r>
      <w:r>
        <w:rPr>
          <w:rFonts w:ascii="Cambria" w:hAnsi="Cambria"/>
          <w:spacing w:val="-15"/>
          <w:w w:val="105"/>
        </w:rPr>
        <w:t> </w:t>
      </w:r>
      <w:r>
        <w:rPr>
          <w:rFonts w:ascii="Cambria" w:hAnsi="Cambria"/>
          <w:w w:val="105"/>
        </w:rPr>
        <w:t>Sci.</w:t>
      </w:r>
      <w:r>
        <w:rPr>
          <w:rFonts w:ascii="Cambria" w:hAnsi="Cambria"/>
          <w:spacing w:val="-13"/>
          <w:w w:val="105"/>
        </w:rPr>
        <w:t> </w:t>
      </w:r>
      <w:r>
        <w:rPr>
          <w:rFonts w:ascii="Palatino Linotype" w:hAnsi="Palatino Linotype"/>
          <w:b/>
          <w:w w:val="105"/>
        </w:rPr>
        <w:t>271</w:t>
      </w:r>
      <w:r>
        <w:rPr>
          <w:rFonts w:ascii="Cambria" w:hAnsi="Cambria"/>
          <w:w w:val="105"/>
        </w:rPr>
        <w:t>.</w:t>
      </w:r>
      <w:r>
        <w:rPr>
          <w:rFonts w:ascii="Cambria" w:hAnsi="Cambria"/>
          <w:spacing w:val="-15"/>
          <w:w w:val="105"/>
        </w:rPr>
        <w:t> </w:t>
      </w:r>
      <w:r>
        <w:rPr>
          <w:rFonts w:ascii="Cambria" w:hAnsi="Cambria"/>
          <w:w w:val="105"/>
        </w:rPr>
        <w:t>183</w:t>
      </w:r>
      <w:r>
        <w:rPr>
          <w:rFonts w:ascii="Palatino Linotype" w:hAnsi="Palatino Linotype"/>
          <w:w w:val="105"/>
        </w:rPr>
        <w:t>–</w:t>
      </w:r>
      <w:r>
        <w:rPr>
          <w:rFonts w:ascii="Cambria" w:hAnsi="Cambria"/>
          <w:w w:val="105"/>
        </w:rPr>
        <w:t>189</w:t>
      </w:r>
    </w:p>
    <w:p>
      <w:pPr>
        <w:pStyle w:val="BodyText"/>
        <w:spacing w:line="472" w:lineRule="auto" w:before="20"/>
        <w:ind w:left="821" w:right="188" w:hanging="720"/>
        <w:jc w:val="both"/>
        <w:rPr>
          <w:rFonts w:ascii="Cambria" w:hAnsi="Cambria"/>
        </w:rPr>
      </w:pPr>
      <w:r>
        <w:rPr>
          <w:rFonts w:ascii="Cambria" w:hAnsi="Cambria"/>
          <w:w w:val="105"/>
        </w:rPr>
        <w:t>Walker, R.S., Novaro, J.A. y Nichols, J.D. 2000. Consideraciones para la estimación de abundancia de poblaciones de mamíferos. Mastozoología Neotropical.</w:t>
      </w:r>
      <w:r>
        <w:rPr>
          <w:rFonts w:ascii="Cambria" w:hAnsi="Cambria"/>
          <w:spacing w:val="-32"/>
          <w:w w:val="105"/>
        </w:rPr>
        <w:t> </w:t>
      </w:r>
      <w:r>
        <w:rPr>
          <w:rFonts w:ascii="Palatino Linotype" w:hAnsi="Palatino Linotype"/>
          <w:b/>
          <w:w w:val="105"/>
        </w:rPr>
        <w:t>7. </w:t>
      </w:r>
      <w:r>
        <w:rPr>
          <w:rFonts w:ascii="Cambria" w:hAnsi="Cambria"/>
          <w:w w:val="105"/>
        </w:rPr>
        <w:t>73-80</w:t>
      </w:r>
    </w:p>
    <w:p>
      <w:pPr>
        <w:spacing w:after="0" w:line="472" w:lineRule="auto"/>
        <w:jc w:val="both"/>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spacing w:line="472" w:lineRule="auto" w:before="0"/>
        <w:ind w:left="821" w:right="100" w:hanging="720"/>
        <w:jc w:val="both"/>
        <w:rPr>
          <w:rFonts w:ascii="Cambria" w:hAnsi="Cambria"/>
          <w:sz w:val="24"/>
        </w:rPr>
      </w:pPr>
      <w:r>
        <w:rPr>
          <w:rFonts w:ascii="Cambria" w:hAnsi="Cambria"/>
          <w:w w:val="105"/>
          <w:sz w:val="24"/>
        </w:rPr>
        <w:t>Wallace, R. B., H. Gómez, G. Ayala y F. Espinoza. 2003. Camera trapping for Jaguar (</w:t>
      </w:r>
      <w:r>
        <w:rPr>
          <w:rFonts w:ascii="Palatino Linotype" w:hAnsi="Palatino Linotype"/>
          <w:i/>
          <w:w w:val="105"/>
          <w:sz w:val="24"/>
        </w:rPr>
        <w:t>Panthera</w:t>
      </w:r>
      <w:r>
        <w:rPr>
          <w:rFonts w:ascii="Palatino Linotype" w:hAnsi="Palatino Linotype"/>
          <w:i/>
          <w:spacing w:val="-26"/>
          <w:w w:val="105"/>
          <w:sz w:val="24"/>
        </w:rPr>
        <w:t> </w:t>
      </w:r>
      <w:r>
        <w:rPr>
          <w:rFonts w:ascii="Cambria" w:hAnsi="Cambria"/>
          <w:w w:val="105"/>
          <w:sz w:val="24"/>
        </w:rPr>
        <w:t>onca)</w:t>
      </w:r>
      <w:r>
        <w:rPr>
          <w:rFonts w:ascii="Cambria" w:hAnsi="Cambria"/>
          <w:spacing w:val="-17"/>
          <w:w w:val="105"/>
          <w:sz w:val="24"/>
        </w:rPr>
        <w:t> </w:t>
      </w:r>
      <w:r>
        <w:rPr>
          <w:rFonts w:ascii="Cambria" w:hAnsi="Cambria"/>
          <w:w w:val="105"/>
          <w:sz w:val="24"/>
        </w:rPr>
        <w:t>in</w:t>
      </w:r>
      <w:r>
        <w:rPr>
          <w:rFonts w:ascii="Cambria" w:hAnsi="Cambria"/>
          <w:spacing w:val="-18"/>
          <w:w w:val="105"/>
          <w:sz w:val="24"/>
        </w:rPr>
        <w:t> </w:t>
      </w:r>
      <w:r>
        <w:rPr>
          <w:rFonts w:ascii="Cambria" w:hAnsi="Cambria"/>
          <w:w w:val="105"/>
          <w:sz w:val="24"/>
        </w:rPr>
        <w:t>the</w:t>
      </w:r>
      <w:r>
        <w:rPr>
          <w:rFonts w:ascii="Cambria" w:hAnsi="Cambria"/>
          <w:spacing w:val="-17"/>
          <w:w w:val="105"/>
          <w:sz w:val="24"/>
        </w:rPr>
        <w:t> </w:t>
      </w:r>
      <w:r>
        <w:rPr>
          <w:rFonts w:ascii="Cambria" w:hAnsi="Cambria"/>
          <w:w w:val="105"/>
          <w:sz w:val="24"/>
        </w:rPr>
        <w:t>Tuichi</w:t>
      </w:r>
      <w:r>
        <w:rPr>
          <w:rFonts w:ascii="Cambria" w:hAnsi="Cambria"/>
          <w:spacing w:val="-17"/>
          <w:w w:val="105"/>
          <w:sz w:val="24"/>
        </w:rPr>
        <w:t> </w:t>
      </w:r>
      <w:r>
        <w:rPr>
          <w:rFonts w:ascii="Cambria" w:hAnsi="Cambria"/>
          <w:w w:val="105"/>
          <w:sz w:val="24"/>
        </w:rPr>
        <w:t>Valley,</w:t>
      </w:r>
      <w:r>
        <w:rPr>
          <w:rFonts w:ascii="Cambria" w:hAnsi="Cambria"/>
          <w:spacing w:val="-17"/>
          <w:w w:val="105"/>
          <w:sz w:val="24"/>
        </w:rPr>
        <w:t> </w:t>
      </w:r>
      <w:r>
        <w:rPr>
          <w:rFonts w:ascii="Cambria" w:hAnsi="Cambria"/>
          <w:w w:val="105"/>
          <w:sz w:val="24"/>
        </w:rPr>
        <w:t>Bolivia.</w:t>
      </w:r>
      <w:r>
        <w:rPr>
          <w:rFonts w:ascii="Cambria" w:hAnsi="Cambria"/>
          <w:spacing w:val="-16"/>
          <w:w w:val="105"/>
          <w:sz w:val="24"/>
        </w:rPr>
        <w:t> </w:t>
      </w:r>
      <w:r>
        <w:rPr>
          <w:rFonts w:ascii="Palatino Linotype" w:hAnsi="Palatino Linotype"/>
          <w:i/>
          <w:w w:val="105"/>
          <w:sz w:val="24"/>
        </w:rPr>
        <w:t>Mastozoología</w:t>
      </w:r>
      <w:r>
        <w:rPr>
          <w:rFonts w:ascii="Palatino Linotype" w:hAnsi="Palatino Linotype"/>
          <w:i/>
          <w:spacing w:val="-26"/>
          <w:w w:val="105"/>
          <w:sz w:val="24"/>
        </w:rPr>
        <w:t> </w:t>
      </w:r>
      <w:r>
        <w:rPr>
          <w:rFonts w:ascii="Palatino Linotype" w:hAnsi="Palatino Linotype"/>
          <w:i/>
          <w:w w:val="105"/>
          <w:sz w:val="24"/>
        </w:rPr>
        <w:t>Neotropical</w:t>
      </w:r>
      <w:r>
        <w:rPr>
          <w:rFonts w:ascii="Cambria" w:hAnsi="Cambria"/>
          <w:w w:val="105"/>
          <w:sz w:val="24"/>
        </w:rPr>
        <w:t>;</w:t>
      </w:r>
      <w:r>
        <w:rPr>
          <w:rFonts w:ascii="Cambria" w:hAnsi="Cambria"/>
          <w:spacing w:val="-17"/>
          <w:w w:val="105"/>
          <w:sz w:val="24"/>
        </w:rPr>
        <w:t> </w:t>
      </w:r>
      <w:r>
        <w:rPr>
          <w:rFonts w:ascii="Palatino Linotype" w:hAnsi="Palatino Linotype"/>
          <w:b/>
          <w:w w:val="105"/>
          <w:sz w:val="24"/>
        </w:rPr>
        <w:t>10</w:t>
      </w:r>
      <w:r>
        <w:rPr>
          <w:rFonts w:ascii="Palatino Linotype" w:hAnsi="Palatino Linotype"/>
          <w:b/>
          <w:spacing w:val="-25"/>
          <w:w w:val="105"/>
          <w:sz w:val="24"/>
        </w:rPr>
        <w:t> </w:t>
      </w:r>
      <w:r>
        <w:rPr>
          <w:rFonts w:ascii="Palatino Linotype" w:hAnsi="Palatino Linotype"/>
          <w:b/>
          <w:w w:val="105"/>
          <w:sz w:val="24"/>
        </w:rPr>
        <w:t>(1)</w:t>
      </w:r>
      <w:r>
        <w:rPr>
          <w:rFonts w:ascii="Cambria" w:hAnsi="Cambria"/>
          <w:w w:val="105"/>
          <w:sz w:val="24"/>
        </w:rPr>
        <w:t>. 133-139</w:t>
      </w:r>
    </w:p>
    <w:p>
      <w:pPr>
        <w:pStyle w:val="BodyText"/>
        <w:spacing w:line="489" w:lineRule="auto" w:before="43"/>
        <w:ind w:left="821" w:right="138" w:hanging="720"/>
        <w:jc w:val="both"/>
        <w:rPr>
          <w:rFonts w:ascii="Cambria"/>
        </w:rPr>
      </w:pPr>
      <w:r>
        <w:rPr>
          <w:rFonts w:ascii="Cambria"/>
          <w:w w:val="105"/>
        </w:rPr>
        <w:t>Weckel, M., W. Giuliano y S. Silve. 2006. Jaguar (Panthera onca) feeding ecology: distribution</w:t>
      </w:r>
      <w:r>
        <w:rPr>
          <w:rFonts w:ascii="Cambria"/>
          <w:spacing w:val="-14"/>
          <w:w w:val="105"/>
        </w:rPr>
        <w:t> </w:t>
      </w:r>
      <w:r>
        <w:rPr>
          <w:rFonts w:ascii="Cambria"/>
          <w:w w:val="105"/>
        </w:rPr>
        <w:t>of</w:t>
      </w:r>
      <w:r>
        <w:rPr>
          <w:rFonts w:ascii="Cambria"/>
          <w:spacing w:val="-14"/>
          <w:w w:val="105"/>
        </w:rPr>
        <w:t> </w:t>
      </w:r>
      <w:r>
        <w:rPr>
          <w:rFonts w:ascii="Cambria"/>
          <w:w w:val="105"/>
        </w:rPr>
        <w:t>predator</w:t>
      </w:r>
      <w:r>
        <w:rPr>
          <w:rFonts w:ascii="Cambria"/>
          <w:spacing w:val="-13"/>
          <w:w w:val="105"/>
        </w:rPr>
        <w:t> </w:t>
      </w:r>
      <w:r>
        <w:rPr>
          <w:rFonts w:ascii="Cambria"/>
          <w:w w:val="105"/>
        </w:rPr>
        <w:t>and</w:t>
      </w:r>
      <w:r>
        <w:rPr>
          <w:rFonts w:ascii="Cambria"/>
          <w:spacing w:val="-14"/>
          <w:w w:val="105"/>
        </w:rPr>
        <w:t> </w:t>
      </w:r>
      <w:r>
        <w:rPr>
          <w:rFonts w:ascii="Cambria"/>
          <w:w w:val="105"/>
        </w:rPr>
        <w:t>prey</w:t>
      </w:r>
      <w:r>
        <w:rPr>
          <w:rFonts w:ascii="Cambria"/>
          <w:spacing w:val="-13"/>
          <w:w w:val="105"/>
        </w:rPr>
        <w:t> </w:t>
      </w:r>
      <w:r>
        <w:rPr>
          <w:rFonts w:ascii="Cambria"/>
          <w:w w:val="105"/>
        </w:rPr>
        <w:t>through</w:t>
      </w:r>
      <w:r>
        <w:rPr>
          <w:rFonts w:ascii="Cambria"/>
          <w:spacing w:val="-14"/>
          <w:w w:val="105"/>
        </w:rPr>
        <w:t> </w:t>
      </w:r>
      <w:r>
        <w:rPr>
          <w:rFonts w:ascii="Cambria"/>
          <w:w w:val="105"/>
        </w:rPr>
        <w:t>time</w:t>
      </w:r>
      <w:r>
        <w:rPr>
          <w:rFonts w:ascii="Cambria"/>
          <w:spacing w:val="-14"/>
          <w:w w:val="105"/>
        </w:rPr>
        <w:t> </w:t>
      </w:r>
      <w:r>
        <w:rPr>
          <w:rFonts w:ascii="Cambria"/>
          <w:w w:val="105"/>
        </w:rPr>
        <w:t>and</w:t>
      </w:r>
      <w:r>
        <w:rPr>
          <w:rFonts w:ascii="Cambria"/>
          <w:spacing w:val="-14"/>
          <w:w w:val="105"/>
        </w:rPr>
        <w:t> </w:t>
      </w:r>
      <w:r>
        <w:rPr>
          <w:rFonts w:ascii="Cambria"/>
          <w:w w:val="105"/>
        </w:rPr>
        <w:t>space.</w:t>
      </w:r>
      <w:r>
        <w:rPr>
          <w:rFonts w:ascii="Cambria"/>
          <w:spacing w:val="-11"/>
          <w:w w:val="105"/>
        </w:rPr>
        <w:t> </w:t>
      </w:r>
      <w:r>
        <w:rPr>
          <w:rFonts w:ascii="Palatino Linotype"/>
          <w:i/>
          <w:w w:val="105"/>
        </w:rPr>
        <w:t>Journal</w:t>
      </w:r>
      <w:r>
        <w:rPr>
          <w:rFonts w:ascii="Palatino Linotype"/>
          <w:i/>
          <w:spacing w:val="-21"/>
          <w:w w:val="105"/>
        </w:rPr>
        <w:t> </w:t>
      </w:r>
      <w:r>
        <w:rPr>
          <w:rFonts w:ascii="Palatino Linotype"/>
          <w:i/>
          <w:w w:val="105"/>
        </w:rPr>
        <w:t>of</w:t>
      </w:r>
      <w:r>
        <w:rPr>
          <w:rFonts w:ascii="Palatino Linotype"/>
          <w:i/>
          <w:spacing w:val="-21"/>
          <w:w w:val="105"/>
        </w:rPr>
        <w:t> </w:t>
      </w:r>
      <w:r>
        <w:rPr>
          <w:rFonts w:ascii="Palatino Linotype"/>
          <w:i/>
          <w:w w:val="105"/>
        </w:rPr>
        <w:t>Zoology</w:t>
      </w:r>
      <w:r>
        <w:rPr>
          <w:rFonts w:ascii="Cambria"/>
          <w:w w:val="105"/>
        </w:rPr>
        <w:t>;</w:t>
      </w:r>
    </w:p>
    <w:p>
      <w:pPr>
        <w:spacing w:line="258" w:lineRule="exact" w:before="0"/>
        <w:ind w:left="821" w:right="0" w:firstLine="0"/>
        <w:jc w:val="left"/>
        <w:rPr>
          <w:rFonts w:ascii="Cambria" w:hAnsi="Cambria"/>
          <w:sz w:val="24"/>
        </w:rPr>
      </w:pPr>
      <w:r>
        <w:rPr>
          <w:rFonts w:ascii="Palatino Linotype" w:hAnsi="Palatino Linotype"/>
          <w:b/>
          <w:w w:val="95"/>
          <w:sz w:val="24"/>
        </w:rPr>
        <w:t>270</w:t>
      </w:r>
      <w:r>
        <w:rPr>
          <w:rFonts w:ascii="Cambria" w:hAnsi="Cambria"/>
          <w:w w:val="95"/>
          <w:sz w:val="24"/>
        </w:rPr>
        <w:t>. 25</w:t>
      </w:r>
      <w:r>
        <w:rPr>
          <w:rFonts w:ascii="Palatino Linotype" w:hAnsi="Palatino Linotype"/>
          <w:w w:val="95"/>
          <w:sz w:val="24"/>
        </w:rPr>
        <w:t>–</w:t>
      </w:r>
      <w:r>
        <w:rPr>
          <w:rFonts w:ascii="Cambria" w:hAnsi="Cambria"/>
          <w:w w:val="95"/>
          <w:sz w:val="24"/>
        </w:rPr>
        <w:t>30</w:t>
      </w:r>
    </w:p>
    <w:p>
      <w:pPr>
        <w:pStyle w:val="BodyText"/>
        <w:spacing w:before="5"/>
        <w:rPr>
          <w:rFonts w:ascii="Cambria"/>
          <w:sz w:val="25"/>
        </w:rPr>
      </w:pPr>
    </w:p>
    <w:p>
      <w:pPr>
        <w:pStyle w:val="BodyText"/>
        <w:spacing w:line="487" w:lineRule="auto"/>
        <w:ind w:left="821" w:right="191" w:hanging="720"/>
        <w:jc w:val="both"/>
        <w:rPr>
          <w:rFonts w:ascii="Cambria"/>
        </w:rPr>
      </w:pPr>
      <w:r>
        <w:rPr>
          <w:rFonts w:ascii="Cambria"/>
          <w:w w:val="105"/>
        </w:rPr>
        <w:t>Wilson, K. R. yD. R. Anderson. 1985. Evaluation of two density estimators of small mammal population size. </w:t>
      </w:r>
      <w:r>
        <w:rPr>
          <w:rFonts w:ascii="Palatino Linotype"/>
          <w:i/>
          <w:w w:val="105"/>
        </w:rPr>
        <w:t>Mammal</w:t>
      </w:r>
      <w:r>
        <w:rPr>
          <w:rFonts w:ascii="Cambria"/>
          <w:w w:val="105"/>
        </w:rPr>
        <w:t>; </w:t>
      </w:r>
      <w:r>
        <w:rPr>
          <w:rFonts w:ascii="Palatino Linotype"/>
          <w:b/>
          <w:w w:val="105"/>
        </w:rPr>
        <w:t>66</w:t>
      </w:r>
      <w:r>
        <w:rPr>
          <w:rFonts w:ascii="Cambria"/>
          <w:w w:val="105"/>
        </w:rPr>
        <w:t>. 13-21</w:t>
      </w:r>
    </w:p>
    <w:p>
      <w:pPr>
        <w:spacing w:after="0" w:line="487" w:lineRule="auto"/>
        <w:jc w:val="both"/>
        <w:rPr>
          <w:rFonts w:ascii="Cambria"/>
        </w:rPr>
        <w:sectPr>
          <w:pgSz w:w="12240" w:h="15840"/>
          <w:pgMar w:header="740" w:footer="779" w:top="960" w:bottom="960" w:left="1600" w:right="1600"/>
        </w:sectPr>
      </w:pPr>
    </w:p>
    <w:p>
      <w:pPr>
        <w:pStyle w:val="BodyText"/>
        <w:rPr>
          <w:rFonts w:ascii="Cambria"/>
          <w:sz w:val="20"/>
        </w:rPr>
      </w:pPr>
    </w:p>
    <w:p>
      <w:pPr>
        <w:pStyle w:val="Heading1"/>
        <w:spacing w:before="188"/>
      </w:pPr>
      <w:bookmarkStart w:name="_bookmark6" w:id="7"/>
      <w:bookmarkEnd w:id="7"/>
      <w:r>
        <w:rPr>
          <w:b w:val="0"/>
        </w:rPr>
      </w:r>
      <w:r>
        <w:rPr/>
        <w:t>OBJETIVO PARTICULAR</w:t>
      </w:r>
    </w:p>
    <w:p>
      <w:pPr>
        <w:pStyle w:val="BodyText"/>
        <w:spacing w:before="11"/>
        <w:rPr>
          <w:rFonts w:ascii="Palatino Linotype"/>
          <w:b/>
          <w:sz w:val="38"/>
        </w:rPr>
      </w:pPr>
    </w:p>
    <w:p>
      <w:pPr>
        <w:pStyle w:val="ListParagraph"/>
        <w:numPr>
          <w:ilvl w:val="2"/>
          <w:numId w:val="2"/>
        </w:numPr>
        <w:tabs>
          <w:tab w:pos="822" w:val="left" w:leader="none"/>
        </w:tabs>
        <w:spacing w:line="460" w:lineRule="auto" w:before="0" w:after="0"/>
        <w:ind w:left="822" w:right="307" w:hanging="360"/>
        <w:jc w:val="left"/>
        <w:rPr>
          <w:sz w:val="24"/>
        </w:rPr>
      </w:pPr>
      <w:r>
        <w:rPr>
          <w:w w:val="105"/>
          <w:sz w:val="24"/>
        </w:rPr>
        <w:t>Analizar</w:t>
      </w:r>
      <w:r>
        <w:rPr>
          <w:spacing w:val="-9"/>
          <w:w w:val="105"/>
          <w:sz w:val="24"/>
        </w:rPr>
        <w:t> </w:t>
      </w:r>
      <w:r>
        <w:rPr>
          <w:w w:val="105"/>
          <w:sz w:val="24"/>
        </w:rPr>
        <w:t>la</w:t>
      </w:r>
      <w:r>
        <w:rPr>
          <w:spacing w:val="-9"/>
          <w:w w:val="105"/>
          <w:sz w:val="24"/>
        </w:rPr>
        <w:t> </w:t>
      </w:r>
      <w:r>
        <w:rPr>
          <w:w w:val="105"/>
          <w:sz w:val="24"/>
        </w:rPr>
        <w:t>dinámica</w:t>
      </w:r>
      <w:r>
        <w:rPr>
          <w:spacing w:val="-9"/>
          <w:w w:val="105"/>
          <w:sz w:val="24"/>
        </w:rPr>
        <w:t> </w:t>
      </w:r>
      <w:r>
        <w:rPr>
          <w:w w:val="105"/>
          <w:sz w:val="24"/>
        </w:rPr>
        <w:t>poblacional</w:t>
      </w:r>
      <w:r>
        <w:rPr>
          <w:spacing w:val="-9"/>
          <w:w w:val="105"/>
          <w:sz w:val="24"/>
        </w:rPr>
        <w:t> </w:t>
      </w:r>
      <w:r>
        <w:rPr>
          <w:w w:val="105"/>
          <w:sz w:val="24"/>
        </w:rPr>
        <w:t>de</w:t>
      </w:r>
      <w:r>
        <w:rPr>
          <w:spacing w:val="-9"/>
          <w:w w:val="105"/>
          <w:sz w:val="24"/>
        </w:rPr>
        <w:t> </w:t>
      </w:r>
      <w:r>
        <w:rPr>
          <w:rFonts w:ascii="Palatino Linotype" w:hAnsi="Palatino Linotype"/>
          <w:i/>
          <w:w w:val="105"/>
          <w:sz w:val="24"/>
        </w:rPr>
        <w:t>Puma</w:t>
      </w:r>
      <w:r>
        <w:rPr>
          <w:rFonts w:ascii="Palatino Linotype" w:hAnsi="Palatino Linotype"/>
          <w:i/>
          <w:spacing w:val="-18"/>
          <w:w w:val="105"/>
          <w:sz w:val="24"/>
        </w:rPr>
        <w:t> </w:t>
      </w:r>
      <w:r>
        <w:rPr>
          <w:rFonts w:ascii="Palatino Linotype" w:hAnsi="Palatino Linotype"/>
          <w:i/>
          <w:w w:val="105"/>
          <w:sz w:val="24"/>
        </w:rPr>
        <w:t>concolor</w:t>
      </w:r>
      <w:r>
        <w:rPr>
          <w:rFonts w:ascii="Palatino Linotype" w:hAnsi="Palatino Linotype"/>
          <w:i/>
          <w:spacing w:val="-16"/>
          <w:w w:val="105"/>
          <w:sz w:val="24"/>
        </w:rPr>
        <w:t> </w:t>
      </w:r>
      <w:r>
        <w:rPr>
          <w:w w:val="105"/>
          <w:sz w:val="24"/>
        </w:rPr>
        <w:t>y</w:t>
      </w:r>
      <w:r>
        <w:rPr>
          <w:spacing w:val="-9"/>
          <w:w w:val="105"/>
          <w:sz w:val="24"/>
        </w:rPr>
        <w:t> </w:t>
      </w:r>
      <w:r>
        <w:rPr>
          <w:w w:val="105"/>
          <w:sz w:val="24"/>
        </w:rPr>
        <w:t>sus</w:t>
      </w:r>
      <w:r>
        <w:rPr>
          <w:spacing w:val="-10"/>
          <w:w w:val="105"/>
          <w:sz w:val="24"/>
        </w:rPr>
        <w:t> </w:t>
      </w:r>
      <w:r>
        <w:rPr>
          <w:w w:val="105"/>
          <w:sz w:val="24"/>
        </w:rPr>
        <w:t>presas</w:t>
      </w:r>
      <w:r>
        <w:rPr>
          <w:spacing w:val="-11"/>
          <w:w w:val="105"/>
          <w:sz w:val="24"/>
        </w:rPr>
        <w:t> </w:t>
      </w:r>
      <w:r>
        <w:rPr>
          <w:w w:val="105"/>
          <w:sz w:val="24"/>
        </w:rPr>
        <w:t>principales en la Sierra Nanchititla,</w:t>
      </w:r>
      <w:r>
        <w:rPr>
          <w:spacing w:val="-1"/>
          <w:w w:val="105"/>
          <w:sz w:val="24"/>
        </w:rPr>
        <w:t> </w:t>
      </w:r>
      <w:r>
        <w:rPr>
          <w:w w:val="105"/>
          <w:sz w:val="24"/>
        </w:rPr>
        <w:t>México.</w:t>
      </w:r>
    </w:p>
    <w:p>
      <w:pPr>
        <w:pStyle w:val="BodyText"/>
        <w:rPr>
          <w:rFonts w:ascii="Cambria"/>
        </w:rPr>
      </w:pPr>
    </w:p>
    <w:p>
      <w:pPr>
        <w:pStyle w:val="BodyText"/>
        <w:spacing w:before="7"/>
        <w:rPr>
          <w:rFonts w:ascii="Cambria"/>
          <w:sz w:val="18"/>
        </w:rPr>
      </w:pPr>
    </w:p>
    <w:p>
      <w:pPr>
        <w:pStyle w:val="Heading1"/>
        <w:spacing w:before="1"/>
      </w:pPr>
      <w:bookmarkStart w:name="_bookmark7" w:id="8"/>
      <w:bookmarkEnd w:id="8"/>
      <w:r>
        <w:rPr>
          <w:b w:val="0"/>
        </w:rPr>
      </w:r>
      <w:r>
        <w:rPr/>
        <w:t>OBJETIVOS GENERALES</w:t>
      </w:r>
    </w:p>
    <w:p>
      <w:pPr>
        <w:pStyle w:val="BodyText"/>
        <w:spacing w:before="7"/>
        <w:rPr>
          <w:rFonts w:ascii="Palatino Linotype"/>
          <w:b/>
          <w:sz w:val="40"/>
        </w:rPr>
      </w:pPr>
    </w:p>
    <w:p>
      <w:pPr>
        <w:pStyle w:val="ListParagraph"/>
        <w:numPr>
          <w:ilvl w:val="3"/>
          <w:numId w:val="2"/>
        </w:numPr>
        <w:tabs>
          <w:tab w:pos="1182" w:val="left" w:leader="none"/>
        </w:tabs>
        <w:spacing w:line="487" w:lineRule="auto" w:before="0" w:after="0"/>
        <w:ind w:left="1182" w:right="102" w:hanging="360"/>
        <w:jc w:val="left"/>
        <w:rPr>
          <w:rFonts w:ascii="Palatino Linotype" w:hAnsi="Palatino Linotype"/>
          <w:i/>
          <w:sz w:val="24"/>
        </w:rPr>
      </w:pPr>
      <w:r>
        <w:rPr>
          <w:w w:val="105"/>
          <w:sz w:val="24"/>
        </w:rPr>
        <w:t>Estimar la variación temporal de la densidad poblacional y patrón de actividad</w:t>
      </w:r>
      <w:r>
        <w:rPr>
          <w:spacing w:val="-21"/>
          <w:w w:val="105"/>
          <w:sz w:val="24"/>
        </w:rPr>
        <w:t> </w:t>
      </w:r>
      <w:r>
        <w:rPr>
          <w:w w:val="105"/>
          <w:sz w:val="24"/>
        </w:rPr>
        <w:t>de</w:t>
      </w:r>
      <w:r>
        <w:rPr>
          <w:spacing w:val="-20"/>
          <w:w w:val="105"/>
          <w:sz w:val="24"/>
        </w:rPr>
        <w:t> </w:t>
      </w:r>
      <w:r>
        <w:rPr>
          <w:rFonts w:ascii="Palatino Linotype" w:hAnsi="Palatino Linotype"/>
          <w:i/>
          <w:w w:val="105"/>
          <w:sz w:val="24"/>
        </w:rPr>
        <w:t>Puma</w:t>
      </w:r>
      <w:r>
        <w:rPr>
          <w:rFonts w:ascii="Palatino Linotype" w:hAnsi="Palatino Linotype"/>
          <w:i/>
          <w:spacing w:val="-29"/>
          <w:w w:val="105"/>
          <w:sz w:val="24"/>
        </w:rPr>
        <w:t> </w:t>
      </w:r>
      <w:r>
        <w:rPr>
          <w:rFonts w:ascii="Palatino Linotype" w:hAnsi="Palatino Linotype"/>
          <w:i/>
          <w:w w:val="105"/>
          <w:sz w:val="24"/>
        </w:rPr>
        <w:t>concolor.</w:t>
      </w:r>
    </w:p>
    <w:p>
      <w:pPr>
        <w:pStyle w:val="ListParagraph"/>
        <w:numPr>
          <w:ilvl w:val="3"/>
          <w:numId w:val="2"/>
        </w:numPr>
        <w:tabs>
          <w:tab w:pos="1182" w:val="left" w:leader="none"/>
        </w:tabs>
        <w:spacing w:line="489" w:lineRule="auto" w:before="163" w:after="0"/>
        <w:ind w:left="1182" w:right="102" w:hanging="360"/>
        <w:jc w:val="left"/>
        <w:rPr>
          <w:rFonts w:ascii="Palatino Linotype" w:hAnsi="Palatino Linotype"/>
          <w:i/>
          <w:sz w:val="24"/>
        </w:rPr>
      </w:pPr>
      <w:r>
        <w:rPr>
          <w:w w:val="105"/>
          <w:sz w:val="24"/>
        </w:rPr>
        <w:t>Estimar la variación temporal de la densidad poblacional y patrón de actividad</w:t>
      </w:r>
      <w:r>
        <w:rPr>
          <w:spacing w:val="-34"/>
          <w:w w:val="105"/>
          <w:sz w:val="24"/>
        </w:rPr>
        <w:t> </w:t>
      </w:r>
      <w:r>
        <w:rPr>
          <w:w w:val="105"/>
          <w:sz w:val="24"/>
        </w:rPr>
        <w:t>de</w:t>
      </w:r>
      <w:r>
        <w:rPr>
          <w:spacing w:val="-33"/>
          <w:w w:val="105"/>
          <w:sz w:val="24"/>
        </w:rPr>
        <w:t> </w:t>
      </w:r>
      <w:r>
        <w:rPr>
          <w:rFonts w:ascii="Palatino Linotype" w:hAnsi="Palatino Linotype"/>
          <w:i/>
          <w:w w:val="105"/>
          <w:sz w:val="24"/>
        </w:rPr>
        <w:t>Dasypus</w:t>
      </w:r>
      <w:r>
        <w:rPr>
          <w:rFonts w:ascii="Palatino Linotype" w:hAnsi="Palatino Linotype"/>
          <w:i/>
          <w:spacing w:val="-41"/>
          <w:w w:val="105"/>
          <w:sz w:val="24"/>
        </w:rPr>
        <w:t> </w:t>
      </w:r>
      <w:r>
        <w:rPr>
          <w:rFonts w:ascii="Palatino Linotype" w:hAnsi="Palatino Linotype"/>
          <w:i/>
          <w:w w:val="105"/>
          <w:sz w:val="24"/>
        </w:rPr>
        <w:t>novemcinctus,</w:t>
      </w:r>
      <w:r>
        <w:rPr>
          <w:rFonts w:ascii="Palatino Linotype" w:hAnsi="Palatino Linotype"/>
          <w:i/>
          <w:spacing w:val="-41"/>
          <w:w w:val="105"/>
          <w:sz w:val="24"/>
        </w:rPr>
        <w:t> </w:t>
      </w:r>
      <w:r>
        <w:rPr>
          <w:rFonts w:ascii="Palatino Linotype" w:hAnsi="Palatino Linotype"/>
          <w:i/>
          <w:w w:val="105"/>
          <w:sz w:val="24"/>
        </w:rPr>
        <w:t>Nasua</w:t>
      </w:r>
      <w:r>
        <w:rPr>
          <w:rFonts w:ascii="Palatino Linotype" w:hAnsi="Palatino Linotype"/>
          <w:i/>
          <w:spacing w:val="-41"/>
          <w:w w:val="105"/>
          <w:sz w:val="24"/>
        </w:rPr>
        <w:t> </w:t>
      </w:r>
      <w:r>
        <w:rPr>
          <w:rFonts w:ascii="Palatino Linotype" w:hAnsi="Palatino Linotype"/>
          <w:i/>
          <w:w w:val="105"/>
          <w:sz w:val="24"/>
        </w:rPr>
        <w:t>narica</w:t>
      </w:r>
      <w:r>
        <w:rPr>
          <w:rFonts w:ascii="Palatino Linotype" w:hAnsi="Palatino Linotype"/>
          <w:i/>
          <w:spacing w:val="-40"/>
          <w:w w:val="105"/>
          <w:sz w:val="24"/>
        </w:rPr>
        <w:t> </w:t>
      </w:r>
      <w:r>
        <w:rPr>
          <w:w w:val="105"/>
          <w:sz w:val="24"/>
        </w:rPr>
        <w:t>y</w:t>
      </w:r>
      <w:r>
        <w:rPr>
          <w:spacing w:val="-33"/>
          <w:w w:val="105"/>
          <w:sz w:val="24"/>
        </w:rPr>
        <w:t> </w:t>
      </w:r>
      <w:r>
        <w:rPr>
          <w:rFonts w:ascii="Palatino Linotype" w:hAnsi="Palatino Linotype"/>
          <w:i/>
          <w:w w:val="105"/>
          <w:sz w:val="24"/>
        </w:rPr>
        <w:t>Odocoileus</w:t>
      </w:r>
      <w:r>
        <w:rPr>
          <w:rFonts w:ascii="Palatino Linotype" w:hAnsi="Palatino Linotype"/>
          <w:i/>
          <w:spacing w:val="-41"/>
          <w:w w:val="105"/>
          <w:sz w:val="24"/>
        </w:rPr>
        <w:t> </w:t>
      </w:r>
      <w:r>
        <w:rPr>
          <w:rFonts w:ascii="Palatino Linotype" w:hAnsi="Palatino Linotype"/>
          <w:i/>
          <w:w w:val="105"/>
          <w:sz w:val="24"/>
        </w:rPr>
        <w:t>virginianus.</w:t>
      </w:r>
    </w:p>
    <w:p>
      <w:pPr>
        <w:pStyle w:val="ListParagraph"/>
        <w:numPr>
          <w:ilvl w:val="3"/>
          <w:numId w:val="2"/>
        </w:numPr>
        <w:tabs>
          <w:tab w:pos="1182" w:val="left" w:leader="none"/>
        </w:tabs>
        <w:spacing w:line="508" w:lineRule="auto" w:before="160" w:after="0"/>
        <w:ind w:left="1182" w:right="98" w:hanging="360"/>
        <w:jc w:val="left"/>
        <w:rPr>
          <w:sz w:val="24"/>
        </w:rPr>
      </w:pPr>
      <w:r>
        <w:rPr>
          <w:w w:val="105"/>
          <w:sz w:val="24"/>
        </w:rPr>
        <w:t>Determinar las interacciones depredador-presa a partir de su patrón de actividad y densidad</w:t>
      </w:r>
      <w:r>
        <w:rPr>
          <w:spacing w:val="11"/>
          <w:w w:val="105"/>
          <w:sz w:val="24"/>
        </w:rPr>
        <w:t> </w:t>
      </w:r>
      <w:r>
        <w:rPr>
          <w:w w:val="105"/>
          <w:sz w:val="24"/>
        </w:rPr>
        <w:t>poblacional.</w:t>
      </w:r>
    </w:p>
    <w:p>
      <w:pPr>
        <w:pStyle w:val="ListParagraph"/>
        <w:numPr>
          <w:ilvl w:val="3"/>
          <w:numId w:val="2"/>
        </w:numPr>
        <w:tabs>
          <w:tab w:pos="1182" w:val="left" w:leader="none"/>
        </w:tabs>
        <w:spacing w:line="240" w:lineRule="auto" w:before="176" w:after="0"/>
        <w:ind w:left="1182" w:right="0" w:hanging="360"/>
        <w:jc w:val="left"/>
        <w:rPr>
          <w:rFonts w:ascii="Palatino Linotype" w:hAnsi="Palatino Linotype"/>
          <w:i/>
          <w:sz w:val="24"/>
        </w:rPr>
      </w:pPr>
      <w:r>
        <w:rPr>
          <w:w w:val="105"/>
          <w:sz w:val="24"/>
        </w:rPr>
        <w:t>Estimar</w:t>
      </w:r>
      <w:r>
        <w:rPr>
          <w:spacing w:val="-16"/>
          <w:w w:val="105"/>
          <w:sz w:val="24"/>
        </w:rPr>
        <w:t> </w:t>
      </w:r>
      <w:r>
        <w:rPr>
          <w:w w:val="105"/>
          <w:sz w:val="24"/>
        </w:rPr>
        <w:t>supervivencia,</w:t>
      </w:r>
      <w:r>
        <w:rPr>
          <w:spacing w:val="-17"/>
          <w:w w:val="105"/>
          <w:sz w:val="24"/>
        </w:rPr>
        <w:t> </w:t>
      </w:r>
      <w:r>
        <w:rPr>
          <w:w w:val="105"/>
          <w:sz w:val="24"/>
        </w:rPr>
        <w:t>migración</w:t>
      </w:r>
      <w:r>
        <w:rPr>
          <w:spacing w:val="-17"/>
          <w:w w:val="105"/>
          <w:sz w:val="24"/>
        </w:rPr>
        <w:t> </w:t>
      </w:r>
      <w:r>
        <w:rPr>
          <w:w w:val="105"/>
          <w:sz w:val="24"/>
        </w:rPr>
        <w:t>e</w:t>
      </w:r>
      <w:r>
        <w:rPr>
          <w:spacing w:val="-17"/>
          <w:w w:val="105"/>
          <w:sz w:val="24"/>
        </w:rPr>
        <w:t> </w:t>
      </w:r>
      <w:r>
        <w:rPr>
          <w:w w:val="105"/>
          <w:sz w:val="24"/>
        </w:rPr>
        <w:t>inmigración</w:t>
      </w:r>
      <w:r>
        <w:rPr>
          <w:spacing w:val="-17"/>
          <w:w w:val="105"/>
          <w:sz w:val="24"/>
        </w:rPr>
        <w:t> </w:t>
      </w:r>
      <w:r>
        <w:rPr>
          <w:w w:val="105"/>
          <w:sz w:val="24"/>
        </w:rPr>
        <w:t>de</w:t>
      </w:r>
      <w:r>
        <w:rPr>
          <w:spacing w:val="-16"/>
          <w:w w:val="105"/>
          <w:sz w:val="24"/>
        </w:rPr>
        <w:t> </w:t>
      </w:r>
      <w:r>
        <w:rPr>
          <w:rFonts w:ascii="Palatino Linotype" w:hAnsi="Palatino Linotype"/>
          <w:i/>
          <w:w w:val="105"/>
          <w:sz w:val="24"/>
        </w:rPr>
        <w:t>Puma</w:t>
      </w:r>
      <w:r>
        <w:rPr>
          <w:rFonts w:ascii="Palatino Linotype" w:hAnsi="Palatino Linotype"/>
          <w:i/>
          <w:spacing w:val="-25"/>
          <w:w w:val="105"/>
          <w:sz w:val="24"/>
        </w:rPr>
        <w:t> </w:t>
      </w:r>
      <w:r>
        <w:rPr>
          <w:rFonts w:ascii="Palatino Linotype" w:hAnsi="Palatino Linotype"/>
          <w:i/>
          <w:w w:val="105"/>
          <w:sz w:val="24"/>
        </w:rPr>
        <w:t>concolor.</w:t>
      </w:r>
    </w:p>
    <w:p>
      <w:pPr>
        <w:spacing w:after="0" w:line="240" w:lineRule="auto"/>
        <w:jc w:val="left"/>
        <w:rPr>
          <w:rFonts w:ascii="Palatino Linotype" w:hAnsi="Palatino Linotype"/>
          <w:sz w:val="24"/>
        </w:rPr>
        <w:sectPr>
          <w:pgSz w:w="12240" w:h="15840"/>
          <w:pgMar w:header="740" w:footer="779" w:top="960" w:bottom="960" w:left="1600" w:right="160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Heading1"/>
        <w:spacing w:before="186"/>
        <w:ind w:left="114" w:right="228"/>
        <w:jc w:val="center"/>
      </w:pPr>
      <w:bookmarkStart w:name="_bookmark8" w:id="9"/>
      <w:bookmarkEnd w:id="9"/>
      <w:r>
        <w:rPr>
          <w:b w:val="0"/>
        </w:rPr>
      </w:r>
      <w:r>
        <w:rPr/>
        <w:t>CAPÍTILO I</w:t>
      </w:r>
    </w:p>
    <w:p>
      <w:pPr>
        <w:spacing w:after="0"/>
        <w:jc w:val="center"/>
        <w:sectPr>
          <w:pgSz w:w="12240" w:h="15840"/>
          <w:pgMar w:header="740" w:footer="779" w:top="960" w:bottom="960" w:left="1720" w:right="1600"/>
        </w:sectPr>
      </w:pPr>
    </w:p>
    <w:p>
      <w:pPr>
        <w:pStyle w:val="BodyText"/>
        <w:spacing w:before="13"/>
        <w:rPr>
          <w:rFonts w:ascii="Palatino Linotype"/>
          <w:b/>
          <w:sz w:val="27"/>
        </w:rPr>
      </w:pPr>
    </w:p>
    <w:p>
      <w:pPr>
        <w:pStyle w:val="BodyText"/>
        <w:spacing w:line="480" w:lineRule="auto" w:before="69" w:after="19"/>
        <w:ind w:left="4133" w:right="197" w:hanging="3975"/>
      </w:pPr>
      <w:r>
        <w:rPr/>
        <w:t>CAPÍTULO I. Publicado en el libro “Ecología del </w:t>
      </w:r>
      <w:r>
        <w:rPr>
          <w:i/>
        </w:rPr>
        <w:t>Puma concolor </w:t>
      </w:r>
      <w:r>
        <w:rPr/>
        <w:t>en la Sierra Nanchititla, México</w:t>
      </w:r>
    </w:p>
    <w:p>
      <w:pPr>
        <w:pStyle w:val="BodyText"/>
        <w:ind w:left="111"/>
        <w:rPr>
          <w:sz w:val="20"/>
        </w:rPr>
      </w:pPr>
      <w:r>
        <w:rPr>
          <w:sz w:val="20"/>
        </w:rPr>
        <w:drawing>
          <wp:inline distT="0" distB="0" distL="0" distR="0">
            <wp:extent cx="5609473" cy="751027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8" cstate="print"/>
                    <a:stretch>
                      <a:fillRect/>
                    </a:stretch>
                  </pic:blipFill>
                  <pic:spPr>
                    <a:xfrm>
                      <a:off x="0" y="0"/>
                      <a:ext cx="5609473" cy="7510272"/>
                    </a:xfrm>
                    <a:prstGeom prst="rect">
                      <a:avLst/>
                    </a:prstGeom>
                  </pic:spPr>
                </pic:pic>
              </a:graphicData>
            </a:graphic>
          </wp:inline>
        </w:drawing>
      </w:r>
      <w:r>
        <w:rPr>
          <w:sz w:val="20"/>
        </w:rPr>
      </w:r>
    </w:p>
    <w:p>
      <w:pPr>
        <w:spacing w:after="0"/>
        <w:rPr>
          <w:sz w:val="20"/>
        </w:rPr>
        <w:sectPr>
          <w:pgSz w:w="12240" w:h="15840"/>
          <w:pgMar w:header="740" w:footer="779" w:top="960" w:bottom="960" w:left="1620" w:right="1560"/>
        </w:sect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ind w:left="111"/>
        <w:rPr>
          <w:sz w:val="20"/>
        </w:rPr>
      </w:pPr>
      <w:r>
        <w:rPr>
          <w:sz w:val="20"/>
        </w:rPr>
        <w:drawing>
          <wp:inline distT="0" distB="0" distL="0" distR="0">
            <wp:extent cx="5597461" cy="770534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9" cstate="print"/>
                    <a:stretch>
                      <a:fillRect/>
                    </a:stretch>
                  </pic:blipFill>
                  <pic:spPr>
                    <a:xfrm>
                      <a:off x="0" y="0"/>
                      <a:ext cx="5597461" cy="7705344"/>
                    </a:xfrm>
                    <a:prstGeom prst="rect">
                      <a:avLst/>
                    </a:prstGeom>
                  </pic:spPr>
                </pic:pic>
              </a:graphicData>
            </a:graphic>
          </wp:inline>
        </w:drawing>
      </w:r>
      <w:r>
        <w:rPr>
          <w:sz w:val="20"/>
        </w:rPr>
      </w:r>
    </w:p>
    <w:p>
      <w:pPr>
        <w:spacing w:after="0"/>
        <w:rPr>
          <w:sz w:val="20"/>
        </w:rPr>
        <w:sectPr>
          <w:pgSz w:w="12240" w:h="15840"/>
          <w:pgMar w:header="740" w:footer="779" w:top="960" w:bottom="960" w:left="1620" w:right="1560"/>
        </w:sectPr>
      </w:pPr>
    </w:p>
    <w:p>
      <w:pPr>
        <w:pStyle w:val="BodyText"/>
        <w:rPr>
          <w:sz w:val="20"/>
        </w:rPr>
      </w:pPr>
    </w:p>
    <w:p>
      <w:pPr>
        <w:pStyle w:val="BodyText"/>
        <w:rPr>
          <w:sz w:val="20"/>
        </w:rPr>
      </w:pPr>
    </w:p>
    <w:p>
      <w:pPr>
        <w:pStyle w:val="BodyText"/>
        <w:rPr>
          <w:sz w:val="20"/>
        </w:rPr>
      </w:pPr>
    </w:p>
    <w:p>
      <w:pPr>
        <w:pStyle w:val="BodyText"/>
        <w:spacing w:before="7"/>
        <w:rPr>
          <w:sz w:val="27"/>
        </w:rPr>
      </w:pPr>
    </w:p>
    <w:p>
      <w:pPr>
        <w:pStyle w:val="BodyText"/>
        <w:ind w:left="1550"/>
        <w:rPr>
          <w:sz w:val="20"/>
        </w:rPr>
      </w:pPr>
      <w:r>
        <w:rPr>
          <w:sz w:val="20"/>
        </w:rPr>
        <w:drawing>
          <wp:inline distT="0" distB="0" distL="0" distR="0">
            <wp:extent cx="3599423" cy="5620131"/>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0" cstate="print"/>
                    <a:stretch>
                      <a:fillRect/>
                    </a:stretch>
                  </pic:blipFill>
                  <pic:spPr>
                    <a:xfrm>
                      <a:off x="0" y="0"/>
                      <a:ext cx="3599423" cy="5620131"/>
                    </a:xfrm>
                    <a:prstGeom prst="rect">
                      <a:avLst/>
                    </a:prstGeom>
                  </pic:spPr>
                </pic:pic>
              </a:graphicData>
            </a:graphic>
          </wp:inline>
        </w:drawing>
      </w:r>
      <w:r>
        <w:rPr>
          <w:sz w:val="20"/>
        </w:rPr>
      </w:r>
    </w:p>
    <w:p>
      <w:pPr>
        <w:spacing w:after="0"/>
        <w:rPr>
          <w:sz w:val="20"/>
        </w:rPr>
        <w:sectPr>
          <w:pgSz w:w="12240" w:h="15840"/>
          <w:pgMar w:header="740" w:footer="779" w:top="960" w:bottom="960" w:left="1720" w:right="1600"/>
        </w:sectPr>
      </w:pPr>
    </w:p>
    <w:p>
      <w:pPr>
        <w:pStyle w:val="BodyText"/>
        <w:rPr>
          <w:sz w:val="20"/>
        </w:rPr>
      </w:pPr>
    </w:p>
    <w:p>
      <w:pPr>
        <w:pStyle w:val="BodyText"/>
        <w:spacing w:before="7"/>
        <w:rPr>
          <w:sz w:val="19"/>
        </w:rPr>
      </w:pPr>
    </w:p>
    <w:p>
      <w:pPr>
        <w:pStyle w:val="BodyText"/>
        <w:ind w:left="1430"/>
        <w:rPr>
          <w:sz w:val="20"/>
        </w:rPr>
      </w:pPr>
      <w:r>
        <w:rPr>
          <w:sz w:val="20"/>
        </w:rPr>
        <w:drawing>
          <wp:inline distT="0" distB="0" distL="0" distR="0">
            <wp:extent cx="3758059" cy="5972365"/>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1" cstate="print"/>
                    <a:stretch>
                      <a:fillRect/>
                    </a:stretch>
                  </pic:blipFill>
                  <pic:spPr>
                    <a:xfrm>
                      <a:off x="0" y="0"/>
                      <a:ext cx="3758059" cy="5972365"/>
                    </a:xfrm>
                    <a:prstGeom prst="rect">
                      <a:avLst/>
                    </a:prstGeom>
                  </pic:spPr>
                </pic:pic>
              </a:graphicData>
            </a:graphic>
          </wp:inline>
        </w:drawing>
      </w:r>
      <w:r>
        <w:rPr>
          <w:sz w:val="20"/>
        </w:rPr>
      </w:r>
    </w:p>
    <w:p>
      <w:pPr>
        <w:spacing w:after="0"/>
        <w:rPr>
          <w:sz w:val="20"/>
        </w:rPr>
        <w:sectPr>
          <w:pgSz w:w="12240" w:h="15840"/>
          <w:pgMar w:header="740" w:footer="779" w:top="960" w:bottom="960" w:left="1720" w:right="1600"/>
        </w:sectPr>
      </w:pPr>
    </w:p>
    <w:p>
      <w:pPr>
        <w:pStyle w:val="BodyText"/>
        <w:rPr>
          <w:sz w:val="20"/>
        </w:rPr>
      </w:pPr>
    </w:p>
    <w:p>
      <w:pPr>
        <w:pStyle w:val="BodyText"/>
        <w:spacing w:before="7"/>
        <w:rPr>
          <w:sz w:val="19"/>
        </w:rPr>
      </w:pPr>
    </w:p>
    <w:p>
      <w:pPr>
        <w:pStyle w:val="BodyText"/>
        <w:ind w:left="1650"/>
        <w:rPr>
          <w:sz w:val="20"/>
        </w:rPr>
      </w:pPr>
      <w:r>
        <w:rPr>
          <w:sz w:val="20"/>
        </w:rPr>
        <w:drawing>
          <wp:inline distT="0" distB="0" distL="0" distR="0">
            <wp:extent cx="3510037" cy="5600700"/>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2" cstate="print"/>
                    <a:stretch>
                      <a:fillRect/>
                    </a:stretch>
                  </pic:blipFill>
                  <pic:spPr>
                    <a:xfrm>
                      <a:off x="0" y="0"/>
                      <a:ext cx="3510037" cy="5600700"/>
                    </a:xfrm>
                    <a:prstGeom prst="rect">
                      <a:avLst/>
                    </a:prstGeom>
                  </pic:spPr>
                </pic:pic>
              </a:graphicData>
            </a:graphic>
          </wp:inline>
        </w:drawing>
      </w:r>
      <w:r>
        <w:rPr>
          <w:sz w:val="20"/>
        </w:rPr>
      </w:r>
    </w:p>
    <w:p>
      <w:pPr>
        <w:spacing w:after="0"/>
        <w:rPr>
          <w:sz w:val="20"/>
        </w:rPr>
        <w:sectPr>
          <w:pgSz w:w="12240" w:h="15840"/>
          <w:pgMar w:header="740" w:footer="779" w:top="960" w:bottom="960" w:left="1720" w:right="1600"/>
        </w:sectPr>
      </w:pPr>
    </w:p>
    <w:p>
      <w:pPr>
        <w:pStyle w:val="BodyText"/>
        <w:rPr>
          <w:sz w:val="20"/>
        </w:rPr>
      </w:pPr>
    </w:p>
    <w:p>
      <w:pPr>
        <w:pStyle w:val="BodyText"/>
        <w:rPr>
          <w:sz w:val="20"/>
        </w:rPr>
      </w:pPr>
    </w:p>
    <w:p>
      <w:pPr>
        <w:pStyle w:val="BodyText"/>
        <w:spacing w:before="10"/>
        <w:rPr>
          <w:sz w:val="23"/>
        </w:rPr>
      </w:pPr>
    </w:p>
    <w:p>
      <w:pPr>
        <w:pStyle w:val="BodyText"/>
        <w:ind w:left="920"/>
        <w:rPr>
          <w:sz w:val="20"/>
        </w:rPr>
      </w:pPr>
      <w:r>
        <w:rPr>
          <w:sz w:val="20"/>
        </w:rPr>
        <w:drawing>
          <wp:inline distT="0" distB="0" distL="0" distR="0">
            <wp:extent cx="4364613" cy="6848094"/>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3" cstate="print"/>
                    <a:stretch>
                      <a:fillRect/>
                    </a:stretch>
                  </pic:blipFill>
                  <pic:spPr>
                    <a:xfrm>
                      <a:off x="0" y="0"/>
                      <a:ext cx="4364613" cy="6848094"/>
                    </a:xfrm>
                    <a:prstGeom prst="rect">
                      <a:avLst/>
                    </a:prstGeom>
                  </pic:spPr>
                </pic:pic>
              </a:graphicData>
            </a:graphic>
          </wp:inline>
        </w:drawing>
      </w:r>
      <w:r>
        <w:rPr>
          <w:sz w:val="20"/>
        </w:rPr>
      </w:r>
    </w:p>
    <w:p>
      <w:pPr>
        <w:spacing w:after="0"/>
        <w:rPr>
          <w:sz w:val="20"/>
        </w:rPr>
        <w:sectPr>
          <w:pgSz w:w="12240" w:h="15840"/>
          <w:pgMar w:header="740" w:footer="779" w:top="960" w:bottom="960" w:left="1720" w:right="1600"/>
        </w:sectPr>
      </w:pPr>
    </w:p>
    <w:p>
      <w:pPr>
        <w:pStyle w:val="BodyText"/>
        <w:rPr>
          <w:sz w:val="20"/>
        </w:rPr>
      </w:pPr>
    </w:p>
    <w:p>
      <w:pPr>
        <w:pStyle w:val="BodyText"/>
        <w:spacing w:before="5"/>
        <w:rPr>
          <w:sz w:val="19"/>
        </w:rPr>
      </w:pPr>
    </w:p>
    <w:p>
      <w:pPr>
        <w:pStyle w:val="ListParagraph"/>
        <w:numPr>
          <w:ilvl w:val="1"/>
          <w:numId w:val="3"/>
        </w:numPr>
        <w:tabs>
          <w:tab w:pos="1917" w:val="left" w:leader="none"/>
        </w:tabs>
        <w:spacing w:line="240" w:lineRule="auto" w:before="0" w:after="0"/>
        <w:ind w:left="1916" w:right="0" w:hanging="360"/>
        <w:jc w:val="left"/>
        <w:rPr>
          <w:rFonts w:ascii="Times New Roman" w:hAnsi="Times New Roman"/>
          <w:b/>
          <w:sz w:val="24"/>
        </w:rPr>
      </w:pPr>
      <w:bookmarkStart w:name="_bookmark9" w:id="10"/>
      <w:bookmarkEnd w:id="10"/>
      <w:r>
        <w:rPr/>
      </w:r>
      <w:bookmarkStart w:name="_bookmark9" w:id="11"/>
      <w:bookmarkEnd w:id="11"/>
      <w:r>
        <w:rPr>
          <w:rFonts w:ascii="Times New Roman" w:hAnsi="Times New Roman"/>
          <w:b/>
          <w:sz w:val="24"/>
        </w:rPr>
        <w:t>S</w:t>
      </w:r>
      <w:r>
        <w:rPr>
          <w:rFonts w:ascii="Times New Roman" w:hAnsi="Times New Roman"/>
          <w:b/>
          <w:sz w:val="24"/>
        </w:rPr>
        <w:t>ITUACIÓN ACTUAL DE </w:t>
      </w:r>
      <w:r>
        <w:rPr>
          <w:rFonts w:ascii="Times New Roman" w:hAnsi="Times New Roman"/>
          <w:b/>
          <w:i/>
          <w:sz w:val="24"/>
        </w:rPr>
        <w:t>Puma concolor </w:t>
      </w:r>
      <w:r>
        <w:rPr>
          <w:rFonts w:ascii="Times New Roman" w:hAnsi="Times New Roman"/>
          <w:b/>
          <w:sz w:val="24"/>
        </w:rPr>
        <w:t>EN</w:t>
      </w:r>
      <w:r>
        <w:rPr>
          <w:rFonts w:ascii="Times New Roman" w:hAnsi="Times New Roman"/>
          <w:b/>
          <w:spacing w:val="-9"/>
          <w:sz w:val="24"/>
        </w:rPr>
        <w:t> </w:t>
      </w:r>
      <w:r>
        <w:rPr>
          <w:rFonts w:ascii="Times New Roman" w:hAnsi="Times New Roman"/>
          <w:b/>
          <w:sz w:val="24"/>
        </w:rPr>
        <w:t>MÉXICO.</w:t>
      </w:r>
    </w:p>
    <w:p>
      <w:pPr>
        <w:pStyle w:val="BodyText"/>
        <w:spacing w:before="4"/>
        <w:rPr>
          <w:b/>
          <w:sz w:val="23"/>
        </w:rPr>
      </w:pPr>
    </w:p>
    <w:p>
      <w:pPr>
        <w:pStyle w:val="BodyText"/>
        <w:ind w:left="189" w:right="207"/>
        <w:jc w:val="center"/>
      </w:pPr>
      <w:r>
        <w:rPr/>
        <w:t>Leroy Soria-Díaz, Octavio Monroy-Vilchis, Martha M. Zarco-González y Rodrigo Núñez</w:t>
      </w:r>
    </w:p>
    <w:p>
      <w:pPr>
        <w:pStyle w:val="BodyText"/>
      </w:pPr>
    </w:p>
    <w:p>
      <w:pPr>
        <w:pStyle w:val="BodyText"/>
        <w:rPr>
          <w:sz w:val="25"/>
        </w:rPr>
      </w:pPr>
    </w:p>
    <w:p>
      <w:pPr>
        <w:pStyle w:val="Heading2"/>
        <w:ind w:left="189" w:right="207"/>
        <w:jc w:val="center"/>
      </w:pPr>
      <w:r>
        <w:rPr/>
        <w:t>INTRODUCCIÓN</w:t>
      </w:r>
    </w:p>
    <w:p>
      <w:pPr>
        <w:pStyle w:val="BodyText"/>
        <w:rPr>
          <w:b/>
        </w:rPr>
      </w:pPr>
    </w:p>
    <w:p>
      <w:pPr>
        <w:pStyle w:val="BodyText"/>
        <w:spacing w:line="480" w:lineRule="auto"/>
        <w:ind w:left="102" w:right="116" w:firstLine="707"/>
        <w:jc w:val="both"/>
      </w:pPr>
      <w:r>
        <w:rPr/>
        <w:t>El puma (</w:t>
      </w:r>
      <w:r>
        <w:rPr>
          <w:i/>
        </w:rPr>
        <w:t>Puma concolor</w:t>
      </w:r>
      <w:r>
        <w:rPr/>
        <w:t>) es el segundo felino más grande del continente americano, se considera especie sombrilla, indicadora del estado de conservación del  hábitat (Miller </w:t>
      </w:r>
      <w:r>
        <w:rPr>
          <w:i/>
        </w:rPr>
        <w:t>et al.</w:t>
      </w:r>
      <w:r>
        <w:rPr/>
        <w:t>, 1999; Gittleman </w:t>
      </w:r>
      <w:r>
        <w:rPr>
          <w:i/>
        </w:rPr>
        <w:t>et al.</w:t>
      </w:r>
      <w:r>
        <w:rPr/>
        <w:t>, 2001). Sin embargo son muy pocos los  trabajos a largo plazo que se han realizado sobre esta especie en México. Se sabe que las poblaciones de puma en Centro y Sudamérica, han ido disminuyendo continuamente debido a la fragmentación de su hábitat, caza indiscriminada (puma y sus presas), por el conflicto que se genera con los ganaderos (Sunquist y Sunquist, 2002) y porque en algunos lugares  de Norteamérica, se sigue considerando como una especie cinegética (Chávez, 2005). El objetivo de este capítulo es hacer una revisión de las investigaciones ecológicas enfocadas al puma, principalmente en la República Mexicana y en general en el resto del</w:t>
      </w:r>
      <w:r>
        <w:rPr>
          <w:spacing w:val="-11"/>
        </w:rPr>
        <w:t> </w:t>
      </w:r>
      <w:r>
        <w:rPr/>
        <w:t>continente.</w:t>
      </w:r>
    </w:p>
    <w:p>
      <w:pPr>
        <w:pStyle w:val="BodyText"/>
      </w:pPr>
    </w:p>
    <w:p>
      <w:pPr>
        <w:pStyle w:val="BodyText"/>
        <w:spacing w:before="4"/>
        <w:rPr>
          <w:sz w:val="25"/>
        </w:rPr>
      </w:pPr>
    </w:p>
    <w:p>
      <w:pPr>
        <w:pStyle w:val="Heading2"/>
        <w:ind w:right="6695"/>
      </w:pPr>
      <w:r>
        <w:rPr/>
        <w:t>Distribución</w:t>
      </w:r>
    </w:p>
    <w:p>
      <w:pPr>
        <w:pStyle w:val="BodyText"/>
        <w:spacing w:before="6"/>
        <w:rPr>
          <w:b/>
          <w:sz w:val="23"/>
        </w:rPr>
      </w:pPr>
    </w:p>
    <w:p>
      <w:pPr>
        <w:pStyle w:val="BodyText"/>
        <w:spacing w:line="480" w:lineRule="auto"/>
        <w:ind w:left="102" w:right="119" w:firstLine="707"/>
        <w:jc w:val="both"/>
      </w:pPr>
      <w:r>
        <w:rPr/>
        <w:t>El puma presenta una amplia distribución en el Continente Americano, desde la provincia canadiense de la Columbia Británica y el Norte de Estados Unidos, hasta Argentina y Chile (Chávez, 2005). Altitudinalmente se encuentra desde el nivel del mar hasta los 3500 m en Norteamérica y 4500 m en Sudamérica (Logan y Sweanor, 2001). Los registros históricos de esta especie la ubican en todos los estados de la República Mexicana (Ceballos y Galindo, 1984), sin embargo se desconoce su distribución actual en el país, Centroamérica y algunas partes de Sudamérica (Nowell y Jackson, 1996). Las  preferencias</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97"/>
      </w:pPr>
      <w:r>
        <w:rPr/>
        <w:t>a nivel de microhábitat son acantilados y vegetación densa (Dixon, 1981). En México el puma ha sido asociado con todos los tipos de hábitat (Chávez, 2005).</w:t>
      </w:r>
    </w:p>
    <w:p>
      <w:pPr>
        <w:pStyle w:val="Heading2"/>
        <w:spacing w:before="15"/>
        <w:ind w:right="6695"/>
      </w:pPr>
      <w:r>
        <w:rPr/>
        <w:t>Ecología trófica</w:t>
      </w:r>
    </w:p>
    <w:p>
      <w:pPr>
        <w:pStyle w:val="BodyText"/>
        <w:spacing w:before="6"/>
        <w:rPr>
          <w:b/>
          <w:sz w:val="23"/>
        </w:rPr>
      </w:pPr>
    </w:p>
    <w:p>
      <w:pPr>
        <w:pStyle w:val="BodyText"/>
        <w:spacing w:line="480" w:lineRule="auto"/>
        <w:ind w:left="102" w:right="115" w:firstLine="707"/>
        <w:jc w:val="both"/>
      </w:pPr>
      <w:r>
        <w:rPr/>
        <w:t>El puma ha sido considerado un depredador oportunista, consume una gran variedad de mamíferos, por lo que no depende directamente de una especie en particular (Currier, 1983). En Norteamérica existe una gran cantidad de trabajos donde se describen los hábitos alimentarios de puma, en ellos se muestra que los mamíferos grandes (&gt; 20 kg) son las principales presas, sobre todo el venado cola blanca (Iriarte </w:t>
      </w:r>
      <w:r>
        <w:rPr>
          <w:i/>
        </w:rPr>
        <w:t>et al., </w:t>
      </w:r>
      <w:r>
        <w:rPr/>
        <w:t>1990, en el oeste de Norteamérica; Maehr </w:t>
      </w:r>
      <w:r>
        <w:rPr>
          <w:i/>
        </w:rPr>
        <w:t>et al., </w:t>
      </w:r>
      <w:r>
        <w:rPr/>
        <w:t>1990, en Florida ), además del cerdo salvaje (Maehr </w:t>
      </w:r>
      <w:r>
        <w:rPr>
          <w:i/>
        </w:rPr>
        <w:t>et al., </w:t>
      </w:r>
      <w:r>
        <w:rPr/>
        <w:t>1990, en Florida), venado bura, pecarí y borrego cimarrón (Cashman </w:t>
      </w:r>
      <w:r>
        <w:rPr>
          <w:i/>
        </w:rPr>
        <w:t>et al., </w:t>
      </w:r>
      <w:r>
        <w:rPr/>
        <w:t>1992, en Arizona). En lo que respecta a Centro y Sudamérica, los hábitos alimentarios no han sido bien estudiados. En Sudamérica, en especial en las regiones tropicales, se conoce que los mamíferos medianos y grandes (1-15 kg), además de algunas especies pequeñas, son las principales presas de puma (Iriarte </w:t>
      </w:r>
      <w:r>
        <w:rPr>
          <w:i/>
        </w:rPr>
        <w:t>et al., </w:t>
      </w:r>
      <w:r>
        <w:rPr/>
        <w:t>1990); entre ellas están el armadillo (Olmos,  1993, en Brasil), la paca (Romo 1995, en Perú) y la viscacha (Branch </w:t>
      </w:r>
      <w:r>
        <w:rPr>
          <w:i/>
        </w:rPr>
        <w:t>et al., </w:t>
      </w:r>
      <w:r>
        <w:rPr/>
        <w:t>1996, en Argentina). Aunque también se han reportado el pecarí y el temazate (Taber </w:t>
      </w:r>
      <w:r>
        <w:rPr>
          <w:i/>
        </w:rPr>
        <w:t>et al., </w:t>
      </w:r>
      <w:r>
        <w:rPr/>
        <w:t>1997, en Paraguay).</w:t>
      </w:r>
    </w:p>
    <w:p>
      <w:pPr>
        <w:pStyle w:val="BodyText"/>
        <w:spacing w:line="480" w:lineRule="auto" w:before="10"/>
        <w:ind w:left="102" w:right="114" w:firstLine="707"/>
        <w:jc w:val="both"/>
      </w:pPr>
      <w:r>
        <w:rPr/>
        <w:t>En México, Aranda y Sánchez-Cordero (1996) trabajaron en la Reserva de Calakmul y determinaron que la dieta de puma está compuesta principalmente de venado, pero no pudieron diferenciar si el pelo que encontraron en los excrementos era de temazate (</w:t>
      </w:r>
      <w:r>
        <w:rPr>
          <w:i/>
        </w:rPr>
        <w:t>Mazama americana</w:t>
      </w:r>
      <w:r>
        <w:rPr/>
        <w:t>) o venado cola blanca (</w:t>
      </w:r>
      <w:r>
        <w:rPr>
          <w:i/>
        </w:rPr>
        <w:t>Odocoileus virginianus</w:t>
      </w:r>
      <w:r>
        <w:rPr/>
        <w:t>). En otro estudio realizado en la Reserva de Chamela-Cuixmala, en Jalisco (Nuñez </w:t>
      </w:r>
      <w:r>
        <w:rPr>
          <w:i/>
        </w:rPr>
        <w:t>et al., </w:t>
      </w:r>
      <w:r>
        <w:rPr/>
        <w:t>2000), se  determinó que el puma tiene preferencia por consumir venado cola blanca (</w:t>
      </w:r>
      <w:r>
        <w:rPr>
          <w:i/>
        </w:rPr>
        <w:t>Odocoileus </w:t>
      </w:r>
      <w:r>
        <w:rPr>
          <w:i/>
        </w:rPr>
        <w:t>virginianus</w:t>
      </w:r>
      <w:r>
        <w:rPr/>
        <w:t>), armadillo (</w:t>
      </w:r>
      <w:r>
        <w:rPr>
          <w:i/>
        </w:rPr>
        <w:t>Dasypus novemcinctus</w:t>
      </w:r>
      <w:r>
        <w:rPr/>
        <w:t>), pecarí de collar (</w:t>
      </w:r>
      <w:r>
        <w:rPr>
          <w:i/>
        </w:rPr>
        <w:t>Tayassu tajacu</w:t>
      </w:r>
      <w:r>
        <w:rPr/>
        <w:t>),  </w:t>
      </w:r>
      <w:r>
        <w:rPr>
          <w:spacing w:val="50"/>
        </w:rPr>
        <w:t> </w:t>
      </w:r>
      <w:r>
        <w:rPr/>
        <w:t>iguana</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6"/>
        <w:jc w:val="both"/>
      </w:pPr>
      <w:r>
        <w:rPr/>
        <w:t>negra (</w:t>
      </w:r>
      <w:r>
        <w:rPr>
          <w:i/>
        </w:rPr>
        <w:t>Ctenosaura pectinata</w:t>
      </w:r>
      <w:r>
        <w:rPr/>
        <w:t>) y coatí (</w:t>
      </w:r>
      <w:r>
        <w:rPr>
          <w:i/>
        </w:rPr>
        <w:t>Nasua narica)</w:t>
      </w:r>
      <w:r>
        <w:rPr/>
        <w:t>. Rosas-Rosas </w:t>
      </w:r>
      <w:r>
        <w:rPr>
          <w:i/>
        </w:rPr>
        <w:t>et al. </w:t>
      </w:r>
      <w:r>
        <w:rPr/>
        <w:t>(2003) en el Desierto de Altar en Sonora, establecieron que la dieta está compuesta por borrego cimarrón, seguido de lagomorfos, venado y pecarí. En otra parte de Sonora, en la Sierra de San Luis, Luna y López (2005) encontraron que el puma se alimenta principalmente de venado cola blanca (</w:t>
      </w:r>
      <w:r>
        <w:rPr>
          <w:i/>
        </w:rPr>
        <w:t>Odocoileus virginianus</w:t>
      </w:r>
      <w:r>
        <w:rPr/>
        <w:t>). Chávez </w:t>
      </w:r>
      <w:r>
        <w:rPr>
          <w:i/>
        </w:rPr>
        <w:t>et al. </w:t>
      </w:r>
      <w:r>
        <w:rPr/>
        <w:t>(2007) en la Península de Yucatán, en Calakmul y Caoba, determinaron que la dieta consiste en tepezcuintle (</w:t>
      </w:r>
      <w:r>
        <w:rPr>
          <w:i/>
        </w:rPr>
        <w:t>Cuniculus paca</w:t>
      </w:r>
      <w:r>
        <w:rPr/>
        <w:t>) y serete (</w:t>
      </w:r>
      <w:r>
        <w:rPr>
          <w:i/>
        </w:rPr>
        <w:t>Dasyprocta punctata</w:t>
      </w:r>
      <w:r>
        <w:rPr/>
        <w:t>), además de venado cola blanca (</w:t>
      </w:r>
      <w:r>
        <w:rPr>
          <w:i/>
        </w:rPr>
        <w:t>Odocoileus virginianus</w:t>
      </w:r>
      <w:r>
        <w:rPr/>
        <w:t>) y temazate (</w:t>
      </w:r>
      <w:r>
        <w:rPr>
          <w:i/>
        </w:rPr>
        <w:t>Mazama americana</w:t>
      </w:r>
      <w:r>
        <w:rPr/>
        <w:t>). Finalmente, de acuerdo con Monroy-Vilchis </w:t>
      </w:r>
      <w:r>
        <w:rPr>
          <w:i/>
        </w:rPr>
        <w:t>et al. </w:t>
      </w:r>
      <w:r>
        <w:rPr/>
        <w:t>(2009) en la Sierra Nanchititla, México, el armadillo (</w:t>
      </w:r>
      <w:r>
        <w:rPr>
          <w:i/>
        </w:rPr>
        <w:t>Dasypus </w:t>
      </w:r>
      <w:r>
        <w:rPr>
          <w:i/>
        </w:rPr>
        <w:t>novemcinctus</w:t>
      </w:r>
      <w:r>
        <w:rPr/>
        <w:t>) es la presa principal, seguido de coatí (</w:t>
      </w:r>
      <w:r>
        <w:rPr>
          <w:i/>
        </w:rPr>
        <w:t>Nasua narica</w:t>
      </w:r>
      <w:r>
        <w:rPr/>
        <w:t>) y venado cola blanca (</w:t>
      </w:r>
      <w:r>
        <w:rPr>
          <w:i/>
        </w:rPr>
        <w:t>Odocoileus virginianus</w:t>
      </w:r>
      <w:r>
        <w:rPr/>
        <w:t>), en este mismo estudio se comenta que el puma mientras más se distribuye hacia los extremos del continente, es de hábitos especialistas en comparación con los que se distribuyen hacia el ecuador que tienden hacer generalistas.</w:t>
      </w:r>
    </w:p>
    <w:p>
      <w:pPr>
        <w:pStyle w:val="Heading2"/>
        <w:spacing w:before="15"/>
        <w:jc w:val="both"/>
      </w:pPr>
      <w:r>
        <w:rPr/>
        <w:t>Ámbito hogareño</w:t>
      </w:r>
    </w:p>
    <w:p>
      <w:pPr>
        <w:pStyle w:val="BodyText"/>
        <w:spacing w:before="6"/>
        <w:rPr>
          <w:b/>
          <w:sz w:val="23"/>
        </w:rPr>
      </w:pPr>
    </w:p>
    <w:p>
      <w:pPr>
        <w:pStyle w:val="BodyText"/>
        <w:spacing w:line="465" w:lineRule="auto"/>
        <w:ind w:left="102" w:right="114" w:firstLine="707"/>
        <w:jc w:val="both"/>
      </w:pPr>
      <w:r>
        <w:rPr/>
        <w:t>El ámbito hogareño para esta especie ha sido muy poco estudiado en México, en un estudio realizado con telemetría en la Reserva de Chamela-Cuixmala, en Jalisco, se determinó que el ámbito hogareño de una hembra de puma sin crías fue de 25 km</w:t>
      </w:r>
      <w:r>
        <w:rPr>
          <w:position w:val="11"/>
          <w:sz w:val="16"/>
        </w:rPr>
        <w:t>2 </w:t>
      </w:r>
      <w:r>
        <w:rPr/>
        <w:t>en la estación seca, y se menciona que hembras con crías utilizan una menor área, pero que esta puede ir aumentando conforme las crías crecen. En el mismo estudio se observó que los machos utilizaron alrededor de 60 km</w:t>
      </w:r>
      <w:r>
        <w:rPr>
          <w:position w:val="11"/>
          <w:sz w:val="16"/>
        </w:rPr>
        <w:t>2</w:t>
      </w:r>
      <w:r>
        <w:rPr/>
        <w:t>. Durante la época de lluvias las hembras tuvieron un ámbito hogareño de 60 km</w:t>
      </w:r>
      <w:r>
        <w:rPr>
          <w:position w:val="11"/>
          <w:sz w:val="16"/>
        </w:rPr>
        <w:t>2 </w:t>
      </w:r>
      <w:r>
        <w:rPr/>
        <w:t>y los machos de 90 km</w:t>
      </w:r>
      <w:r>
        <w:rPr>
          <w:position w:val="11"/>
          <w:sz w:val="16"/>
        </w:rPr>
        <w:t>2 </w:t>
      </w:r>
      <w:r>
        <w:rPr/>
        <w:t>(Nuñez </w:t>
      </w:r>
      <w:r>
        <w:rPr>
          <w:i/>
        </w:rPr>
        <w:t>et al., </w:t>
      </w:r>
      <w:r>
        <w:rPr/>
        <w:t>2002). En la Reserva de la Biosfera de Calakmul las áreas de acción mencionadas fueron de 81 y 61 km</w:t>
      </w:r>
      <w:r>
        <w:rPr>
          <w:position w:val="11"/>
          <w:sz w:val="16"/>
        </w:rPr>
        <w:t>2 </w:t>
      </w:r>
      <w:r>
        <w:rPr/>
        <w:t>para machos y hembras, respectivamente (Ceballos </w:t>
      </w:r>
      <w:r>
        <w:rPr>
          <w:i/>
        </w:rPr>
        <w:t>et al., </w:t>
      </w:r>
      <w:r>
        <w:rPr/>
        <w:t>2002).</w:t>
      </w:r>
    </w:p>
    <w:p>
      <w:pPr>
        <w:spacing w:after="0" w:line="465" w:lineRule="auto"/>
        <w:jc w:val="both"/>
        <w:sectPr>
          <w:pgSz w:w="12240" w:h="15840"/>
          <w:pgMar w:header="740" w:footer="779" w:top="960" w:bottom="960" w:left="1600" w:right="1580"/>
        </w:sectPr>
      </w:pPr>
    </w:p>
    <w:p>
      <w:pPr>
        <w:pStyle w:val="BodyText"/>
        <w:rPr>
          <w:sz w:val="20"/>
        </w:rPr>
      </w:pPr>
    </w:p>
    <w:p>
      <w:pPr>
        <w:pStyle w:val="BodyText"/>
        <w:spacing w:before="3"/>
        <w:rPr>
          <w:sz w:val="19"/>
        </w:rPr>
      </w:pPr>
    </w:p>
    <w:p>
      <w:pPr>
        <w:pStyle w:val="Heading2"/>
        <w:jc w:val="both"/>
      </w:pPr>
      <w:r>
        <w:rPr/>
        <w:t>Densidad</w:t>
      </w:r>
    </w:p>
    <w:p>
      <w:pPr>
        <w:pStyle w:val="BodyText"/>
        <w:spacing w:before="7"/>
        <w:rPr>
          <w:b/>
          <w:sz w:val="23"/>
        </w:rPr>
      </w:pPr>
    </w:p>
    <w:p>
      <w:pPr>
        <w:pStyle w:val="BodyText"/>
        <w:spacing w:line="480" w:lineRule="auto"/>
        <w:ind w:left="102" w:right="119" w:firstLine="707"/>
        <w:jc w:val="both"/>
      </w:pPr>
      <w:r>
        <w:rPr/>
        <w:t>Existe una gran cantidad de información a nivel poblacional y de estimaciones de densidad de puma en Estados Unidos y Canadá, pero muy poca en los países del centro de su distribución. En lo que se refiere a México no existen muchos trabajos sobre densidad de pumas, probablemente por ser una especie difícil de capturar, y porque muchas de las herramientas que se aplican en este tipo de estudios son muy costosas. Algunos de los métodos más utilizados para censar a estos animales se han basado en el conteo de características individuales de las huellas, el uso de la telemetría y recientemente el uso de trampas-cámara, junto con el método de captura-recaptura.</w:t>
      </w:r>
    </w:p>
    <w:p>
      <w:pPr>
        <w:pStyle w:val="BodyText"/>
        <w:spacing w:line="465" w:lineRule="auto" w:before="10"/>
        <w:ind w:left="102" w:right="116" w:firstLine="707"/>
        <w:jc w:val="both"/>
      </w:pPr>
      <w:r>
        <w:rPr/>
        <w:t>De manera general se sabe que las densidades de puma son mayores en bosques de pino y pino-encino, sobretodo en el norte del país (Ceballos y Galindo, 1984). En  un bosque tropical de la costa del Pacífico se encontró una densidad de 3 a 4 pumas/100 km</w:t>
      </w:r>
      <w:r>
        <w:rPr>
          <w:position w:val="11"/>
          <w:sz w:val="16"/>
        </w:rPr>
        <w:t>2 </w:t>
      </w:r>
      <w:r>
        <w:rPr/>
        <w:t>(Nuñez y Miller, 1997). Posteriormente en esta misma zona Nuñez </w:t>
      </w:r>
      <w:r>
        <w:rPr>
          <w:i/>
        </w:rPr>
        <w:t>et al. </w:t>
      </w:r>
      <w:r>
        <w:rPr/>
        <w:t>(2002)  encontraron una densidad de 4 a 5 pumas/100 km</w:t>
      </w:r>
      <w:r>
        <w:rPr>
          <w:position w:val="11"/>
          <w:sz w:val="16"/>
        </w:rPr>
        <w:t>2</w:t>
      </w:r>
      <w:r>
        <w:rPr/>
        <w:t>, utilizando come herramienta la telemetría. Luna y López (2005) determinaron una densidad de 4.19 </w:t>
      </w:r>
      <w:r>
        <w:rPr>
          <w:u w:val="single"/>
        </w:rPr>
        <w:t>+ </w:t>
      </w:r>
      <w:r>
        <w:rPr/>
        <w:t>5.57 pumas/100 km</w:t>
      </w:r>
      <w:r>
        <w:rPr>
          <w:position w:val="11"/>
          <w:sz w:val="16"/>
        </w:rPr>
        <w:t>2 </w:t>
      </w:r>
      <w:r>
        <w:rPr/>
        <w:t>en</w:t>
      </w:r>
      <w:r>
        <w:rPr>
          <w:spacing w:val="21"/>
        </w:rPr>
        <w:t> </w:t>
      </w:r>
      <w:r>
        <w:rPr/>
        <w:t>la</w:t>
      </w:r>
      <w:r>
        <w:rPr>
          <w:spacing w:val="20"/>
        </w:rPr>
        <w:t> </w:t>
      </w:r>
      <w:r>
        <w:rPr/>
        <w:t>Sierra</w:t>
      </w:r>
      <w:r>
        <w:rPr>
          <w:spacing w:val="18"/>
        </w:rPr>
        <w:t> </w:t>
      </w:r>
      <w:r>
        <w:rPr/>
        <w:t>de</w:t>
      </w:r>
      <w:r>
        <w:rPr>
          <w:spacing w:val="20"/>
        </w:rPr>
        <w:t> </w:t>
      </w:r>
      <w:r>
        <w:rPr/>
        <w:t>San</w:t>
      </w:r>
      <w:r>
        <w:rPr>
          <w:spacing w:val="22"/>
        </w:rPr>
        <w:t> </w:t>
      </w:r>
      <w:r>
        <w:rPr/>
        <w:t>Luis,</w:t>
      </w:r>
      <w:r>
        <w:rPr>
          <w:spacing w:val="21"/>
        </w:rPr>
        <w:t> </w:t>
      </w:r>
      <w:r>
        <w:rPr/>
        <w:t>en</w:t>
      </w:r>
      <w:r>
        <w:rPr>
          <w:spacing w:val="21"/>
        </w:rPr>
        <w:t> </w:t>
      </w:r>
      <w:r>
        <w:rPr/>
        <w:t>Sonora,</w:t>
      </w:r>
      <w:r>
        <w:rPr>
          <w:spacing w:val="22"/>
        </w:rPr>
        <w:t> </w:t>
      </w:r>
      <w:r>
        <w:rPr/>
        <w:t>utilizando</w:t>
      </w:r>
      <w:r>
        <w:rPr>
          <w:spacing w:val="21"/>
        </w:rPr>
        <w:t> </w:t>
      </w:r>
      <w:r>
        <w:rPr/>
        <w:t>trampas-cámara,</w:t>
      </w:r>
      <w:r>
        <w:rPr>
          <w:spacing w:val="21"/>
        </w:rPr>
        <w:t> </w:t>
      </w:r>
      <w:r>
        <w:rPr/>
        <w:t>mediante</w:t>
      </w:r>
      <w:r>
        <w:rPr>
          <w:spacing w:val="20"/>
        </w:rPr>
        <w:t> </w:t>
      </w:r>
      <w:r>
        <w:rPr/>
        <w:t>la</w:t>
      </w:r>
      <w:r>
        <w:rPr>
          <w:spacing w:val="21"/>
        </w:rPr>
        <w:t> </w:t>
      </w:r>
      <w:r>
        <w:rPr/>
        <w:t>fórmula:</w:t>
      </w:r>
      <w:r>
        <w:rPr>
          <w:spacing w:val="21"/>
        </w:rPr>
        <w:t> </w:t>
      </w:r>
      <w:r>
        <w:rPr>
          <w:i/>
        </w:rPr>
        <w:t>y</w:t>
      </w:r>
      <w:r>
        <w:rPr>
          <w:i/>
          <w:spacing w:val="22"/>
        </w:rPr>
        <w:t> </w:t>
      </w:r>
      <w:r>
        <w:rPr/>
        <w:t>=</w:t>
      </w:r>
    </w:p>
    <w:p>
      <w:pPr>
        <w:pStyle w:val="BodyText"/>
        <w:spacing w:line="460" w:lineRule="auto"/>
        <w:ind w:left="102" w:right="116"/>
        <w:jc w:val="both"/>
      </w:pPr>
      <w:r>
        <w:rPr/>
        <w:t>140.33 </w:t>
      </w:r>
      <w:r>
        <w:rPr>
          <w:i/>
        </w:rPr>
        <w:t>x</w:t>
      </w:r>
      <w:r>
        <w:rPr>
          <w:position w:val="11"/>
          <w:sz w:val="16"/>
        </w:rPr>
        <w:t>-1.116</w:t>
      </w:r>
      <w:r>
        <w:rPr/>
        <w:t>, donde </w:t>
      </w:r>
      <w:r>
        <w:rPr>
          <w:i/>
        </w:rPr>
        <w:t>y </w:t>
      </w:r>
      <w:r>
        <w:rPr/>
        <w:t>es el número de días que se requieren para obtener la primera fotografía y </w:t>
      </w:r>
      <w:r>
        <w:rPr>
          <w:i/>
        </w:rPr>
        <w:t>x </w:t>
      </w:r>
      <w:r>
        <w:rPr/>
        <w:t>es la densidad estimada en 100 km</w:t>
      </w:r>
      <w:r>
        <w:rPr>
          <w:position w:val="11"/>
          <w:sz w:val="16"/>
        </w:rPr>
        <w:t>2</w:t>
      </w:r>
      <w:r>
        <w:rPr/>
        <w:t>. De la misma manera con trampas- cámara y el método de captura recaptura, Soria-Díaz </w:t>
      </w:r>
      <w:r>
        <w:rPr>
          <w:i/>
        </w:rPr>
        <w:t>et al. </w:t>
      </w:r>
      <w:r>
        <w:rPr/>
        <w:t>(2010) determinaron una densidad de 1.2 a 6.8 pumas/100 km</w:t>
      </w:r>
      <w:r>
        <w:rPr>
          <w:position w:val="11"/>
          <w:sz w:val="16"/>
        </w:rPr>
        <w:t>2 </w:t>
      </w:r>
      <w:r>
        <w:rPr/>
        <w:t>en la Sierra Nanchitítla, México. Finalmente Rosas- Rosas </w:t>
      </w:r>
      <w:r>
        <w:rPr>
          <w:i/>
        </w:rPr>
        <w:t>et al. </w:t>
      </w:r>
      <w:r>
        <w:rPr/>
        <w:t>(2003) calcularon una densidad de 3 pumas/100 km</w:t>
      </w:r>
      <w:r>
        <w:rPr>
          <w:position w:val="11"/>
          <w:sz w:val="16"/>
        </w:rPr>
        <w:t>2 </w:t>
      </w:r>
      <w:r>
        <w:rPr/>
        <w:t>a través del conteo de huellas en el Desierto de Altar en Sonora, México.</w:t>
      </w:r>
    </w:p>
    <w:p>
      <w:pPr>
        <w:spacing w:after="0" w:line="460" w:lineRule="auto"/>
        <w:jc w:val="both"/>
        <w:sectPr>
          <w:pgSz w:w="12240" w:h="15840"/>
          <w:pgMar w:header="740" w:footer="779" w:top="960" w:bottom="960" w:left="1600" w:right="1580"/>
        </w:sectPr>
      </w:pPr>
    </w:p>
    <w:p>
      <w:pPr>
        <w:pStyle w:val="BodyText"/>
        <w:rPr>
          <w:sz w:val="20"/>
        </w:rPr>
      </w:pPr>
    </w:p>
    <w:p>
      <w:pPr>
        <w:pStyle w:val="BodyText"/>
        <w:spacing w:before="3"/>
        <w:rPr>
          <w:sz w:val="19"/>
        </w:rPr>
      </w:pPr>
    </w:p>
    <w:p>
      <w:pPr>
        <w:pStyle w:val="Heading2"/>
        <w:ind w:right="197"/>
      </w:pPr>
      <w:r>
        <w:rPr/>
        <w:t>Estatus de protección del puma</w:t>
      </w:r>
    </w:p>
    <w:p>
      <w:pPr>
        <w:pStyle w:val="BodyText"/>
        <w:spacing w:before="7"/>
        <w:rPr>
          <w:b/>
          <w:sz w:val="23"/>
        </w:rPr>
      </w:pPr>
    </w:p>
    <w:p>
      <w:pPr>
        <w:pStyle w:val="BodyText"/>
        <w:spacing w:line="480" w:lineRule="auto"/>
        <w:ind w:left="102" w:right="115" w:firstLine="707"/>
        <w:jc w:val="both"/>
      </w:pPr>
      <w:r>
        <w:rPr/>
        <w:t>La IUCN considera al puma en la categoría Least Concern (LC). Se considera que las subespecies </w:t>
      </w:r>
      <w:r>
        <w:rPr>
          <w:i/>
        </w:rPr>
        <w:t>P. concolor coryi </w:t>
      </w:r>
      <w:r>
        <w:rPr/>
        <w:t>y </w:t>
      </w:r>
      <w:r>
        <w:rPr>
          <w:i/>
        </w:rPr>
        <w:t>P. concolor couguar </w:t>
      </w:r>
      <w:r>
        <w:rPr/>
        <w:t>enfrentan un riesgo de extinción  en vida silvestre extremadamente alto (categoría CR D), </w:t>
      </w:r>
      <w:r>
        <w:rPr>
          <w:spacing w:val="-3"/>
        </w:rPr>
        <w:t>ya </w:t>
      </w:r>
      <w:r>
        <w:rPr/>
        <w:t>que el tamaño de la población se estima en menos de 50 individuos adultos según la IUCN del</w:t>
      </w:r>
      <w:r>
        <w:rPr>
          <w:spacing w:val="-11"/>
        </w:rPr>
        <w:t> </w:t>
      </w:r>
      <w:r>
        <w:rPr/>
        <w:t>2011.</w:t>
      </w:r>
    </w:p>
    <w:p>
      <w:pPr>
        <w:pStyle w:val="BodyText"/>
        <w:spacing w:line="480" w:lineRule="auto" w:before="10"/>
        <w:ind w:left="102" w:right="120" w:firstLine="707"/>
        <w:jc w:val="both"/>
      </w:pPr>
      <w:r>
        <w:rPr/>
        <w:t>Dentro del continente, el puma no tiene protección legal en Ecuador, El Salvador y Guyana. En Canadá, México y Perú la cacería es regularizada, y está prohibida en Argentina, Brasil, Bolivia, Chile, Colombia, Costa Rica, Guatemala, Honduras, Guatemala, Panamá, Paraguay, Suriname, Venezuela y Uruguay (Sunquist y Sunquist, 2002).</w:t>
      </w:r>
    </w:p>
    <w:p>
      <w:pPr>
        <w:pStyle w:val="BodyText"/>
        <w:spacing w:line="480" w:lineRule="auto" w:before="10"/>
        <w:ind w:left="102" w:right="115" w:firstLine="707"/>
        <w:jc w:val="both"/>
      </w:pPr>
      <w:r>
        <w:rPr/>
        <w:t>Hasta ahora este felino no ha sido considerado como una especie en peligro de extinción en México (SEMARNAT, 2010), a diferencia del jaguar (</w:t>
      </w:r>
      <w:r>
        <w:rPr>
          <w:i/>
        </w:rPr>
        <w:t>Panthera onca</w:t>
      </w:r>
      <w:r>
        <w:rPr/>
        <w:t>), el tigrillo (</w:t>
      </w:r>
      <w:r>
        <w:rPr>
          <w:i/>
        </w:rPr>
        <w:t>Leopardus wiedii</w:t>
      </w:r>
      <w:r>
        <w:rPr/>
        <w:t>) y el ocelote (</w:t>
      </w:r>
      <w:r>
        <w:rPr>
          <w:i/>
        </w:rPr>
        <w:t>Leopardus pardalis</w:t>
      </w:r>
      <w:r>
        <w:rPr/>
        <w:t>), pero esto probablemente se deba a su amplia distribución y a la escasez de información sobre sus poblaciones. Es predecible que con el incremento de las poblaciones humanas y la fragmentación de hábitat, dentro de muy pocos años el puma va a ocupar un lugar dentro de las especies que se encuentran en peligro de extinción.</w:t>
      </w:r>
    </w:p>
    <w:p>
      <w:pPr>
        <w:pStyle w:val="BodyText"/>
        <w:spacing w:line="480" w:lineRule="auto" w:before="10"/>
        <w:ind w:left="102" w:right="117" w:firstLine="707"/>
        <w:jc w:val="both"/>
      </w:pPr>
      <w:r>
        <w:rPr/>
        <w:t>Finalmente, son muy pocos los estudios que se han realizado en </w:t>
      </w:r>
      <w:r>
        <w:rPr>
          <w:spacing w:val="2"/>
        </w:rPr>
        <w:t>la </w:t>
      </w:r>
      <w:r>
        <w:rPr/>
        <w:t>parte centro y sur del continente, incluyendo México, es evidente la necesidad de llevar a cabo investigaciones ecológicas que generen información, </w:t>
      </w:r>
      <w:r>
        <w:rPr>
          <w:spacing w:val="-3"/>
        </w:rPr>
        <w:t>ya </w:t>
      </w:r>
      <w:r>
        <w:rPr/>
        <w:t>que ésta es la base de los  programas y estrategias para la conservación de puma e indirectamente de las especies que se encuentran por debajo de su cadena trófica (Walker </w:t>
      </w:r>
      <w:r>
        <w:rPr>
          <w:i/>
        </w:rPr>
        <w:t>et al.,</w:t>
      </w:r>
      <w:r>
        <w:rPr>
          <w:i/>
          <w:spacing w:val="-9"/>
        </w:rPr>
        <w:t> </w:t>
      </w:r>
      <w:r>
        <w:rPr/>
        <w:t>2000).</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3"/>
        <w:rPr>
          <w:sz w:val="19"/>
        </w:rPr>
      </w:pPr>
    </w:p>
    <w:p>
      <w:pPr>
        <w:pStyle w:val="Heading2"/>
        <w:ind w:left="186" w:right="207"/>
        <w:jc w:val="center"/>
      </w:pPr>
      <w:r>
        <w:rPr/>
        <w:t>REFERENCIAS</w:t>
      </w:r>
    </w:p>
    <w:p>
      <w:pPr>
        <w:pStyle w:val="BodyText"/>
        <w:spacing w:before="7"/>
        <w:rPr>
          <w:b/>
          <w:sz w:val="23"/>
        </w:rPr>
      </w:pPr>
    </w:p>
    <w:p>
      <w:pPr>
        <w:pStyle w:val="BodyText"/>
        <w:spacing w:line="480" w:lineRule="auto"/>
        <w:ind w:left="1167" w:right="115" w:hanging="1066"/>
        <w:jc w:val="both"/>
      </w:pPr>
      <w:r>
        <w:rPr/>
        <w:t>Aranda M. y V. Sánchez-Cordero. 1996. Prey spectra of jaguar (</w:t>
      </w:r>
      <w:r>
        <w:rPr>
          <w:i/>
        </w:rPr>
        <w:t>Panthera onca</w:t>
      </w:r>
      <w:r>
        <w:rPr/>
        <w:t>) and puma (</w:t>
      </w:r>
      <w:r>
        <w:rPr>
          <w:i/>
        </w:rPr>
        <w:t>Puma concolor</w:t>
      </w:r>
      <w:r>
        <w:rPr/>
        <w:t>) in Tropical Forests of México. Studies in Neotropical Fauna and Environment 31: 61-64</w:t>
      </w:r>
    </w:p>
    <w:p>
      <w:pPr>
        <w:pStyle w:val="BodyText"/>
        <w:spacing w:line="480" w:lineRule="auto" w:before="10"/>
        <w:ind w:left="1167" w:right="119" w:hanging="1066"/>
        <w:jc w:val="both"/>
      </w:pPr>
      <w:r>
        <w:rPr/>
        <w:t>Branch L. C., M. Pessino y D. Villareal. 1996. Response to pumas to a population decline of the plains vizcacha. Journal of Mammalogy 77 (4):</w:t>
      </w:r>
      <w:r>
        <w:rPr>
          <w:spacing w:val="-7"/>
        </w:rPr>
        <w:t> </w:t>
      </w:r>
      <w:r>
        <w:rPr/>
        <w:t>1132-1140</w:t>
      </w:r>
    </w:p>
    <w:p>
      <w:pPr>
        <w:pStyle w:val="BodyText"/>
        <w:spacing w:line="480" w:lineRule="auto" w:before="10"/>
        <w:ind w:left="1167" w:right="116" w:hanging="1066"/>
        <w:jc w:val="both"/>
      </w:pPr>
      <w:r>
        <w:rPr/>
        <w:t>Cashman J. L., M. Pierce y P. R. Krausman. 1992. Diets of mountain lions in Southwestern Arizona. Southwestern Naturalist 37 (3): 324-326</w:t>
      </w:r>
    </w:p>
    <w:p>
      <w:pPr>
        <w:pStyle w:val="BodyText"/>
        <w:spacing w:before="10"/>
        <w:ind w:left="102" w:right="197"/>
      </w:pPr>
      <w:r>
        <w:rPr/>
        <w:t>Ceballos G. y C. Galindo. 1984. Mamíferos silvestres de la cuenca de México. Limusa.</w:t>
      </w:r>
    </w:p>
    <w:p>
      <w:pPr>
        <w:pStyle w:val="BodyText"/>
      </w:pPr>
    </w:p>
    <w:p>
      <w:pPr>
        <w:pStyle w:val="BodyText"/>
        <w:ind w:left="1167" w:right="6695"/>
      </w:pPr>
      <w:r>
        <w:rPr/>
        <w:t>México.</w:t>
      </w:r>
    </w:p>
    <w:p>
      <w:pPr>
        <w:pStyle w:val="BodyText"/>
      </w:pPr>
    </w:p>
    <w:p>
      <w:pPr>
        <w:pStyle w:val="BodyText"/>
        <w:spacing w:line="480" w:lineRule="auto"/>
        <w:ind w:left="1167" w:right="117" w:hanging="1066"/>
        <w:jc w:val="both"/>
      </w:pPr>
      <w:r>
        <w:rPr/>
        <w:t>Ceballos G., J. Arroyo-Cabrales y R. A. Medellín. 2002. The mammals of México: composition, distribution and status. Occasional papers, Texas Tech University 218: 1-27</w:t>
      </w:r>
    </w:p>
    <w:p>
      <w:pPr>
        <w:pStyle w:val="BodyText"/>
        <w:spacing w:line="480" w:lineRule="auto" w:before="10"/>
        <w:ind w:left="1167" w:right="122" w:hanging="1066"/>
        <w:jc w:val="both"/>
      </w:pPr>
      <w:r>
        <w:rPr/>
        <w:t>Chávez C. 2005. Puma. In: Los mamíferos silvestres de México. Ceballos G. y G. Oliva (eds.). Fondo de Cultura Económica y CONABIO. México. 364-367 pp.</w:t>
      </w:r>
    </w:p>
    <w:p>
      <w:pPr>
        <w:pStyle w:val="BodyText"/>
        <w:spacing w:line="480" w:lineRule="auto" w:before="10"/>
        <w:ind w:left="1167" w:right="116" w:hanging="1066"/>
        <w:jc w:val="both"/>
      </w:pPr>
      <w:r>
        <w:rPr/>
        <w:t>Chávez C., G. Ceballos y M. Amín. 2007. Ecología poblacional del jaguar y sus implicaciones para la conservación en la Península de Yucatán. In:  Conservación y manejo del jaguar en México, estudios de caso y perspectivas. Ceballos G., C. Chávez R. List y H. Zarza (eds.). CONABIO-Alianza WWF/Telcel. Universidad Autónoma del Estado de México. México. 91-100  pp.</w:t>
      </w:r>
    </w:p>
    <w:p>
      <w:pPr>
        <w:spacing w:before="10"/>
        <w:ind w:left="102" w:right="197" w:firstLine="0"/>
        <w:jc w:val="left"/>
        <w:rPr>
          <w:sz w:val="24"/>
        </w:rPr>
      </w:pPr>
      <w:r>
        <w:rPr>
          <w:sz w:val="24"/>
        </w:rPr>
        <w:t>Currier M. J. P. 1983. </w:t>
      </w:r>
      <w:r>
        <w:rPr>
          <w:i/>
          <w:sz w:val="24"/>
        </w:rPr>
        <w:t>Felis concolor</w:t>
      </w:r>
      <w:r>
        <w:rPr>
          <w:sz w:val="24"/>
        </w:rPr>
        <w:t>. Mammalian Species 200: 1-7</w:t>
      </w:r>
    </w:p>
    <w:p>
      <w:pPr>
        <w:spacing w:after="0"/>
        <w:jc w:val="left"/>
        <w:rPr>
          <w:sz w:val="24"/>
        </w:rPr>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5" w:hanging="1066"/>
        <w:jc w:val="both"/>
      </w:pPr>
      <w:r>
        <w:rPr/>
        <w:t>Dixon K. R. 1981. Mountain lion </w:t>
      </w:r>
      <w:r>
        <w:rPr>
          <w:i/>
        </w:rPr>
        <w:t>Felis concolor</w:t>
      </w:r>
      <w:r>
        <w:rPr/>
        <w:t>. In: Mammals of North America.  Chapman J. A. y G. A. Feldhamer (eds.). John Hopkins University Press. USA. 711-727</w:t>
      </w:r>
      <w:r>
        <w:rPr>
          <w:spacing w:val="-1"/>
        </w:rPr>
        <w:t> </w:t>
      </w:r>
      <w:r>
        <w:rPr/>
        <w:t>pp.</w:t>
      </w:r>
    </w:p>
    <w:p>
      <w:pPr>
        <w:pStyle w:val="BodyText"/>
        <w:spacing w:before="10"/>
        <w:ind w:left="102" w:right="20"/>
      </w:pPr>
      <w:r>
        <w:rPr/>
        <w:t>Gittleman J. L., S. M. Funk, D. Macdonald y R. K. Wayne. 2001. Carnivore </w:t>
      </w:r>
      <w:r>
        <w:rPr>
          <w:spacing w:val="55"/>
        </w:rPr>
        <w:t> </w:t>
      </w:r>
      <w:r>
        <w:rPr/>
        <w:t>Conservation.</w:t>
      </w:r>
    </w:p>
    <w:p>
      <w:pPr>
        <w:pStyle w:val="BodyText"/>
      </w:pPr>
    </w:p>
    <w:p>
      <w:pPr>
        <w:pStyle w:val="BodyText"/>
        <w:ind w:left="1167" w:right="197"/>
      </w:pPr>
      <w:r>
        <w:rPr/>
        <w:t>Cambridge. University Press. London. 675</w:t>
      </w:r>
    </w:p>
    <w:p>
      <w:pPr>
        <w:pStyle w:val="BodyText"/>
      </w:pPr>
    </w:p>
    <w:p>
      <w:pPr>
        <w:pStyle w:val="BodyText"/>
        <w:spacing w:line="480" w:lineRule="auto"/>
        <w:ind w:left="1167" w:right="197" w:hanging="1066"/>
      </w:pPr>
      <w:r>
        <w:rPr/>
        <w:t>Iriarte J. A., W. L. Franklin, W. E. Johnson y K. H. Redford. 1990. Biograpic variation of food habits and body size of the American puma. Oecología 85: 185-190</w:t>
      </w:r>
    </w:p>
    <w:p>
      <w:pPr>
        <w:pStyle w:val="BodyText"/>
        <w:spacing w:line="480" w:lineRule="auto" w:before="11"/>
        <w:ind w:left="1167" w:right="197" w:hanging="1066"/>
      </w:pPr>
      <w:r>
        <w:rPr/>
        <w:t>IUCN. 2011. 2011 IUCN Red List of Threatened Species. &lt;</w:t>
      </w:r>
      <w:hyperlink r:id="rId14">
        <w:r>
          <w:rPr/>
          <w:t>www.iucnredlist.org&gt;</w:t>
        </w:r>
      </w:hyperlink>
      <w:r>
        <w:rPr/>
        <w:t>. [Ingresado 20 de febrero de 2012].</w:t>
      </w:r>
    </w:p>
    <w:p>
      <w:pPr>
        <w:pStyle w:val="BodyText"/>
        <w:spacing w:line="480" w:lineRule="auto" w:before="10"/>
        <w:ind w:left="1167" w:right="197" w:hanging="1066"/>
      </w:pPr>
      <w:r>
        <w:rPr/>
        <w:t>Logan K. A. y L. L. Sweanor. 2001. Desert puma. Evolutionary ecology and conservation of an enduring carnivore. Island press. USA.</w:t>
      </w:r>
    </w:p>
    <w:p>
      <w:pPr>
        <w:pStyle w:val="BodyText"/>
        <w:spacing w:line="480" w:lineRule="auto" w:before="10"/>
        <w:ind w:left="1167" w:right="197" w:hanging="1066"/>
      </w:pPr>
      <w:r>
        <w:rPr/>
        <w:t>Luna S. H. y G. A. López. 2005. Abundance and food habits of cougars and bobcats in the Sierra San Luis, Sonora, México. USDA Forest Service Proceedings: 416-420</w:t>
      </w:r>
    </w:p>
    <w:p>
      <w:pPr>
        <w:pStyle w:val="BodyText"/>
        <w:spacing w:line="480" w:lineRule="auto" w:before="10"/>
        <w:ind w:left="1167" w:right="197" w:hanging="1066"/>
      </w:pPr>
      <w:r>
        <w:rPr/>
        <w:t>Maehr D. S., R.C. Belden, E. Darrell-Land y L. Wilkins. 1990. Food habits of panther in souhwest Florida. Journal of Wildlife Managementent 54 (3): 420-423</w:t>
      </w:r>
    </w:p>
    <w:p>
      <w:pPr>
        <w:pStyle w:val="BodyText"/>
        <w:spacing w:before="10"/>
        <w:ind w:left="102" w:right="20"/>
      </w:pPr>
      <w:r>
        <w:rPr/>
        <w:t>Miller B., R. Reading, J. Stritthalt, C. Carroll, R. Noss, M. Soule, O. Sánchez, J. </w:t>
      </w:r>
      <w:r>
        <w:rPr>
          <w:spacing w:val="50"/>
        </w:rPr>
        <w:t> </w:t>
      </w:r>
      <w:r>
        <w:rPr/>
        <w:t>Teiborgh,</w:t>
      </w:r>
    </w:p>
    <w:p>
      <w:pPr>
        <w:pStyle w:val="BodyText"/>
      </w:pPr>
    </w:p>
    <w:p>
      <w:pPr>
        <w:pStyle w:val="BodyText"/>
        <w:spacing w:line="480" w:lineRule="auto"/>
        <w:ind w:left="1167" w:right="197"/>
      </w:pPr>
      <w:r>
        <w:rPr/>
        <w:t>D. Brightsmith, T. Cheeseman y D. Foreman. 1999. Using focal species in the desing of reserve networks. Wild earth; Invierno. 1998-1999. 81-89</w:t>
      </w:r>
    </w:p>
    <w:p>
      <w:pPr>
        <w:pStyle w:val="BodyText"/>
        <w:spacing w:before="10"/>
        <w:ind w:left="102" w:right="20"/>
        <w:rPr>
          <w:i/>
        </w:rPr>
      </w:pPr>
      <w:r>
        <w:rPr/>
        <w:t>Monroy-Vilchis O., Y. Gómez, M. Janczur y V. Urios. 2009. Food niche of </w:t>
      </w:r>
      <w:r>
        <w:rPr>
          <w:i/>
        </w:rPr>
        <w:t>Puma concolor</w:t>
      </w:r>
    </w:p>
    <w:p>
      <w:pPr>
        <w:pStyle w:val="BodyText"/>
        <w:rPr>
          <w:i/>
        </w:rPr>
      </w:pPr>
    </w:p>
    <w:p>
      <w:pPr>
        <w:pStyle w:val="BodyText"/>
        <w:ind w:left="189" w:right="2965"/>
        <w:jc w:val="center"/>
      </w:pPr>
      <w:r>
        <w:rPr/>
        <w:t>in Central México. Wildlife Biology 15 (1): 97-105</w:t>
      </w:r>
    </w:p>
    <w:p>
      <w:pPr>
        <w:pStyle w:val="BodyText"/>
      </w:pPr>
    </w:p>
    <w:p>
      <w:pPr>
        <w:pStyle w:val="BodyText"/>
        <w:ind w:left="102" w:right="20"/>
      </w:pPr>
      <w:r>
        <w:rPr/>
        <w:t>Nowell  K.  y P. Jackson.  1996. Wild  Cats: Status,  survey and conservation action   </w:t>
      </w:r>
      <w:r>
        <w:rPr>
          <w:spacing w:val="53"/>
        </w:rPr>
        <w:t> </w:t>
      </w:r>
      <w:r>
        <w:rPr/>
        <w:t>plan.</w:t>
      </w:r>
    </w:p>
    <w:p>
      <w:pPr>
        <w:pStyle w:val="BodyText"/>
      </w:pPr>
    </w:p>
    <w:p>
      <w:pPr>
        <w:pStyle w:val="BodyText"/>
        <w:ind w:left="1167" w:right="197"/>
      </w:pPr>
      <w:r>
        <w:rPr/>
        <w:t>IUCN/SSC Cat Specialist Group.</w:t>
      </w:r>
    </w:p>
    <w:p>
      <w:pPr>
        <w:pStyle w:val="BodyText"/>
      </w:pPr>
    </w:p>
    <w:p>
      <w:pPr>
        <w:pStyle w:val="BodyText"/>
        <w:ind w:left="102" w:right="197"/>
      </w:pPr>
      <w:r>
        <w:rPr/>
        <w:t>Núñez R. y B. J. Miller. 1997. Ecología de jaguares y pumas en el Oeste de México.</w:t>
      </w:r>
    </w:p>
    <w:p>
      <w:pPr>
        <w:pStyle w:val="BodyText"/>
        <w:spacing w:before="11"/>
        <w:rPr>
          <w:sz w:val="23"/>
        </w:rPr>
      </w:pPr>
    </w:p>
    <w:p>
      <w:pPr>
        <w:pStyle w:val="BodyText"/>
        <w:ind w:left="1167" w:right="197"/>
      </w:pPr>
      <w:r>
        <w:rPr/>
        <w:t>Reporte final. CONABIO. México.</w:t>
      </w:r>
    </w:p>
    <w:p>
      <w:pPr>
        <w:spacing w:after="0"/>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8" w:hanging="1066"/>
        <w:jc w:val="both"/>
      </w:pPr>
      <w:r>
        <w:rPr/>
        <w:t>Núñez R., B. Miller y F. Lindzey. 2000. Food habits of jaguars and pumas in Jalisco, México. Journal of Zoology, London 252: 373-379</w:t>
      </w:r>
    </w:p>
    <w:p>
      <w:pPr>
        <w:pStyle w:val="BodyText"/>
        <w:spacing w:line="480" w:lineRule="auto" w:before="10"/>
        <w:ind w:left="1167" w:right="115" w:hanging="1066"/>
        <w:jc w:val="both"/>
      </w:pPr>
      <w:r>
        <w:rPr/>
        <w:t>Núñez R., B. Miller y F. Lindzey. 2002. Ecología del jaguar en la Reserva de la Biosfera Chamela-Cuixmala, Jalisco, México. In: El jaguar en el nuevo milenio. Medellín, R. A., C. Equihua, C. </w:t>
      </w:r>
      <w:r>
        <w:rPr>
          <w:spacing w:val="-3"/>
        </w:rPr>
        <w:t>L. </w:t>
      </w:r>
      <w:r>
        <w:rPr/>
        <w:t>B. Chetkiewicz, P. G. Crawshaw, A. Rabinowitz, K. H. Redford, J. G. Robinson, E. W. Sanderson y A. B. Taber (comps.). Fondo de Cultura Económica. 107-126</w:t>
      </w:r>
      <w:r>
        <w:rPr>
          <w:spacing w:val="-7"/>
        </w:rPr>
        <w:t> </w:t>
      </w:r>
      <w:r>
        <w:rPr/>
        <w:t>pp.</w:t>
      </w:r>
    </w:p>
    <w:p>
      <w:pPr>
        <w:pStyle w:val="BodyText"/>
        <w:spacing w:line="480" w:lineRule="auto" w:before="11"/>
        <w:ind w:left="1167" w:right="116" w:hanging="1066"/>
        <w:jc w:val="both"/>
      </w:pPr>
      <w:r>
        <w:rPr/>
        <w:t>Olmos F. 1993. Notes of the food habits of brazilian “Caatinga” carnivores. Mammalia 57 (1): 126-130</w:t>
      </w:r>
    </w:p>
    <w:p>
      <w:pPr>
        <w:spacing w:line="480" w:lineRule="auto" w:before="10"/>
        <w:ind w:left="1167" w:right="116" w:hanging="1066"/>
        <w:jc w:val="both"/>
        <w:rPr>
          <w:sz w:val="24"/>
        </w:rPr>
      </w:pPr>
      <w:r>
        <w:rPr>
          <w:sz w:val="24"/>
        </w:rPr>
        <w:t>Romo M. C. 1995. Food habits of the Andean fox (</w:t>
      </w:r>
      <w:r>
        <w:rPr>
          <w:i/>
          <w:sz w:val="24"/>
        </w:rPr>
        <w:t>Pseudalopex culpaeus</w:t>
      </w:r>
      <w:r>
        <w:rPr>
          <w:sz w:val="24"/>
        </w:rPr>
        <w:t>) and notes on the mountain cat (</w:t>
      </w:r>
      <w:r>
        <w:rPr>
          <w:i/>
          <w:sz w:val="24"/>
        </w:rPr>
        <w:t>Felis colocolo</w:t>
      </w:r>
      <w:r>
        <w:rPr>
          <w:sz w:val="24"/>
        </w:rPr>
        <w:t>) and puma (</w:t>
      </w:r>
      <w:r>
        <w:rPr>
          <w:i/>
          <w:sz w:val="24"/>
        </w:rPr>
        <w:t>Felis concolor</w:t>
      </w:r>
      <w:r>
        <w:rPr>
          <w:sz w:val="24"/>
        </w:rPr>
        <w:t>) in the Rio Abiseo National, Peru. Mammalia 59 (3): 335-343</w:t>
      </w:r>
    </w:p>
    <w:p>
      <w:pPr>
        <w:pStyle w:val="BodyText"/>
        <w:spacing w:line="480" w:lineRule="auto" w:before="10"/>
        <w:ind w:left="1167" w:right="117" w:hanging="1066"/>
        <w:jc w:val="both"/>
      </w:pPr>
      <w:r>
        <w:rPr/>
        <w:t>Rosas-Rosas O. C., R. Valdez, L. C. Bender y D. Daniel. 2003. Food habits of pumas in northwestern Sonora, Mexico. Wildlife Society Bulletin 31(2): 528-535</w:t>
      </w:r>
    </w:p>
    <w:p>
      <w:pPr>
        <w:pStyle w:val="BodyText"/>
        <w:spacing w:line="480" w:lineRule="auto" w:before="10"/>
        <w:ind w:left="1095" w:right="114" w:hanging="994"/>
        <w:jc w:val="both"/>
      </w:pPr>
      <w:r>
        <w:rPr/>
        <w:t>SEMARNAT. 2002. Norma Oficial Mexicana NOM-ECOL-059-2001, Protección ambiental de especies nativas de México de flora y fauna silvestres- Categorías de riesgo y especificaciones para su inclusión, exclusión o cambio- Lista de especies en riesgo. Diario Oficial de la Federación, 6 de marzo de 2002 (2ª sección).</w:t>
      </w:r>
      <w:r>
        <w:rPr>
          <w:spacing w:val="-4"/>
        </w:rPr>
        <w:t> </w:t>
      </w:r>
      <w:r>
        <w:rPr/>
        <w:t>México.</w:t>
      </w:r>
    </w:p>
    <w:p>
      <w:pPr>
        <w:pStyle w:val="BodyText"/>
        <w:spacing w:line="480" w:lineRule="auto" w:before="11"/>
        <w:ind w:left="1095" w:right="119" w:hanging="994"/>
        <w:jc w:val="both"/>
      </w:pPr>
      <w:r>
        <w:rPr/>
        <w:t>Soria-Díaz L., O. Monroy-Vilchis, C. Rodríguez-Soto, M. M. Zarco-González y V. Urios. 2010. Variation of abundance and density of </w:t>
      </w:r>
      <w:r>
        <w:rPr>
          <w:i/>
        </w:rPr>
        <w:t>Puma concolor </w:t>
      </w:r>
      <w:r>
        <w:rPr/>
        <w:t>in zones of high and low concentration of camera trap in central Mexico. Animal Biology 60: 361-371</w:t>
      </w:r>
    </w:p>
    <w:p>
      <w:pPr>
        <w:pStyle w:val="BodyText"/>
        <w:spacing w:before="10"/>
        <w:ind w:left="102" w:right="20"/>
      </w:pPr>
      <w:r>
        <w:rPr/>
        <w:t>Sunquist  M.  y F. Sunquist.  2002. Wild Cats  of the World.  University Of  Chicago</w:t>
      </w:r>
      <w:r>
        <w:rPr>
          <w:spacing w:val="50"/>
        </w:rPr>
        <w:t> </w:t>
      </w:r>
      <w:r>
        <w:rPr/>
        <w:t>Press.</w:t>
      </w:r>
    </w:p>
    <w:p>
      <w:pPr>
        <w:pStyle w:val="BodyText"/>
        <w:spacing w:before="11"/>
        <w:rPr>
          <w:sz w:val="23"/>
        </w:rPr>
      </w:pPr>
    </w:p>
    <w:p>
      <w:pPr>
        <w:pStyle w:val="BodyText"/>
        <w:ind w:left="1095" w:right="6695"/>
      </w:pPr>
      <w:r>
        <w:rPr/>
        <w:t>China.</w:t>
      </w:r>
    </w:p>
    <w:p>
      <w:pPr>
        <w:spacing w:after="0"/>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95" w:right="122" w:hanging="994"/>
        <w:jc w:val="both"/>
      </w:pPr>
      <w:r>
        <w:rPr/>
        <w:t>Taber A. B., A. J. Novaro, N. Neris y F. H. Colman. 1997. The food habits of sympatric jaguar and puma in the Paraguayan Chaco. Biotropica 29 (2): 204-213</w:t>
      </w:r>
    </w:p>
    <w:p>
      <w:pPr>
        <w:pStyle w:val="BodyText"/>
        <w:spacing w:line="480" w:lineRule="auto" w:before="10"/>
        <w:ind w:left="1095" w:right="116" w:hanging="994"/>
        <w:jc w:val="both"/>
      </w:pPr>
      <w:r>
        <w:rPr/>
        <w:t>Walker R. S., A. J. Novaro y J. D. Nichols. 2000. Consideraciones para la estimación de abundancia de poblaciones de mamíferos. Mastozoología Neotropical 7 (2): 73- 80.</w:t>
      </w:r>
    </w:p>
    <w:p>
      <w:pPr>
        <w:spacing w:after="0" w:line="480" w:lineRule="auto"/>
        <w:jc w:val="both"/>
        <w:sectPr>
          <w:pgSz w:w="12240" w:h="15840"/>
          <w:pgMar w:header="740" w:footer="779" w:top="960" w:bottom="9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56"/>
        <w:ind w:left="114" w:right="230"/>
        <w:jc w:val="center"/>
      </w:pPr>
      <w:bookmarkStart w:name="_bookmark10" w:id="12"/>
      <w:bookmarkEnd w:id="12"/>
      <w:r>
        <w:rPr>
          <w:b w:val="0"/>
        </w:rPr>
      </w:r>
      <w:r>
        <w:rPr/>
        <w:t>CAPÍTILO II</w:t>
      </w:r>
    </w:p>
    <w:p>
      <w:pPr>
        <w:spacing w:after="0"/>
        <w:jc w:val="center"/>
        <w:sectPr>
          <w:pgSz w:w="12240" w:h="15840"/>
          <w:pgMar w:header="740" w:footer="779" w:top="960" w:bottom="960" w:left="1720" w:right="1600"/>
        </w:sectPr>
      </w:pPr>
    </w:p>
    <w:p>
      <w:pPr>
        <w:pStyle w:val="BodyText"/>
        <w:spacing w:before="13"/>
        <w:rPr>
          <w:rFonts w:ascii="Palatino Linotype"/>
          <w:b/>
          <w:sz w:val="27"/>
        </w:rPr>
      </w:pPr>
    </w:p>
    <w:p>
      <w:pPr>
        <w:pStyle w:val="BodyText"/>
        <w:spacing w:line="480" w:lineRule="auto" w:before="69"/>
        <w:ind w:left="4105" w:right="117" w:hanging="3987"/>
      </w:pPr>
      <w:r>
        <w:rPr/>
        <w:t>CAPÍTULO II. Publicado en el libro “Ecología del </w:t>
      </w:r>
      <w:r>
        <w:rPr>
          <w:i/>
        </w:rPr>
        <w:t>Puma concolor </w:t>
      </w:r>
      <w:r>
        <w:rPr/>
        <w:t>en la Sierra Nanchititla, México.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drawing>
          <wp:anchor distT="0" distB="0" distL="0" distR="0" allowOverlap="1" layoutInCell="1" locked="0" behindDoc="0" simplePos="0" relativeHeight="1048">
            <wp:simplePos x="0" y="0"/>
            <wp:positionH relativeFrom="page">
              <wp:posOffset>2162175</wp:posOffset>
            </wp:positionH>
            <wp:positionV relativeFrom="paragraph">
              <wp:posOffset>128767</wp:posOffset>
            </wp:positionV>
            <wp:extent cx="3467100" cy="5581650"/>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5" cstate="print"/>
                    <a:stretch>
                      <a:fillRect/>
                    </a:stretch>
                  </pic:blipFill>
                  <pic:spPr>
                    <a:xfrm>
                      <a:off x="0" y="0"/>
                      <a:ext cx="3467100" cy="5581650"/>
                    </a:xfrm>
                    <a:prstGeom prst="rect">
                      <a:avLst/>
                    </a:prstGeom>
                  </pic:spPr>
                </pic:pic>
              </a:graphicData>
            </a:graphic>
          </wp:anchor>
        </w:drawing>
      </w:r>
    </w:p>
    <w:p>
      <w:pPr>
        <w:spacing w:after="0"/>
        <w:rPr>
          <w:sz w:val="14"/>
        </w:rPr>
        <w:sectPr>
          <w:pgSz w:w="12240" w:h="15840"/>
          <w:pgMar w:header="740" w:footer="779" w:top="960" w:bottom="960" w:left="16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BodyText"/>
        <w:ind w:left="1085"/>
        <w:rPr>
          <w:sz w:val="20"/>
        </w:rPr>
      </w:pPr>
      <w:r>
        <w:rPr>
          <w:sz w:val="20"/>
        </w:rPr>
        <w:drawing>
          <wp:inline distT="0" distB="0" distL="0" distR="0">
            <wp:extent cx="4222532" cy="7022592"/>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6" cstate="print"/>
                    <a:stretch>
                      <a:fillRect/>
                    </a:stretch>
                  </pic:blipFill>
                  <pic:spPr>
                    <a:xfrm>
                      <a:off x="0" y="0"/>
                      <a:ext cx="4222532" cy="7022592"/>
                    </a:xfrm>
                    <a:prstGeom prst="rect">
                      <a:avLst/>
                    </a:prstGeom>
                  </pic:spPr>
                </pic:pic>
              </a:graphicData>
            </a:graphic>
          </wp:inline>
        </w:drawing>
      </w:r>
      <w:r>
        <w:rPr>
          <w:sz w:val="20"/>
        </w:rPr>
      </w:r>
    </w:p>
    <w:p>
      <w:pPr>
        <w:spacing w:after="0"/>
        <w:rPr>
          <w:sz w:val="20"/>
        </w:rPr>
        <w:sectPr>
          <w:pgSz w:w="12240" w:h="15840"/>
          <w:pgMar w:header="740" w:footer="779" w:top="960" w:bottom="96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2"/>
        <w:numPr>
          <w:ilvl w:val="0"/>
          <w:numId w:val="4"/>
        </w:numPr>
        <w:tabs>
          <w:tab w:pos="486" w:val="left" w:leader="none"/>
        </w:tabs>
        <w:spacing w:line="480" w:lineRule="auto" w:before="69" w:after="0"/>
        <w:ind w:left="495" w:right="194" w:hanging="317"/>
        <w:jc w:val="left"/>
      </w:pPr>
      <w:bookmarkStart w:name="_bookmark11" w:id="13"/>
      <w:bookmarkEnd w:id="13"/>
      <w:r>
        <w:rPr>
          <w:b w:val="0"/>
        </w:rPr>
      </w:r>
      <w:bookmarkStart w:name="_bookmark11" w:id="14"/>
      <w:bookmarkEnd w:id="14"/>
      <w:r>
        <w:rPr/>
        <w:t>CO</w:t>
      </w:r>
      <w:r>
        <w:rPr/>
        <w:t>MPARACIÓN DE DOS MÉTODOS PARA ESTIMAR DENSIDAD DE </w:t>
      </w:r>
      <w:r>
        <w:rPr>
          <w:i/>
        </w:rPr>
        <w:t>Puma </w:t>
      </w:r>
      <w:r>
        <w:rPr>
          <w:i/>
        </w:rPr>
        <w:t>concolor </w:t>
      </w:r>
      <w:r>
        <w:rPr/>
        <w:t>EN LA RESERVA NATURAL SIERRA NANCHITITLA,</w:t>
      </w:r>
      <w:r>
        <w:rPr>
          <w:spacing w:val="-13"/>
        </w:rPr>
        <w:t> </w:t>
      </w:r>
      <w:r>
        <w:rPr/>
        <w:t>MÉXICO.</w:t>
      </w:r>
    </w:p>
    <w:p>
      <w:pPr>
        <w:pStyle w:val="BodyText"/>
        <w:spacing w:before="5"/>
        <w:ind w:left="189" w:right="205"/>
        <w:jc w:val="center"/>
      </w:pPr>
      <w:r>
        <w:rPr/>
        <w:t>Leroy Soria-Díaz, Yuriana Gómez-Ortiz y Octavio Monroy-Vilchis</w:t>
      </w:r>
    </w:p>
    <w:p>
      <w:pPr>
        <w:pStyle w:val="BodyText"/>
      </w:pPr>
    </w:p>
    <w:p>
      <w:pPr>
        <w:pStyle w:val="BodyText"/>
      </w:pPr>
    </w:p>
    <w:p>
      <w:pPr>
        <w:pStyle w:val="BodyText"/>
        <w:spacing w:before="7"/>
      </w:pPr>
    </w:p>
    <w:p>
      <w:pPr>
        <w:pStyle w:val="Heading2"/>
        <w:ind w:left="189" w:right="207"/>
        <w:jc w:val="center"/>
      </w:pPr>
      <w:r>
        <w:rPr/>
        <w:t>INTRODUCCIÓN</w:t>
      </w:r>
    </w:p>
    <w:p>
      <w:pPr>
        <w:pStyle w:val="BodyText"/>
        <w:spacing w:line="480" w:lineRule="auto" w:before="129"/>
        <w:ind w:left="102" w:right="115" w:firstLine="707"/>
        <w:jc w:val="both"/>
      </w:pPr>
      <w:r>
        <w:rPr/>
        <w:t>La mayoría de los carnívoros grandes como los felinos, son difíciles de monitorear y censar </w:t>
      </w:r>
      <w:r>
        <w:rPr>
          <w:spacing w:val="-3"/>
        </w:rPr>
        <w:t>ya </w:t>
      </w:r>
      <w:r>
        <w:rPr/>
        <w:t>que son nocturnos, crípticos, con amplios ámbitos hogareños y porque se encuentran en densidades bajas (Conroy </w:t>
      </w:r>
      <w:r>
        <w:rPr>
          <w:i/>
        </w:rPr>
        <w:t>et al., </w:t>
      </w:r>
      <w:r>
        <w:rPr/>
        <w:t>1996). Como resultado de estas características existen algunos métodos indirectos y directos que son usados para estimar su tamaño poblacional. Indirectamente los individuos pueden ser contabilizados con el número de excrementos, huellas y madrigueras encontrados en trayectos lineales ó en parcelas (Walker </w:t>
      </w:r>
      <w:r>
        <w:rPr>
          <w:i/>
        </w:rPr>
        <w:t>et al., </w:t>
      </w:r>
      <w:r>
        <w:rPr/>
        <w:t>2000), estas técnicas han sido comúnmente utilizadas </w:t>
      </w:r>
      <w:r>
        <w:rPr>
          <w:spacing w:val="-3"/>
        </w:rPr>
        <w:t>ya </w:t>
      </w:r>
      <w:r>
        <w:rPr/>
        <w:t>que nos dan índices de abundancia y densidad relativos (Sutherland, 1996) y han sido considerados como repetibles y objetivos (Gusset y Burgener, 2005). Otras ventajas que tienen estos métodos, es la facilidad para aplicarse en campo, no son invasivos y son de bajo costo, además de  que pueden aplicarse en cualquier tipo de ambiente por lo que han resultado ser prácticos (Stander, 1998; Harrison </w:t>
      </w:r>
      <w:r>
        <w:rPr>
          <w:i/>
        </w:rPr>
        <w:t>et al</w:t>
      </w:r>
      <w:r>
        <w:rPr/>
        <w:t>., 2002; Schuaster </w:t>
      </w:r>
      <w:r>
        <w:rPr>
          <w:i/>
        </w:rPr>
        <w:t>et al</w:t>
      </w:r>
      <w:r>
        <w:rPr/>
        <w:t>., 2002). El uso de los muestreo indirectos, ocurren principalmente en sitios donde los muestreo directos no son posibles, o bien; son aplicados de acuerdo a los objetivos, la especie, el área, el hábitat, así como costo económico y disponibilidad de tiempo (Gusset y Burgener,</w:t>
      </w:r>
      <w:r>
        <w:rPr>
          <w:spacing w:val="-8"/>
        </w:rPr>
        <w:t> </w:t>
      </w:r>
      <w:r>
        <w:rPr/>
        <w:t>2005).</w:t>
      </w:r>
    </w:p>
    <w:p>
      <w:pPr>
        <w:pStyle w:val="BodyText"/>
        <w:spacing w:line="480" w:lineRule="auto" w:before="10"/>
        <w:ind w:left="102" w:right="114" w:firstLine="707"/>
        <w:jc w:val="both"/>
      </w:pPr>
      <w:r>
        <w:rPr/>
        <w:t>Por otro lado, los métodos directos, tienen como ventaja obtener abundancia y densidad  absolutas  de  una  población,  ya  sea  contabilizando  el  número  de      animales</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5"/>
        <w:jc w:val="both"/>
      </w:pPr>
      <w:r>
        <w:rPr/>
        <w:t>observados, capturados ó fotografiados en trampas cámara (Walker </w:t>
      </w:r>
      <w:r>
        <w:rPr>
          <w:i/>
        </w:rPr>
        <w:t>et al., </w:t>
      </w:r>
      <w:r>
        <w:rPr/>
        <w:t>2000). La desventaja de estas técnicas es que resultan ser económicamente más costosos que los métodos indirectos (Conroy </w:t>
      </w:r>
      <w:r>
        <w:rPr>
          <w:i/>
        </w:rPr>
        <w:t>et al., </w:t>
      </w:r>
      <w:r>
        <w:rPr/>
        <w:t>1996). En el caso de los avistamientos directos, estos están restringidos a la facilidad que se tenga para observar a los animales en campo y resultan ser invasivos. Por ejemplo, la telemetría, ha sido descrita como invasiva y de muy alto costo, la cual hace inferencias del tamaño poblacional a partir de los animales con collar, que esto no garantiza que captures a todos los individuos de la zona (Maffeí </w:t>
      </w:r>
      <w:r>
        <w:rPr>
          <w:i/>
        </w:rPr>
        <w:t>et al., </w:t>
      </w:r>
      <w:r>
        <w:rPr/>
        <w:t>2002). Actualmente el uso de trampas cámara se ha considerado como una herramienta no invasiva y de bajo costo, que obtiene datos poblacionales en periodos cortos de muestreo (Soria-Díaz </w:t>
      </w:r>
      <w:r>
        <w:rPr>
          <w:i/>
        </w:rPr>
        <w:t>et al., </w:t>
      </w:r>
      <w:r>
        <w:rPr/>
        <w:t>2010), aunque la compra y mantenimiento de las trampas cámara sigue siendo más costoso que emplear un método indirecto.</w:t>
      </w:r>
    </w:p>
    <w:p>
      <w:pPr>
        <w:pStyle w:val="BodyText"/>
        <w:spacing w:line="480" w:lineRule="auto" w:before="10"/>
        <w:ind w:left="102" w:right="114" w:firstLine="707"/>
        <w:jc w:val="both"/>
      </w:pPr>
      <w:r>
        <w:rPr/>
        <w:t>Debido al alto costo de las técnicas directas, varios autores han tenido la necesidad de utilizar el conteo de huellas o excrementos para determinar el tamaño poblacional de pumas (Smallwood y Fitzhugh, 1995; Lewison </w:t>
      </w:r>
      <w:r>
        <w:rPr>
          <w:i/>
        </w:rPr>
        <w:t>et al., </w:t>
      </w:r>
      <w:r>
        <w:rPr/>
        <w:t>2001; Rosas-Rosas </w:t>
      </w:r>
      <w:r>
        <w:rPr>
          <w:i/>
        </w:rPr>
        <w:t>et al</w:t>
      </w:r>
      <w:r>
        <w:rPr/>
        <w:t>., 2003), jaguares (Aranda, 1996), leones, leopardos y perros silvestres (Stander, 1998; Funston </w:t>
      </w:r>
      <w:r>
        <w:rPr>
          <w:i/>
        </w:rPr>
        <w:t>et  </w:t>
      </w:r>
      <w:r>
        <w:rPr>
          <w:i/>
        </w:rPr>
        <w:t>al., </w:t>
      </w:r>
      <w:r>
        <w:rPr/>
        <w:t>2010), pero son pocos los que comparan los índices de abundancia relativa con la abundancia absoluta de una población, para determinar la confiabilidad que tienen los índices (Schauster </w:t>
      </w:r>
      <w:r>
        <w:rPr>
          <w:i/>
        </w:rPr>
        <w:t>et al., </w:t>
      </w:r>
      <w:r>
        <w:rPr/>
        <w:t>2002; Van Dike </w:t>
      </w:r>
      <w:r>
        <w:rPr>
          <w:i/>
        </w:rPr>
        <w:t>et al., </w:t>
      </w:r>
      <w:r>
        <w:rPr/>
        <w:t>1986; Gusset y Burgener, 2005). </w:t>
      </w:r>
      <w:r>
        <w:rPr>
          <w:spacing w:val="-3"/>
        </w:rPr>
        <w:t>Lo </w:t>
      </w:r>
      <w:r>
        <w:rPr/>
        <w:t>cual sugiere que existe poco conocimiento de la efectividad y precisión de los muestreos indirectos, sin embargo los resultados de estos estudios comparativos sugieren que el uso  de índices indirectos puede dar estimaciones indirectas fiables y con un bajo costo. En este estudio se compara la densidad relativa obtenida del número de excrementos de </w:t>
      </w:r>
      <w:r>
        <w:rPr>
          <w:i/>
        </w:rPr>
        <w:t>Puma </w:t>
      </w:r>
      <w:r>
        <w:rPr>
          <w:i/>
        </w:rPr>
        <w:t>concolor </w:t>
      </w:r>
      <w:r>
        <w:rPr/>
        <w:t>colectados en campo, con la densidad absoluta obtenida a partir de trampas cámara ubicadas en la zona de</w:t>
      </w:r>
      <w:r>
        <w:rPr>
          <w:spacing w:val="-5"/>
        </w:rPr>
        <w:t> </w:t>
      </w:r>
      <w:r>
        <w:rPr/>
        <w:t>estudio.</w:t>
      </w:r>
    </w:p>
    <w:p>
      <w:pPr>
        <w:spacing w:after="0" w:line="480" w:lineRule="auto"/>
        <w:jc w:val="both"/>
        <w:sectPr>
          <w:pgSz w:w="12240" w:h="15840"/>
          <w:pgMar w:header="740" w:footer="779" w:top="960" w:bottom="960" w:left="1600" w:right="1580"/>
        </w:sect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2"/>
        <w:spacing w:before="69"/>
        <w:ind w:left="3373" w:right="197"/>
      </w:pPr>
      <w:r>
        <w:rPr/>
        <w:t>MATERIALES Y MÉTODO</w:t>
      </w:r>
    </w:p>
    <w:p>
      <w:pPr>
        <w:pStyle w:val="BodyText"/>
        <w:spacing w:before="6"/>
        <w:rPr>
          <w:b/>
          <w:sz w:val="23"/>
        </w:rPr>
      </w:pPr>
    </w:p>
    <w:p>
      <w:pPr>
        <w:pStyle w:val="BodyText"/>
        <w:spacing w:line="480" w:lineRule="auto"/>
        <w:ind w:left="102" w:right="115" w:firstLine="707"/>
        <w:jc w:val="both"/>
      </w:pPr>
      <w:r>
        <w:rPr/>
        <w:pict>
          <v:group style="position:absolute;margin-left:108.599998pt;margin-top:240.123123pt;width:410.4pt;height:189.6pt;mso-position-horizontal-relative:page;mso-position-vertical-relative:paragraph;z-index:-107896" coordorigin="2172,4802" coordsize="8208,3792">
            <v:shape style="position:absolute;left:2172;top:4841;width:4116;height:3695" type="#_x0000_t75" stroked="false">
              <v:imagedata r:id="rId17" o:title=""/>
            </v:shape>
            <v:shape style="position:absolute;left:6291;top:4802;width:4089;height:3791" type="#_x0000_t75" stroked="false">
              <v:imagedata r:id="rId18" o:title=""/>
            </v:shape>
            <w10:wrap type="none"/>
          </v:group>
        </w:pict>
      </w:r>
      <w:r>
        <w:rPr/>
        <w:t>Para determinar el índice de densidad relativa (número de excrementos/100 km) se realizaron salidas mensuales con duración de 4 días a la RNSN de febrero del 2004 a marzo 2006 con la finalidad de colectar excrementos de puma sobre tres trayectos </w:t>
      </w:r>
      <w:r>
        <w:rPr>
          <w:spacing w:val="-3"/>
        </w:rPr>
        <w:t>ya </w:t>
      </w:r>
      <w:r>
        <w:rPr/>
        <w:t>establecidos dentro de la reserva (El filo, la cascada y los barriales), que juntos sumaron una extensión de 22 km recorridos. Los excrementos fueron identificados con base en sus características morfológicas (ancho, longitud y peso) y la presencia de rastros asociados (Aranda, 2000; Figura 2.1), con la colocación de trampas cámara ubicadas en los sitios de colecta, con la comparación con muestras obtenidas de animales cautivos y con el análisis de ácidos biliares.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13"/>
        <w:ind w:left="1916" w:right="197"/>
      </w:pPr>
      <w:bookmarkStart w:name="_bookmark12" w:id="15"/>
      <w:bookmarkEnd w:id="15"/>
      <w:r>
        <w:rPr/>
      </w:r>
      <w:r>
        <w:rPr/>
        <w:t>Figura 2.1 Huella y excremento de puma en el RNSN.</w:t>
      </w:r>
    </w:p>
    <w:p>
      <w:pPr>
        <w:pStyle w:val="BodyText"/>
      </w:pPr>
    </w:p>
    <w:p>
      <w:pPr>
        <w:pStyle w:val="BodyText"/>
        <w:spacing w:before="9"/>
        <w:rPr>
          <w:sz w:val="23"/>
        </w:rPr>
      </w:pPr>
    </w:p>
    <w:p>
      <w:pPr>
        <w:pStyle w:val="BodyText"/>
        <w:spacing w:line="480" w:lineRule="auto"/>
        <w:ind w:left="102" w:right="122" w:firstLine="707"/>
        <w:jc w:val="both"/>
      </w:pPr>
      <w:r>
        <w:rPr/>
        <w:t>El índice de densidad relativa se obtuvo dividiendo el número de excrementos colectados  mensualmente  entre  la  longitud  total  en  kilómetros  (km)  de  los    trayectos</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97"/>
      </w:pPr>
      <w:r>
        <w:rPr/>
        <w:t>recorridos y se extrapolo a 100 km, para tener el número de excrementos por 100 km (excrementos/100 km).</w:t>
      </w:r>
    </w:p>
    <w:p>
      <w:pPr>
        <w:pStyle w:val="BodyText"/>
        <w:spacing w:line="480" w:lineRule="auto" w:before="10"/>
        <w:ind w:left="102" w:right="121" w:firstLine="707"/>
        <w:jc w:val="both"/>
      </w:pPr>
      <w:r>
        <w:rPr/>
        <w:t>Para la abundancia absoluta se colocaron 10 trampas cámara marca Camtrakker con sensores pasivos de movimiento y temperatura. Estas se activan cuando un objeto con temperatura diferente a la ambiental pasa enfrente del sistema de detección.</w:t>
      </w:r>
    </w:p>
    <w:p>
      <w:pPr>
        <w:pStyle w:val="BodyText"/>
        <w:spacing w:line="480" w:lineRule="auto" w:before="10" w:after="18"/>
        <w:ind w:left="102" w:right="117" w:firstLine="707"/>
        <w:jc w:val="both"/>
      </w:pPr>
      <w:r>
        <w:rPr/>
        <w:t>Las trampas cámara se colocaron sobre los senderos que se utilizaron para la colecta de excrementos durante el mismo periodo de muestreo, en donde se encontró el mayor número de rastros (excrementos ó huellas), se sujetaron a troncos de árboles a 40-50 cm del suelo a una distancia de 3 a 6 m de donde se esperaba que pasaran los animales (Figura  2.2). Cada trampa cámara fue georreferenciada con un GPS marca GARMIN y fueron programadas para que funcionara las 24 horas del día, imprimieran la hora y la fecha en cada fotografía y con un intervalo de 20 segundos entre la toma de una fotografía y otra. El promedio de separación entre trampas fue de 1.6</w:t>
      </w:r>
      <w:r>
        <w:rPr>
          <w:spacing w:val="-6"/>
        </w:rPr>
        <w:t> </w:t>
      </w:r>
      <w:r>
        <w:rPr/>
        <w:t>km.</w:t>
      </w:r>
    </w:p>
    <w:p>
      <w:pPr>
        <w:pStyle w:val="BodyText"/>
        <w:ind w:left="2069"/>
        <w:rPr>
          <w:sz w:val="20"/>
        </w:rPr>
      </w:pPr>
      <w:r>
        <w:rPr>
          <w:sz w:val="20"/>
        </w:rPr>
        <w:drawing>
          <wp:inline distT="0" distB="0" distL="0" distR="0">
            <wp:extent cx="3605030" cy="2715768"/>
            <wp:effectExtent l="0" t="0" r="0" b="0"/>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19" cstate="print"/>
                    <a:stretch>
                      <a:fillRect/>
                    </a:stretch>
                  </pic:blipFill>
                  <pic:spPr>
                    <a:xfrm>
                      <a:off x="0" y="0"/>
                      <a:ext cx="3605030" cy="2715768"/>
                    </a:xfrm>
                    <a:prstGeom prst="rect">
                      <a:avLst/>
                    </a:prstGeom>
                  </pic:spPr>
                </pic:pic>
              </a:graphicData>
            </a:graphic>
          </wp:inline>
        </w:drawing>
      </w:r>
      <w:r>
        <w:rPr>
          <w:sz w:val="20"/>
        </w:rPr>
      </w:r>
    </w:p>
    <w:p>
      <w:pPr>
        <w:pStyle w:val="BodyText"/>
      </w:pPr>
    </w:p>
    <w:p>
      <w:pPr>
        <w:pStyle w:val="BodyText"/>
        <w:spacing w:before="163"/>
        <w:ind w:left="1558" w:right="197"/>
      </w:pPr>
      <w:bookmarkStart w:name="_bookmark13" w:id="16"/>
      <w:bookmarkEnd w:id="16"/>
      <w:r>
        <w:rPr/>
      </w:r>
      <w:r>
        <w:rPr/>
        <w:t>Figura 2.2 Trampa cámara (Camtrakker) ubicada en el RNSN</w:t>
      </w:r>
    </w:p>
    <w:p>
      <w:pPr>
        <w:spacing w:after="0"/>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21" w:firstLine="707"/>
        <w:jc w:val="both"/>
      </w:pPr>
      <w:r>
        <w:rPr/>
        <w:t>La unidad de medida del esfuerzo de muestreo fueron los días trampa (considerando un día trampa como 24 horas), el total de éstos, fue la sumatoria de los días trampa de cada trampa cámara; es decir, el número de días que cada cámara permaneció funcionado o hasta la fecha de la última exposición, en los casos en que se terminó la película fotográfica o batería.</w:t>
      </w:r>
    </w:p>
    <w:p>
      <w:pPr>
        <w:pStyle w:val="BodyText"/>
        <w:spacing w:line="480" w:lineRule="auto" w:before="10"/>
        <w:ind w:left="102" w:right="117" w:firstLine="707"/>
        <w:jc w:val="both"/>
      </w:pPr>
      <w:r>
        <w:rPr/>
        <w:t>Con las fotografías que se obtuvieron mensualmente se identificó a los individuos por su sexo, cicatrices y manchas en diferentes partes del cuerpo (Kelly </w:t>
      </w:r>
      <w:r>
        <w:rPr>
          <w:i/>
        </w:rPr>
        <w:t>et al., </w:t>
      </w:r>
      <w:r>
        <w:rPr/>
        <w:t>2008). Se aplicó el método de marcaje-recaptura y el programa estadístico CAPTURE para determinar la abundancia de pumas por bloque, el cual estuvo constituido por un periodo de tres meses para incrementar la probabilidad de que la población fuera cerrada. Para determinar la densidad se dividió la abundancia de cada bloque entre el área que cubrieron las trampas cámara durante el muestreo (Soria-Díaz </w:t>
      </w:r>
      <w:r>
        <w:rPr>
          <w:i/>
        </w:rPr>
        <w:t>et al.,</w:t>
      </w:r>
      <w:r>
        <w:rPr>
          <w:i/>
          <w:spacing w:val="-7"/>
        </w:rPr>
        <w:t> </w:t>
      </w:r>
      <w:r>
        <w:rPr/>
        <w:t>2010).</w:t>
      </w:r>
    </w:p>
    <w:p>
      <w:pPr>
        <w:pStyle w:val="BodyText"/>
        <w:spacing w:line="480" w:lineRule="auto" w:before="10"/>
        <w:ind w:left="102" w:right="119" w:firstLine="707"/>
        <w:jc w:val="both"/>
      </w:pPr>
      <w:r>
        <w:rPr/>
        <w:t>Con la finalidad de determinar la relación entre las metodologías empleadas se comparó la densidad absoluta de siete bloques de muestreo con el promedio del índice de densidad relativa de los tres meses correspondientes a cada bloque </w:t>
      </w:r>
      <w:r>
        <w:rPr>
          <w:spacing w:val="-3"/>
        </w:rPr>
        <w:t>ya </w:t>
      </w:r>
      <w:r>
        <w:rPr/>
        <w:t>que el índice se obtuvo mensualmente y la abundancia absoluta trimestralmente (cuadro 1). Debido a que los datos no mostraron una distribución normal, se aplicó un análisis de correlación de Sperman (Weimer,</w:t>
      </w:r>
      <w:r>
        <w:rPr>
          <w:spacing w:val="-5"/>
        </w:rPr>
        <w:t> </w:t>
      </w:r>
      <w:r>
        <w:rPr/>
        <w:t>2007).</w:t>
      </w:r>
    </w:p>
    <w:p>
      <w:pPr>
        <w:pStyle w:val="Heading2"/>
        <w:spacing w:before="15"/>
        <w:ind w:left="3246" w:right="197"/>
      </w:pPr>
      <w:r>
        <w:rPr/>
        <w:t>RESULTADOS Y DISCUSIÓN</w:t>
      </w:r>
    </w:p>
    <w:p>
      <w:pPr>
        <w:pStyle w:val="BodyText"/>
        <w:rPr>
          <w:b/>
        </w:rPr>
      </w:pPr>
    </w:p>
    <w:p>
      <w:pPr>
        <w:spacing w:before="0"/>
        <w:ind w:left="102" w:right="197" w:firstLine="0"/>
        <w:jc w:val="left"/>
        <w:rPr>
          <w:b/>
          <w:sz w:val="24"/>
        </w:rPr>
      </w:pPr>
      <w:r>
        <w:rPr>
          <w:b/>
          <w:sz w:val="24"/>
        </w:rPr>
        <w:t>Índice de densidad relativa</w:t>
      </w:r>
    </w:p>
    <w:p>
      <w:pPr>
        <w:pStyle w:val="BodyText"/>
        <w:spacing w:before="6"/>
        <w:rPr>
          <w:b/>
          <w:sz w:val="23"/>
        </w:rPr>
      </w:pPr>
    </w:p>
    <w:p>
      <w:pPr>
        <w:pStyle w:val="BodyText"/>
        <w:spacing w:line="480" w:lineRule="auto"/>
        <w:ind w:left="102" w:right="117" w:firstLine="707"/>
        <w:jc w:val="both"/>
      </w:pPr>
      <w:r>
        <w:rPr/>
        <w:t>Se colectaron un total de 95 excrementos de puma (</w:t>
      </w:r>
      <w:r>
        <w:rPr>
          <w:i/>
        </w:rPr>
        <w:t>Puma concolor</w:t>
      </w:r>
      <w:r>
        <w:rPr/>
        <w:t>) y se obtuvo un índice de densidad relativa de 0.41 a 3.72 excrementos/100 km (cuadro 2.1).</w:t>
      </w:r>
    </w:p>
    <w:p>
      <w:pPr>
        <w:pStyle w:val="Heading2"/>
        <w:spacing w:before="15"/>
        <w:ind w:right="6695"/>
      </w:pPr>
      <w:r>
        <w:rPr/>
        <w:t>Densidad absoluta</w:t>
      </w:r>
    </w:p>
    <w:p>
      <w:pPr>
        <w:spacing w:after="0"/>
        <w:sectPr>
          <w:pgSz w:w="12240" w:h="15840"/>
          <w:pgMar w:header="740" w:footer="779" w:top="960" w:bottom="960" w:left="1600" w:right="1580"/>
        </w:sectPr>
      </w:pPr>
    </w:p>
    <w:p>
      <w:pPr>
        <w:pStyle w:val="BodyText"/>
        <w:rPr>
          <w:b/>
          <w:sz w:val="20"/>
        </w:rPr>
      </w:pPr>
    </w:p>
    <w:p>
      <w:pPr>
        <w:pStyle w:val="BodyText"/>
        <w:spacing w:before="9"/>
        <w:rPr>
          <w:b/>
          <w:sz w:val="18"/>
        </w:rPr>
      </w:pPr>
    </w:p>
    <w:p>
      <w:pPr>
        <w:pStyle w:val="BodyText"/>
        <w:spacing w:line="470" w:lineRule="auto"/>
        <w:ind w:left="102" w:right="116" w:firstLine="707"/>
        <w:jc w:val="right"/>
      </w:pPr>
      <w:r>
        <w:rPr/>
        <w:t>Se obtuvieron 73 fotografías con un esfuerzo de muestreo de 56 a 618 días trampa. Con estos resultados se calculó una densidad absoluta de 1 a 6 pumas/100 km</w:t>
      </w:r>
      <w:r>
        <w:rPr>
          <w:position w:val="11"/>
          <w:sz w:val="16"/>
        </w:rPr>
        <w:t>2 </w:t>
      </w:r>
      <w:r>
        <w:rPr/>
        <w:t>(cuadro 2.1). De acuerdo al análisis de correlación de Sperman no existe una relación entre la densidad absoluta y el índice de densidad relativa (r</w:t>
      </w:r>
      <w:r>
        <w:rPr>
          <w:i/>
          <w:position w:val="-2"/>
          <w:sz w:val="16"/>
        </w:rPr>
        <w:t>s</w:t>
      </w:r>
      <w:r>
        <w:rPr/>
        <w:t>=0.32; p&gt; 0.05; Figura 2.3), por lo que es probable que el índice utilizado en este estudio no muestre una medida confiable de la</w:t>
      </w:r>
    </w:p>
    <w:p>
      <w:pPr>
        <w:pStyle w:val="BodyText"/>
        <w:spacing w:before="21"/>
        <w:ind w:left="102" w:right="197"/>
      </w:pPr>
      <w:r>
        <w:rPr/>
        <w:t>población de pumas en la Sierra Nanchititla (Figura 2.3).</w:t>
      </w:r>
    </w:p>
    <w:p>
      <w:pPr>
        <w:pStyle w:val="BodyText"/>
      </w:pPr>
    </w:p>
    <w:p>
      <w:pPr>
        <w:pStyle w:val="BodyText"/>
        <w:spacing w:line="480" w:lineRule="auto" w:before="201" w:after="18"/>
        <w:ind w:left="2452" w:right="275" w:hanging="2178"/>
      </w:pPr>
      <w:bookmarkStart w:name="_bookmark14" w:id="17"/>
      <w:bookmarkEnd w:id="17"/>
      <w:r>
        <w:rPr/>
      </w:r>
      <w:r>
        <w:rPr/>
        <w:t>Cuadro 2.1 Comparación de la densidad de </w:t>
      </w:r>
      <w:r>
        <w:rPr>
          <w:i/>
        </w:rPr>
        <w:t>Puma concolor </w:t>
      </w:r>
      <w:r>
        <w:rPr/>
        <w:t>obtenida a través del método indirecto y directo por bloque de muestreo.</w:t>
      </w:r>
    </w:p>
    <w:tbl>
      <w:tblPr>
        <w:tblW w:w="0" w:type="auto"/>
        <w:jc w:val="lef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3"/>
        <w:gridCol w:w="2013"/>
        <w:gridCol w:w="3173"/>
        <w:gridCol w:w="1997"/>
      </w:tblGrid>
      <w:tr>
        <w:trPr>
          <w:trHeight w:val="1114" w:hRule="exact"/>
        </w:trPr>
        <w:tc>
          <w:tcPr>
            <w:tcW w:w="1223" w:type="dxa"/>
            <w:tcBorders>
              <w:left w:val="nil"/>
              <w:right w:val="nil"/>
            </w:tcBorders>
          </w:tcPr>
          <w:p>
            <w:pPr>
              <w:pStyle w:val="TableParagraph"/>
              <w:spacing w:before="7"/>
              <w:jc w:val="left"/>
              <w:rPr>
                <w:sz w:val="35"/>
              </w:rPr>
            </w:pPr>
          </w:p>
          <w:p>
            <w:pPr>
              <w:pStyle w:val="TableParagraph"/>
              <w:ind w:left="212" w:right="249"/>
              <w:rPr>
                <w:b/>
                <w:sz w:val="24"/>
              </w:rPr>
            </w:pPr>
            <w:r>
              <w:rPr>
                <w:b/>
                <w:sz w:val="24"/>
              </w:rPr>
              <w:t>Bloque</w:t>
            </w:r>
          </w:p>
        </w:tc>
        <w:tc>
          <w:tcPr>
            <w:tcW w:w="2013" w:type="dxa"/>
            <w:tcBorders>
              <w:left w:val="nil"/>
              <w:right w:val="nil"/>
            </w:tcBorders>
          </w:tcPr>
          <w:p>
            <w:pPr>
              <w:pStyle w:val="TableParagraph"/>
              <w:spacing w:before="133"/>
              <w:ind w:left="269" w:right="242" w:firstLine="1"/>
              <w:rPr>
                <w:b/>
                <w:sz w:val="24"/>
              </w:rPr>
            </w:pPr>
            <w:r>
              <w:rPr>
                <w:b/>
                <w:sz w:val="24"/>
              </w:rPr>
              <w:t>Esfuerzo de muestreo (días trampa)</w:t>
            </w:r>
          </w:p>
        </w:tc>
        <w:tc>
          <w:tcPr>
            <w:tcW w:w="3173" w:type="dxa"/>
            <w:tcBorders>
              <w:left w:val="nil"/>
              <w:right w:val="nil"/>
            </w:tcBorders>
          </w:tcPr>
          <w:p>
            <w:pPr>
              <w:pStyle w:val="TableParagraph"/>
              <w:spacing w:before="8"/>
              <w:jc w:val="left"/>
              <w:rPr>
                <w:sz w:val="23"/>
              </w:rPr>
            </w:pPr>
          </w:p>
          <w:p>
            <w:pPr>
              <w:pStyle w:val="TableParagraph"/>
              <w:ind w:left="499" w:right="142" w:hanging="255"/>
              <w:jc w:val="left"/>
              <w:rPr>
                <w:b/>
                <w:sz w:val="24"/>
              </w:rPr>
            </w:pPr>
            <w:r>
              <w:rPr>
                <w:b/>
                <w:sz w:val="24"/>
              </w:rPr>
              <w:t>Índice de densidad relativa (excrementos/100 km)</w:t>
            </w:r>
          </w:p>
        </w:tc>
        <w:tc>
          <w:tcPr>
            <w:tcW w:w="1997" w:type="dxa"/>
            <w:tcBorders>
              <w:left w:val="nil"/>
              <w:right w:val="nil"/>
            </w:tcBorders>
          </w:tcPr>
          <w:p>
            <w:pPr>
              <w:pStyle w:val="TableParagraph"/>
              <w:jc w:val="left"/>
              <w:rPr>
                <w:sz w:val="24"/>
              </w:rPr>
            </w:pPr>
          </w:p>
          <w:p>
            <w:pPr>
              <w:pStyle w:val="TableParagraph"/>
              <w:spacing w:line="276" w:lineRule="exact"/>
              <w:ind w:left="163" w:right="153" w:firstLine="2"/>
              <w:rPr>
                <w:b/>
                <w:sz w:val="24"/>
              </w:rPr>
            </w:pPr>
            <w:r>
              <w:rPr>
                <w:b/>
                <w:sz w:val="24"/>
              </w:rPr>
              <w:t>Densidad absoluta (pumas/100km</w:t>
            </w:r>
            <w:r>
              <w:rPr>
                <w:b/>
                <w:position w:val="11"/>
                <w:sz w:val="16"/>
              </w:rPr>
              <w:t>2</w:t>
            </w:r>
            <w:r>
              <w:rPr>
                <w:b/>
                <w:sz w:val="24"/>
              </w:rPr>
              <w:t>)</w:t>
            </w:r>
          </w:p>
        </w:tc>
      </w:tr>
      <w:tr>
        <w:trPr>
          <w:trHeight w:val="286" w:hRule="exact"/>
        </w:trPr>
        <w:tc>
          <w:tcPr>
            <w:tcW w:w="1223" w:type="dxa"/>
            <w:tcBorders>
              <w:left w:val="nil"/>
              <w:bottom w:val="nil"/>
              <w:right w:val="nil"/>
            </w:tcBorders>
          </w:tcPr>
          <w:p>
            <w:pPr>
              <w:pStyle w:val="TableParagraph"/>
              <w:spacing w:line="268" w:lineRule="exact"/>
              <w:ind w:right="40"/>
              <w:rPr>
                <w:sz w:val="24"/>
              </w:rPr>
            </w:pPr>
            <w:r>
              <w:rPr>
                <w:sz w:val="24"/>
              </w:rPr>
              <w:t>1</w:t>
            </w:r>
          </w:p>
        </w:tc>
        <w:tc>
          <w:tcPr>
            <w:tcW w:w="2013" w:type="dxa"/>
            <w:tcBorders>
              <w:left w:val="nil"/>
              <w:bottom w:val="nil"/>
              <w:right w:val="nil"/>
            </w:tcBorders>
          </w:tcPr>
          <w:p>
            <w:pPr>
              <w:pStyle w:val="TableParagraph"/>
              <w:spacing w:line="268" w:lineRule="exact"/>
              <w:ind w:right="869"/>
              <w:jc w:val="right"/>
              <w:rPr>
                <w:sz w:val="24"/>
              </w:rPr>
            </w:pPr>
            <w:r>
              <w:rPr>
                <w:sz w:val="24"/>
              </w:rPr>
              <w:t>56</w:t>
            </w:r>
          </w:p>
        </w:tc>
        <w:tc>
          <w:tcPr>
            <w:tcW w:w="3173" w:type="dxa"/>
            <w:tcBorders>
              <w:left w:val="nil"/>
              <w:bottom w:val="nil"/>
              <w:right w:val="nil"/>
            </w:tcBorders>
          </w:tcPr>
          <w:p>
            <w:pPr>
              <w:pStyle w:val="TableParagraph"/>
              <w:spacing w:line="268" w:lineRule="exact"/>
              <w:ind w:right="1332"/>
              <w:jc w:val="right"/>
              <w:rPr>
                <w:sz w:val="24"/>
              </w:rPr>
            </w:pPr>
            <w:r>
              <w:rPr>
                <w:sz w:val="24"/>
              </w:rPr>
              <w:t>3.72</w:t>
            </w:r>
          </w:p>
        </w:tc>
        <w:tc>
          <w:tcPr>
            <w:tcW w:w="1997" w:type="dxa"/>
            <w:tcBorders>
              <w:left w:val="nil"/>
              <w:bottom w:val="nil"/>
              <w:right w:val="nil"/>
            </w:tcBorders>
          </w:tcPr>
          <w:p>
            <w:pPr>
              <w:pStyle w:val="TableParagraph"/>
              <w:spacing w:line="268" w:lineRule="exact"/>
              <w:ind w:left="9"/>
              <w:rPr>
                <w:sz w:val="24"/>
              </w:rPr>
            </w:pPr>
            <w:r>
              <w:rPr>
                <w:sz w:val="24"/>
              </w:rPr>
              <w:t>4</w:t>
            </w:r>
          </w:p>
        </w:tc>
      </w:tr>
      <w:tr>
        <w:trPr>
          <w:trHeight w:val="276" w:hRule="exact"/>
        </w:trPr>
        <w:tc>
          <w:tcPr>
            <w:tcW w:w="1223" w:type="dxa"/>
            <w:tcBorders>
              <w:top w:val="nil"/>
              <w:left w:val="nil"/>
              <w:bottom w:val="nil"/>
              <w:right w:val="nil"/>
            </w:tcBorders>
          </w:tcPr>
          <w:p>
            <w:pPr>
              <w:pStyle w:val="TableParagraph"/>
              <w:spacing w:line="263" w:lineRule="exact"/>
              <w:ind w:right="40"/>
              <w:rPr>
                <w:sz w:val="24"/>
              </w:rPr>
            </w:pPr>
            <w:r>
              <w:rPr>
                <w:sz w:val="24"/>
              </w:rPr>
              <w:t>2</w:t>
            </w:r>
          </w:p>
        </w:tc>
        <w:tc>
          <w:tcPr>
            <w:tcW w:w="2013" w:type="dxa"/>
            <w:tcBorders>
              <w:top w:val="nil"/>
              <w:left w:val="nil"/>
              <w:bottom w:val="nil"/>
              <w:right w:val="nil"/>
            </w:tcBorders>
          </w:tcPr>
          <w:p>
            <w:pPr>
              <w:pStyle w:val="TableParagraph"/>
              <w:spacing w:line="263" w:lineRule="exact"/>
              <w:ind w:right="809"/>
              <w:jc w:val="right"/>
              <w:rPr>
                <w:sz w:val="24"/>
              </w:rPr>
            </w:pPr>
            <w:r>
              <w:rPr>
                <w:sz w:val="24"/>
              </w:rPr>
              <w:t>240</w:t>
            </w:r>
          </w:p>
        </w:tc>
        <w:tc>
          <w:tcPr>
            <w:tcW w:w="3173" w:type="dxa"/>
            <w:tcBorders>
              <w:top w:val="nil"/>
              <w:left w:val="nil"/>
              <w:bottom w:val="nil"/>
              <w:right w:val="nil"/>
            </w:tcBorders>
          </w:tcPr>
          <w:p>
            <w:pPr>
              <w:pStyle w:val="TableParagraph"/>
              <w:spacing w:line="263" w:lineRule="exact"/>
              <w:ind w:right="1332"/>
              <w:jc w:val="right"/>
              <w:rPr>
                <w:sz w:val="24"/>
              </w:rPr>
            </w:pPr>
            <w:r>
              <w:rPr>
                <w:sz w:val="24"/>
              </w:rPr>
              <w:t>1.86</w:t>
            </w:r>
          </w:p>
        </w:tc>
        <w:tc>
          <w:tcPr>
            <w:tcW w:w="1997" w:type="dxa"/>
            <w:tcBorders>
              <w:top w:val="nil"/>
              <w:left w:val="nil"/>
              <w:bottom w:val="nil"/>
              <w:right w:val="nil"/>
            </w:tcBorders>
          </w:tcPr>
          <w:p>
            <w:pPr>
              <w:pStyle w:val="TableParagraph"/>
              <w:spacing w:line="263" w:lineRule="exact"/>
              <w:ind w:left="9"/>
              <w:rPr>
                <w:sz w:val="24"/>
              </w:rPr>
            </w:pPr>
            <w:r>
              <w:rPr>
                <w:sz w:val="24"/>
              </w:rPr>
              <w:t>5</w:t>
            </w:r>
          </w:p>
        </w:tc>
      </w:tr>
      <w:tr>
        <w:trPr>
          <w:trHeight w:val="276" w:hRule="exact"/>
        </w:trPr>
        <w:tc>
          <w:tcPr>
            <w:tcW w:w="1223" w:type="dxa"/>
            <w:tcBorders>
              <w:top w:val="nil"/>
              <w:left w:val="nil"/>
              <w:bottom w:val="nil"/>
              <w:right w:val="nil"/>
            </w:tcBorders>
          </w:tcPr>
          <w:p>
            <w:pPr>
              <w:pStyle w:val="TableParagraph"/>
              <w:spacing w:line="263" w:lineRule="exact"/>
              <w:ind w:right="40"/>
              <w:rPr>
                <w:sz w:val="24"/>
              </w:rPr>
            </w:pPr>
            <w:r>
              <w:rPr>
                <w:sz w:val="24"/>
              </w:rPr>
              <w:t>3</w:t>
            </w:r>
          </w:p>
        </w:tc>
        <w:tc>
          <w:tcPr>
            <w:tcW w:w="2013" w:type="dxa"/>
            <w:tcBorders>
              <w:top w:val="nil"/>
              <w:left w:val="nil"/>
              <w:bottom w:val="nil"/>
              <w:right w:val="nil"/>
            </w:tcBorders>
          </w:tcPr>
          <w:p>
            <w:pPr>
              <w:pStyle w:val="TableParagraph"/>
              <w:spacing w:line="263" w:lineRule="exact"/>
              <w:ind w:right="809"/>
              <w:jc w:val="right"/>
              <w:rPr>
                <w:sz w:val="24"/>
              </w:rPr>
            </w:pPr>
            <w:r>
              <w:rPr>
                <w:sz w:val="24"/>
              </w:rPr>
              <w:t>164</w:t>
            </w:r>
          </w:p>
        </w:tc>
        <w:tc>
          <w:tcPr>
            <w:tcW w:w="3173" w:type="dxa"/>
            <w:tcBorders>
              <w:top w:val="nil"/>
              <w:left w:val="nil"/>
              <w:bottom w:val="nil"/>
              <w:right w:val="nil"/>
            </w:tcBorders>
          </w:tcPr>
          <w:p>
            <w:pPr>
              <w:pStyle w:val="TableParagraph"/>
              <w:spacing w:line="263" w:lineRule="exact"/>
              <w:ind w:right="1332"/>
              <w:jc w:val="right"/>
              <w:rPr>
                <w:sz w:val="24"/>
              </w:rPr>
            </w:pPr>
            <w:r>
              <w:rPr>
                <w:sz w:val="24"/>
              </w:rPr>
              <w:t>0.41</w:t>
            </w:r>
          </w:p>
        </w:tc>
        <w:tc>
          <w:tcPr>
            <w:tcW w:w="1997" w:type="dxa"/>
            <w:tcBorders>
              <w:top w:val="nil"/>
              <w:left w:val="nil"/>
              <w:bottom w:val="nil"/>
              <w:right w:val="nil"/>
            </w:tcBorders>
          </w:tcPr>
          <w:p>
            <w:pPr>
              <w:pStyle w:val="TableParagraph"/>
              <w:spacing w:line="263" w:lineRule="exact"/>
              <w:ind w:left="9"/>
              <w:rPr>
                <w:sz w:val="24"/>
              </w:rPr>
            </w:pPr>
            <w:r>
              <w:rPr>
                <w:sz w:val="24"/>
              </w:rPr>
              <w:t>3</w:t>
            </w:r>
          </w:p>
        </w:tc>
      </w:tr>
      <w:tr>
        <w:trPr>
          <w:trHeight w:val="276" w:hRule="exact"/>
        </w:trPr>
        <w:tc>
          <w:tcPr>
            <w:tcW w:w="1223" w:type="dxa"/>
            <w:tcBorders>
              <w:top w:val="nil"/>
              <w:left w:val="nil"/>
              <w:bottom w:val="nil"/>
              <w:right w:val="nil"/>
            </w:tcBorders>
          </w:tcPr>
          <w:p>
            <w:pPr>
              <w:pStyle w:val="TableParagraph"/>
              <w:spacing w:line="263" w:lineRule="exact"/>
              <w:ind w:right="40"/>
              <w:rPr>
                <w:sz w:val="24"/>
              </w:rPr>
            </w:pPr>
            <w:r>
              <w:rPr>
                <w:sz w:val="24"/>
              </w:rPr>
              <w:t>4</w:t>
            </w:r>
          </w:p>
        </w:tc>
        <w:tc>
          <w:tcPr>
            <w:tcW w:w="2013" w:type="dxa"/>
            <w:tcBorders>
              <w:top w:val="nil"/>
              <w:left w:val="nil"/>
              <w:bottom w:val="nil"/>
              <w:right w:val="nil"/>
            </w:tcBorders>
          </w:tcPr>
          <w:p>
            <w:pPr>
              <w:pStyle w:val="TableParagraph"/>
              <w:spacing w:line="263" w:lineRule="exact"/>
              <w:ind w:right="809"/>
              <w:jc w:val="right"/>
              <w:rPr>
                <w:sz w:val="24"/>
              </w:rPr>
            </w:pPr>
            <w:r>
              <w:rPr>
                <w:sz w:val="24"/>
              </w:rPr>
              <w:t>285</w:t>
            </w:r>
          </w:p>
        </w:tc>
        <w:tc>
          <w:tcPr>
            <w:tcW w:w="3173" w:type="dxa"/>
            <w:tcBorders>
              <w:top w:val="nil"/>
              <w:left w:val="nil"/>
              <w:bottom w:val="nil"/>
              <w:right w:val="nil"/>
            </w:tcBorders>
          </w:tcPr>
          <w:p>
            <w:pPr>
              <w:pStyle w:val="TableParagraph"/>
              <w:spacing w:line="263" w:lineRule="exact"/>
              <w:ind w:right="1332"/>
              <w:jc w:val="right"/>
              <w:rPr>
                <w:sz w:val="24"/>
              </w:rPr>
            </w:pPr>
            <w:r>
              <w:rPr>
                <w:sz w:val="24"/>
              </w:rPr>
              <w:t>0.83</w:t>
            </w:r>
          </w:p>
        </w:tc>
        <w:tc>
          <w:tcPr>
            <w:tcW w:w="1997" w:type="dxa"/>
            <w:tcBorders>
              <w:top w:val="nil"/>
              <w:left w:val="nil"/>
              <w:bottom w:val="nil"/>
              <w:right w:val="nil"/>
            </w:tcBorders>
          </w:tcPr>
          <w:p>
            <w:pPr>
              <w:pStyle w:val="TableParagraph"/>
              <w:spacing w:line="263" w:lineRule="exact"/>
              <w:ind w:left="9"/>
              <w:rPr>
                <w:sz w:val="24"/>
              </w:rPr>
            </w:pPr>
            <w:r>
              <w:rPr>
                <w:sz w:val="24"/>
              </w:rPr>
              <w:t>3</w:t>
            </w:r>
          </w:p>
        </w:tc>
      </w:tr>
      <w:tr>
        <w:trPr>
          <w:trHeight w:val="276" w:hRule="exact"/>
        </w:trPr>
        <w:tc>
          <w:tcPr>
            <w:tcW w:w="1223" w:type="dxa"/>
            <w:tcBorders>
              <w:top w:val="nil"/>
              <w:left w:val="nil"/>
              <w:bottom w:val="nil"/>
              <w:right w:val="nil"/>
            </w:tcBorders>
          </w:tcPr>
          <w:p>
            <w:pPr>
              <w:pStyle w:val="TableParagraph"/>
              <w:spacing w:line="263" w:lineRule="exact"/>
              <w:ind w:right="40"/>
              <w:rPr>
                <w:sz w:val="24"/>
              </w:rPr>
            </w:pPr>
            <w:r>
              <w:rPr>
                <w:sz w:val="24"/>
              </w:rPr>
              <w:t>5</w:t>
            </w:r>
          </w:p>
        </w:tc>
        <w:tc>
          <w:tcPr>
            <w:tcW w:w="2013" w:type="dxa"/>
            <w:tcBorders>
              <w:top w:val="nil"/>
              <w:left w:val="nil"/>
              <w:bottom w:val="nil"/>
              <w:right w:val="nil"/>
            </w:tcBorders>
          </w:tcPr>
          <w:p>
            <w:pPr>
              <w:pStyle w:val="TableParagraph"/>
              <w:spacing w:line="263" w:lineRule="exact"/>
              <w:ind w:right="809"/>
              <w:jc w:val="right"/>
              <w:rPr>
                <w:sz w:val="24"/>
              </w:rPr>
            </w:pPr>
            <w:r>
              <w:rPr>
                <w:sz w:val="24"/>
              </w:rPr>
              <w:t>553</w:t>
            </w:r>
          </w:p>
        </w:tc>
        <w:tc>
          <w:tcPr>
            <w:tcW w:w="3173" w:type="dxa"/>
            <w:tcBorders>
              <w:top w:val="nil"/>
              <w:left w:val="nil"/>
              <w:bottom w:val="nil"/>
              <w:right w:val="nil"/>
            </w:tcBorders>
          </w:tcPr>
          <w:p>
            <w:pPr>
              <w:pStyle w:val="TableParagraph"/>
              <w:spacing w:line="263" w:lineRule="exact"/>
              <w:ind w:right="1332"/>
              <w:jc w:val="right"/>
              <w:rPr>
                <w:sz w:val="24"/>
              </w:rPr>
            </w:pPr>
            <w:r>
              <w:rPr>
                <w:sz w:val="24"/>
              </w:rPr>
              <w:t>0.72</w:t>
            </w:r>
          </w:p>
        </w:tc>
        <w:tc>
          <w:tcPr>
            <w:tcW w:w="1997" w:type="dxa"/>
            <w:tcBorders>
              <w:top w:val="nil"/>
              <w:left w:val="nil"/>
              <w:bottom w:val="nil"/>
              <w:right w:val="nil"/>
            </w:tcBorders>
          </w:tcPr>
          <w:p>
            <w:pPr>
              <w:pStyle w:val="TableParagraph"/>
              <w:spacing w:line="263" w:lineRule="exact"/>
              <w:ind w:left="9"/>
              <w:rPr>
                <w:sz w:val="24"/>
              </w:rPr>
            </w:pPr>
            <w:r>
              <w:rPr>
                <w:sz w:val="24"/>
              </w:rPr>
              <w:t>5</w:t>
            </w:r>
          </w:p>
        </w:tc>
      </w:tr>
      <w:tr>
        <w:trPr>
          <w:trHeight w:val="276" w:hRule="exact"/>
        </w:trPr>
        <w:tc>
          <w:tcPr>
            <w:tcW w:w="1223" w:type="dxa"/>
            <w:tcBorders>
              <w:top w:val="nil"/>
              <w:left w:val="nil"/>
              <w:bottom w:val="nil"/>
              <w:right w:val="nil"/>
            </w:tcBorders>
          </w:tcPr>
          <w:p>
            <w:pPr>
              <w:pStyle w:val="TableParagraph"/>
              <w:spacing w:line="263" w:lineRule="exact"/>
              <w:ind w:right="40"/>
              <w:rPr>
                <w:sz w:val="24"/>
              </w:rPr>
            </w:pPr>
            <w:r>
              <w:rPr>
                <w:sz w:val="24"/>
              </w:rPr>
              <w:t>6</w:t>
            </w:r>
          </w:p>
        </w:tc>
        <w:tc>
          <w:tcPr>
            <w:tcW w:w="2013" w:type="dxa"/>
            <w:tcBorders>
              <w:top w:val="nil"/>
              <w:left w:val="nil"/>
              <w:bottom w:val="nil"/>
              <w:right w:val="nil"/>
            </w:tcBorders>
          </w:tcPr>
          <w:p>
            <w:pPr>
              <w:pStyle w:val="TableParagraph"/>
              <w:spacing w:line="263" w:lineRule="exact"/>
              <w:ind w:right="809"/>
              <w:jc w:val="right"/>
              <w:rPr>
                <w:sz w:val="24"/>
              </w:rPr>
            </w:pPr>
            <w:r>
              <w:rPr>
                <w:sz w:val="24"/>
              </w:rPr>
              <w:t>529</w:t>
            </w:r>
          </w:p>
        </w:tc>
        <w:tc>
          <w:tcPr>
            <w:tcW w:w="3173" w:type="dxa"/>
            <w:tcBorders>
              <w:top w:val="nil"/>
              <w:left w:val="nil"/>
              <w:bottom w:val="nil"/>
              <w:right w:val="nil"/>
            </w:tcBorders>
          </w:tcPr>
          <w:p>
            <w:pPr>
              <w:pStyle w:val="TableParagraph"/>
              <w:spacing w:line="263" w:lineRule="exact"/>
              <w:ind w:right="1332"/>
              <w:jc w:val="right"/>
              <w:rPr>
                <w:sz w:val="24"/>
              </w:rPr>
            </w:pPr>
            <w:r>
              <w:rPr>
                <w:sz w:val="24"/>
              </w:rPr>
              <w:t>1.10</w:t>
            </w:r>
          </w:p>
        </w:tc>
        <w:tc>
          <w:tcPr>
            <w:tcW w:w="1997" w:type="dxa"/>
            <w:tcBorders>
              <w:top w:val="nil"/>
              <w:left w:val="nil"/>
              <w:bottom w:val="nil"/>
              <w:right w:val="nil"/>
            </w:tcBorders>
          </w:tcPr>
          <w:p>
            <w:pPr>
              <w:pStyle w:val="TableParagraph"/>
              <w:spacing w:line="263" w:lineRule="exact"/>
              <w:ind w:left="9"/>
              <w:rPr>
                <w:sz w:val="24"/>
              </w:rPr>
            </w:pPr>
            <w:r>
              <w:rPr>
                <w:sz w:val="24"/>
              </w:rPr>
              <w:t>6</w:t>
            </w:r>
          </w:p>
        </w:tc>
      </w:tr>
      <w:tr>
        <w:trPr>
          <w:trHeight w:val="276" w:hRule="exact"/>
        </w:trPr>
        <w:tc>
          <w:tcPr>
            <w:tcW w:w="1223" w:type="dxa"/>
            <w:tcBorders>
              <w:top w:val="nil"/>
              <w:left w:val="nil"/>
              <w:right w:val="nil"/>
            </w:tcBorders>
          </w:tcPr>
          <w:p>
            <w:pPr>
              <w:pStyle w:val="TableParagraph"/>
              <w:spacing w:line="263" w:lineRule="exact"/>
              <w:ind w:right="40"/>
              <w:rPr>
                <w:sz w:val="24"/>
              </w:rPr>
            </w:pPr>
            <w:r>
              <w:rPr>
                <w:sz w:val="24"/>
              </w:rPr>
              <w:t>7</w:t>
            </w:r>
          </w:p>
        </w:tc>
        <w:tc>
          <w:tcPr>
            <w:tcW w:w="2013" w:type="dxa"/>
            <w:tcBorders>
              <w:top w:val="nil"/>
              <w:left w:val="nil"/>
              <w:right w:val="nil"/>
            </w:tcBorders>
          </w:tcPr>
          <w:p>
            <w:pPr>
              <w:pStyle w:val="TableParagraph"/>
              <w:spacing w:line="263" w:lineRule="exact"/>
              <w:ind w:right="809"/>
              <w:jc w:val="right"/>
              <w:rPr>
                <w:sz w:val="24"/>
              </w:rPr>
            </w:pPr>
            <w:r>
              <w:rPr>
                <w:sz w:val="24"/>
              </w:rPr>
              <w:t>618</w:t>
            </w:r>
          </w:p>
        </w:tc>
        <w:tc>
          <w:tcPr>
            <w:tcW w:w="3173" w:type="dxa"/>
            <w:tcBorders>
              <w:top w:val="nil"/>
              <w:left w:val="nil"/>
              <w:right w:val="nil"/>
            </w:tcBorders>
          </w:tcPr>
          <w:p>
            <w:pPr>
              <w:pStyle w:val="TableParagraph"/>
              <w:spacing w:line="263" w:lineRule="exact"/>
              <w:ind w:right="1332"/>
              <w:jc w:val="right"/>
              <w:rPr>
                <w:sz w:val="24"/>
              </w:rPr>
            </w:pPr>
            <w:r>
              <w:rPr>
                <w:sz w:val="24"/>
              </w:rPr>
              <w:t>1.03</w:t>
            </w:r>
          </w:p>
        </w:tc>
        <w:tc>
          <w:tcPr>
            <w:tcW w:w="1997" w:type="dxa"/>
            <w:tcBorders>
              <w:top w:val="nil"/>
              <w:left w:val="nil"/>
              <w:right w:val="nil"/>
            </w:tcBorders>
          </w:tcPr>
          <w:p>
            <w:pPr>
              <w:pStyle w:val="TableParagraph"/>
              <w:spacing w:line="263" w:lineRule="exact"/>
              <w:ind w:left="9"/>
              <w:rPr>
                <w:sz w:val="24"/>
              </w:rPr>
            </w:pPr>
            <w:r>
              <w:rPr>
                <w:sz w:val="24"/>
              </w:rPr>
              <w:t>1</w:t>
            </w:r>
          </w:p>
        </w:tc>
      </w:tr>
    </w:tbl>
    <w:p>
      <w:pPr>
        <w:pStyle w:val="BodyText"/>
        <w:spacing w:before="2"/>
        <w:rPr>
          <w:sz w:val="28"/>
        </w:rPr>
      </w:pPr>
      <w:r>
        <w:rPr/>
        <w:drawing>
          <wp:anchor distT="0" distB="0" distL="0" distR="0" allowOverlap="1" layoutInCell="1" locked="0" behindDoc="0" simplePos="0" relativeHeight="1096">
            <wp:simplePos x="0" y="0"/>
            <wp:positionH relativeFrom="page">
              <wp:posOffset>1828800</wp:posOffset>
            </wp:positionH>
            <wp:positionV relativeFrom="paragraph">
              <wp:posOffset>230886</wp:posOffset>
            </wp:positionV>
            <wp:extent cx="4336729" cy="2531554"/>
            <wp:effectExtent l="0" t="0" r="0" b="0"/>
            <wp:wrapTopAndBottom/>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0" cstate="print"/>
                    <a:stretch>
                      <a:fillRect/>
                    </a:stretch>
                  </pic:blipFill>
                  <pic:spPr>
                    <a:xfrm>
                      <a:off x="0" y="0"/>
                      <a:ext cx="4336729" cy="2531554"/>
                    </a:xfrm>
                    <a:prstGeom prst="rect">
                      <a:avLst/>
                    </a:prstGeom>
                  </pic:spPr>
                </pic:pic>
              </a:graphicData>
            </a:graphic>
          </wp:anchor>
        </w:drawing>
      </w:r>
    </w:p>
    <w:p>
      <w:pPr>
        <w:spacing w:after="0"/>
        <w:rPr>
          <w:sz w:val="28"/>
        </w:rPr>
        <w:sectPr>
          <w:pgSz w:w="12240" w:h="15840"/>
          <w:pgMar w:header="740" w:footer="779" w:top="960" w:bottom="960" w:left="1600" w:right="1580"/>
        </w:sectPr>
      </w:pPr>
    </w:p>
    <w:p>
      <w:pPr>
        <w:pStyle w:val="BodyText"/>
        <w:spacing w:before="11"/>
        <w:rPr>
          <w:sz w:val="28"/>
        </w:rPr>
      </w:pPr>
    </w:p>
    <w:p>
      <w:pPr>
        <w:pStyle w:val="BodyText"/>
        <w:spacing w:line="477" w:lineRule="auto" w:before="80"/>
        <w:ind w:left="1021" w:right="158" w:hanging="864"/>
      </w:pPr>
      <w:bookmarkStart w:name="_bookmark15" w:id="18"/>
      <w:bookmarkEnd w:id="18"/>
      <w:r>
        <w:rPr/>
      </w:r>
      <w:r>
        <w:rPr/>
        <w:t>Figura 2.3 Análisis de correlación de Sperman entre la densidad absoluta (pumas/100 km</w:t>
      </w:r>
      <w:r>
        <w:rPr>
          <w:position w:val="11"/>
          <w:sz w:val="16"/>
        </w:rPr>
        <w:t>2</w:t>
      </w:r>
      <w:r>
        <w:rPr/>
        <w:t>) y el índice de densidad relativa (excrementos/100 km), r</w:t>
      </w:r>
      <w:r>
        <w:rPr>
          <w:i/>
          <w:position w:val="-2"/>
          <w:sz w:val="16"/>
        </w:rPr>
        <w:t>s</w:t>
      </w:r>
      <w:r>
        <w:rPr/>
        <w:t>=0.32 y p&gt;0.05.</w:t>
      </w:r>
    </w:p>
    <w:p>
      <w:pPr>
        <w:pStyle w:val="BodyText"/>
        <w:rPr>
          <w:sz w:val="26"/>
        </w:rPr>
      </w:pPr>
    </w:p>
    <w:p>
      <w:pPr>
        <w:pStyle w:val="BodyText"/>
        <w:spacing w:before="10"/>
        <w:rPr>
          <w:sz w:val="20"/>
        </w:rPr>
      </w:pPr>
    </w:p>
    <w:p>
      <w:pPr>
        <w:pStyle w:val="BodyText"/>
        <w:spacing w:line="480" w:lineRule="auto"/>
        <w:ind w:left="102" w:right="117" w:firstLine="707"/>
        <w:jc w:val="both"/>
      </w:pPr>
      <w:r>
        <w:rPr/>
        <w:t>El uso de métodos directos para la obtención de densidades poblacionales es más confiable debido al método y tecnología empleada, sin embargo el costo y la aplicación de estos no es tan factible en determinadas circunstancias (Sutherland, 1996). Los métodos indirectos han sido una buena alternativa para contar individuos, no obstante para proveer buenos resultados es importante conocer la confiabilidad que tienen estos. Es bien sabido que el uso de índices indirectos puede no mantener una relación lineal estable con la abundancia absoluta y dar resultados de altos o bajos tamaños poblacionales (Conroy, 1996). Por lo que se debe considerar que la estimación de números absolutos a partir de métodos indirectos es limitado por al menos dos factores: la distribución no al azar de los excrementos y por las tasas de deposición diferenciales (influidas por los hábitos alimentarios, digestibilidad y variaciones fisiológicas, (Cavallini, 1994). Sin embargo es de gran utilidad saber que cuando existe una alta relación lineal, se ha sugerido el uso de un factor de corrección para convertir el índice indirecto a un estimador de abundancia poblacional (Stander, 1998).</w:t>
      </w:r>
    </w:p>
    <w:p>
      <w:pPr>
        <w:pStyle w:val="BodyText"/>
        <w:spacing w:line="480" w:lineRule="auto" w:before="10"/>
        <w:ind w:left="102" w:right="113" w:firstLine="767"/>
        <w:jc w:val="both"/>
      </w:pPr>
      <w:r>
        <w:rPr/>
        <w:t>En este estudio se observa que la correlación entre el índice de densidad relativa y  la densidad absoluta es baja (Figura 2.3). A diferencia de otros autores quienes han encontrado altas correlaciones (Stander, 1998; Funston </w:t>
      </w:r>
      <w:r>
        <w:rPr>
          <w:i/>
        </w:rPr>
        <w:t>et al., </w:t>
      </w:r>
      <w:r>
        <w:rPr/>
        <w:t>2010; Criffield </w:t>
      </w:r>
      <w:r>
        <w:rPr>
          <w:i/>
        </w:rPr>
        <w:t>et al., </w:t>
      </w:r>
      <w:r>
        <w:rPr/>
        <w:t>2010). Es necesario considerar que la aplicación de los índices en muchas ocasiones son sitio ó especie específicos y se deben tomar ciertas consideraciones al tratar de extrapolarlos a otras zonas ó especies. En este estudio es probable que las características de la zona,  </w:t>
      </w:r>
      <w:r>
        <w:rPr>
          <w:spacing w:val="18"/>
        </w:rPr>
        <w:t> </w:t>
      </w:r>
      <w:r>
        <w:rPr/>
        <w:t>como</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9"/>
        <w:jc w:val="both"/>
      </w:pPr>
      <w:r>
        <w:rPr/>
        <w:t>topografía accidentada y densa cobertura vegetal, no hayan permitido tener un índice de densidad adecuado para ser comparado con la densidad absoluta.</w:t>
      </w:r>
    </w:p>
    <w:p>
      <w:pPr>
        <w:pStyle w:val="BodyText"/>
        <w:spacing w:line="480" w:lineRule="auto" w:before="10"/>
        <w:ind w:left="102" w:right="116" w:firstLine="707"/>
        <w:jc w:val="both"/>
      </w:pPr>
      <w:r>
        <w:rPr/>
        <w:t>En otros estudios donde se han monitoreado algunos cánidos y félidos se ha visto que la combinación de estimadores poblacionales aplicables a la técnica de marcaje- recaptura y los índices de estaciones olfativas resultan ser métodos económicos y confiables para el monitoreo de poblaciones (Schauster </w:t>
      </w:r>
      <w:r>
        <w:rPr>
          <w:i/>
        </w:rPr>
        <w:t>et al., </w:t>
      </w:r>
      <w:r>
        <w:rPr/>
        <w:t>2002). La combinación de estaciones olfativas y excrementos depositados han sido considerados como confiables y de menor costo, así mismo sugieren que tamaños de muestra más grandes pueden generar relaciones fuertes entre los índices y la densidad absoluta (Criffield </w:t>
      </w:r>
      <w:r>
        <w:rPr>
          <w:i/>
        </w:rPr>
        <w:t>et al., </w:t>
      </w:r>
      <w:r>
        <w:rPr/>
        <w:t>2010).</w:t>
      </w:r>
    </w:p>
    <w:p>
      <w:pPr>
        <w:pStyle w:val="BodyText"/>
        <w:spacing w:line="472" w:lineRule="auto" w:before="10"/>
        <w:ind w:left="102" w:right="118" w:firstLine="707"/>
        <w:jc w:val="both"/>
      </w:pPr>
      <w:r>
        <w:rPr/>
        <w:t>Existe la posibilidad de que el área de muestreo considerada para la colecta de excrementos de este estudio no sea suficiente para obtener una colecta cercana al total de excrementos depositados por pumas, debido a sus amplios ámbitos hogareños (25 a 685 km</w:t>
      </w:r>
      <w:r>
        <w:rPr>
          <w:position w:val="11"/>
          <w:sz w:val="16"/>
        </w:rPr>
        <w:t>2</w:t>
      </w:r>
      <w:r>
        <w:rPr/>
        <w:t>; Hemker </w:t>
      </w:r>
      <w:r>
        <w:rPr>
          <w:i/>
        </w:rPr>
        <w:t>et al., </w:t>
      </w:r>
      <w:r>
        <w:rPr/>
        <w:t>1984; Núñez </w:t>
      </w:r>
      <w:r>
        <w:rPr>
          <w:i/>
        </w:rPr>
        <w:t>et al., </w:t>
      </w:r>
      <w:r>
        <w:rPr/>
        <w:t>2002). Por lo que es recomendable incrementar el número de senderos recorridos para abarcar un área más grande y así obtener una mejor</w:t>
      </w:r>
    </w:p>
    <w:p>
      <w:pPr>
        <w:pStyle w:val="BodyText"/>
        <w:spacing w:line="480" w:lineRule="auto" w:before="18"/>
        <w:ind w:left="102" w:right="115"/>
        <w:jc w:val="both"/>
      </w:pPr>
      <w:r>
        <w:rPr/>
        <w:t>estimación del índice. Ya que el esfuerzo de muestreo en términos de número de trayectos y distancia total recorrida en una zona y la intensidad del muestreo tienen un marcado efecto sobre la precisión de los cálculos de la frecuencia de rastros encontrados (Stander, 1998). También es importante considerar que la colecta de excrementos se debe realizar fuera de los senderos, pues es probable que puedan encontrarse excrementos fuera de estos. La conducta etológica de los pumas de cubrir con hojarasca sus excrementos (Aranda, 2000), puede ser otro factor que impide colectar un mayor número de excrementos por lo que también es recomendable realizar un registro combinado de rastros (huellas, excrementos, marcas de garras, madrigueras, entre otros).</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4" w:firstLine="707"/>
        <w:jc w:val="both"/>
      </w:pPr>
      <w:r>
        <w:rPr/>
        <w:t>Por otro lado es bien sabido que de acuerdo a las condiciones de la zona de estudio en ocasiones es difícil realizar un registro combinado de huellas y excrementos, ya que la identificación y visualización de huellas se limita por las condiciones del terreno y en ocasiones la colecta de excrementos por efecto de la lluvia, lo cual indudablemente limita la comparación estacional. En los estudios de puma que se basan en la colecta de excrementos se ha observado que en sitios secos los excrementos persisten por semanas e incluso meses en contraste con los bosques húmedos tropicales (Emmons, 1987; Taber </w:t>
      </w:r>
      <w:r>
        <w:rPr>
          <w:i/>
        </w:rPr>
        <w:t>et al., </w:t>
      </w:r>
      <w:r>
        <w:rPr/>
        <w:t>1997). Así mismo la permanencia de huellas en terrenos secos es menor (Taber </w:t>
      </w:r>
      <w:r>
        <w:rPr>
          <w:i/>
        </w:rPr>
        <w:t>et al., </w:t>
      </w:r>
      <w:r>
        <w:rPr/>
        <w:t>1997) por lo que se dificulta su conteo como parte del índice de abundancia relativo. En este estudio se obtuvo un promedio de excrementos colectados para los meses de sequias ligeramente más alto (6.7) que el obtenido en los meses de lluvia (4.2), lo cual probablemente se relaciona con el efecto de la lluvia sobre la colecta de excrementos.</w:t>
      </w:r>
    </w:p>
    <w:p>
      <w:pPr>
        <w:pStyle w:val="BodyText"/>
        <w:spacing w:line="480" w:lineRule="auto" w:before="10"/>
        <w:ind w:left="102" w:right="116" w:firstLine="767"/>
        <w:jc w:val="both"/>
      </w:pPr>
      <w:r>
        <w:rPr/>
        <w:t>Sin embargo, la tasa de deposición de excrementos puede usarse como un indicador de la densidad y tendencias en abundancias. El efecto de otras variables relevantes como la influencia de la dieta, la presencia o ausencia de la especie de interés influida por la cacería o por cambios en las preferencias del hábitat, así como; la localización de los excrementos debido a cambios estacionales de la vegetación (crecimiento de pastos, arbustos etc.) o cambios en la velocidad de desintegración de los excrementos (influido por la lluvia) entre otros; de ser necesario puede ser evaluado (Cavallini, 1994), aunque el investigador deberá considerar la inversión.</w:t>
      </w:r>
    </w:p>
    <w:p>
      <w:pPr>
        <w:pStyle w:val="BodyText"/>
        <w:spacing w:line="480" w:lineRule="auto" w:before="10"/>
        <w:ind w:left="102" w:right="122" w:firstLine="707"/>
        <w:jc w:val="both"/>
      </w:pPr>
      <w:r>
        <w:rPr/>
        <w:t>Finalmente el conocimiento y establecimiento de técnicas confiables de estimadores poblacionales de grandes carnívoros es esencial para poder llevar a cabo propuestas de conservación y manejo con base en el uso de resultados certeros y reales del estado de la población. En este estudio se consideró la densidad de trampas cámara como confiable</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5"/>
        <w:jc w:val="both"/>
      </w:pPr>
      <w:r>
        <w:rPr/>
        <w:t>(Soria-Díaz </w:t>
      </w:r>
      <w:r>
        <w:rPr>
          <w:i/>
        </w:rPr>
        <w:t>et al., </w:t>
      </w:r>
      <w:r>
        <w:rPr/>
        <w:t>2010), debido a que se puede identificar a los organismos individualmente (Kelly </w:t>
      </w:r>
      <w:r>
        <w:rPr>
          <w:i/>
        </w:rPr>
        <w:t>et al., </w:t>
      </w:r>
      <w:r>
        <w:rPr/>
        <w:t>2008) y facilitar el uso de la metodología de marcaje recaptura y los protocolos descritos para obtener densidades en felinos (Silver, 2004; Kelly </w:t>
      </w:r>
      <w:r>
        <w:rPr>
          <w:i/>
        </w:rPr>
        <w:t>et al., </w:t>
      </w:r>
      <w:r>
        <w:rPr/>
        <w:t>2008). Balme </w:t>
      </w:r>
      <w:r>
        <w:rPr>
          <w:i/>
        </w:rPr>
        <w:t>et al. </w:t>
      </w:r>
      <w:r>
        <w:rPr/>
        <w:t>(2009), encuentran que las trampas cámara muestran mejores resultados que el conteo de huellas y radiotelemetría para estimar densidades de carnívoros crípticos como leopardos. Otros estudios con jaguares (Silver </w:t>
      </w:r>
      <w:r>
        <w:rPr>
          <w:i/>
        </w:rPr>
        <w:t>et al., </w:t>
      </w:r>
      <w:r>
        <w:rPr/>
        <w:t>2004), ocelotes (Maffeí y Noss, 2008; Dillon y Kelly, 2008), pumas (Kelly </w:t>
      </w:r>
      <w:r>
        <w:rPr>
          <w:i/>
        </w:rPr>
        <w:t>et al., </w:t>
      </w:r>
      <w:r>
        <w:rPr/>
        <w:t>2008) y tigres (Karanth </w:t>
      </w:r>
      <w:r>
        <w:rPr>
          <w:i/>
        </w:rPr>
        <w:t>et al., </w:t>
      </w:r>
      <w:r>
        <w:rPr/>
        <w:t>1998), han confirmado también la efectividad de las trampas cámara.</w:t>
      </w:r>
    </w:p>
    <w:p>
      <w:pPr>
        <w:pStyle w:val="BodyText"/>
      </w:pPr>
    </w:p>
    <w:p>
      <w:pPr>
        <w:pStyle w:val="BodyText"/>
        <w:spacing w:before="3"/>
        <w:rPr>
          <w:sz w:val="25"/>
        </w:rPr>
      </w:pPr>
    </w:p>
    <w:p>
      <w:pPr>
        <w:pStyle w:val="Heading2"/>
        <w:ind w:left="186" w:right="207"/>
        <w:jc w:val="center"/>
      </w:pPr>
      <w:r>
        <w:rPr/>
        <w:t>REFERENCIAS</w:t>
      </w:r>
    </w:p>
    <w:p>
      <w:pPr>
        <w:pStyle w:val="BodyText"/>
        <w:spacing w:before="6"/>
        <w:rPr>
          <w:b/>
          <w:sz w:val="23"/>
        </w:rPr>
      </w:pPr>
    </w:p>
    <w:p>
      <w:pPr>
        <w:pStyle w:val="BodyText"/>
        <w:spacing w:line="480" w:lineRule="auto"/>
        <w:ind w:left="668" w:right="118" w:hanging="567"/>
        <w:jc w:val="both"/>
      </w:pPr>
      <w:r>
        <w:rPr/>
        <w:t>Aranda M. 1996. Distribución y abundancia del jaguar, </w:t>
      </w:r>
      <w:r>
        <w:rPr>
          <w:i/>
        </w:rPr>
        <w:t>Panthera onca </w:t>
      </w:r>
      <w:r>
        <w:rPr/>
        <w:t>(carnívora; felidae) en el estado de Chiapas, México. Acta Zoológica Mexicana 68: 45-52</w:t>
      </w:r>
    </w:p>
    <w:p>
      <w:pPr>
        <w:pStyle w:val="BodyText"/>
        <w:spacing w:before="10"/>
        <w:ind w:left="102" w:right="20"/>
      </w:pPr>
      <w:r>
        <w:rPr/>
        <w:t>Aranda M. 2000. Huellas y otros rastros de los mamíferos grandes y medianos de   México.</w:t>
      </w:r>
    </w:p>
    <w:p>
      <w:pPr>
        <w:pStyle w:val="BodyText"/>
      </w:pPr>
    </w:p>
    <w:p>
      <w:pPr>
        <w:pStyle w:val="BodyText"/>
        <w:ind w:left="668" w:right="197"/>
      </w:pPr>
      <w:r>
        <w:rPr/>
        <w:t>Instituto de Ecología, A. C., Xalapa, México.</w:t>
      </w:r>
    </w:p>
    <w:p>
      <w:pPr>
        <w:pStyle w:val="BodyText"/>
      </w:pPr>
    </w:p>
    <w:p>
      <w:pPr>
        <w:pStyle w:val="BodyText"/>
        <w:spacing w:line="480" w:lineRule="auto"/>
        <w:ind w:left="668" w:right="120" w:hanging="567"/>
        <w:jc w:val="both"/>
      </w:pPr>
      <w:r>
        <w:rPr/>
        <w:t>Balme G. A., L. T. B. Hunter y R. Slotow. 2009. Evaluating Methods for Counting Cryptic Carnivores. Journal of Wildlife Management 73 (3): 433-441</w:t>
      </w:r>
    </w:p>
    <w:p>
      <w:pPr>
        <w:pStyle w:val="BodyText"/>
        <w:spacing w:line="480" w:lineRule="auto" w:before="10"/>
        <w:ind w:left="668" w:right="120" w:hanging="567"/>
        <w:jc w:val="both"/>
      </w:pPr>
      <w:r>
        <w:rPr/>
        <w:t>Cavallini P. 1994. Faeces count as an index of fox abundance. Acta Theriologica 39 (4): 417-424</w:t>
      </w:r>
    </w:p>
    <w:p>
      <w:pPr>
        <w:pStyle w:val="BodyText"/>
        <w:spacing w:line="480" w:lineRule="auto" w:before="10"/>
        <w:ind w:left="668" w:right="118" w:hanging="567"/>
        <w:jc w:val="both"/>
      </w:pPr>
      <w:r>
        <w:rPr/>
        <w:t>Criffield M. A., E. C. Hellgren y D. M. Leslie jr. 2010. Density estimation and survey validation for swift fox </w:t>
      </w:r>
      <w:r>
        <w:rPr>
          <w:i/>
        </w:rPr>
        <w:t>Vulpes velox </w:t>
      </w:r>
      <w:r>
        <w:rPr/>
        <w:t>in Oklahoma. Acta Theriologica 55 (1): 53-60</w:t>
      </w:r>
    </w:p>
    <w:p>
      <w:pPr>
        <w:pStyle w:val="BodyText"/>
        <w:spacing w:line="480" w:lineRule="auto" w:before="10"/>
        <w:ind w:left="668" w:right="117" w:hanging="567"/>
        <w:jc w:val="both"/>
      </w:pPr>
      <w:r>
        <w:rPr/>
        <w:t>Conroy M. J. y J. D. Nichols. Capítulo 3. 1996. Designing a study to assess mammalian diversity. In: Measuring and Monitorg Biological Diversity. Standard Methods for Mammals. Wilson D. E., F. R. Cole, J. D. Nichols, R. Rudram y M. S. Foster (eds.). Smithsonian. Washington and London. 41-49 pp.</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668" w:right="124" w:hanging="567"/>
        <w:jc w:val="both"/>
      </w:pPr>
      <w:r>
        <w:rPr/>
        <w:t>Dillon A. y M. J. Kelly. 2008. Ocelot home range, overlap and density: comparing radio telemetry with camera trapping. Journal of  Zoology 275: 391-398</w:t>
      </w:r>
    </w:p>
    <w:p>
      <w:pPr>
        <w:pStyle w:val="BodyText"/>
        <w:spacing w:before="10"/>
        <w:ind w:left="102" w:right="20"/>
      </w:pPr>
      <w:r>
        <w:rPr/>
        <w:t>Emmons  L.  H.  1987.  Comparative  feeding  ecology  of  felids  in  a  tropical   rainforest.</w:t>
      </w:r>
    </w:p>
    <w:p>
      <w:pPr>
        <w:pStyle w:val="BodyText"/>
      </w:pPr>
    </w:p>
    <w:p>
      <w:pPr>
        <w:pStyle w:val="BodyText"/>
        <w:ind w:left="668" w:right="197"/>
      </w:pPr>
      <w:r>
        <w:rPr/>
        <w:t>Behavioral Ecology and Sociobiology 20 (4): 271-283</w:t>
      </w:r>
    </w:p>
    <w:p>
      <w:pPr>
        <w:pStyle w:val="BodyText"/>
      </w:pPr>
    </w:p>
    <w:p>
      <w:pPr>
        <w:pStyle w:val="BodyText"/>
        <w:spacing w:line="480" w:lineRule="auto"/>
        <w:ind w:left="668" w:right="119" w:hanging="567"/>
        <w:jc w:val="both"/>
      </w:pPr>
      <w:r>
        <w:rPr/>
        <w:t>Funston P. J., </w:t>
      </w:r>
      <w:r>
        <w:rPr>
          <w:spacing w:val="-3"/>
        </w:rPr>
        <w:t>L. </w:t>
      </w:r>
      <w:r>
        <w:rPr/>
        <w:t>Frank, T. Stephens, Z. Davidson, A. Loveridge, D. M. Macdonald, S. Durant, C. Packer, A. Mosser y S. M. Ferreira. 2010. Substrate and species  constraints on the use of track incidences to estimate African large carnivore abundance. Journal of Zoology 281:</w:t>
      </w:r>
      <w:r>
        <w:rPr>
          <w:spacing w:val="-6"/>
        </w:rPr>
        <w:t> </w:t>
      </w:r>
      <w:r>
        <w:rPr/>
        <w:t>56-65</w:t>
      </w:r>
    </w:p>
    <w:p>
      <w:pPr>
        <w:pStyle w:val="BodyText"/>
        <w:spacing w:line="480" w:lineRule="auto" w:before="10"/>
        <w:ind w:left="668" w:right="275" w:hanging="567"/>
      </w:pPr>
      <w:r>
        <w:rPr/>
        <w:t>Gusset M. y N. Burgener. 2005. Estimating larger carnivore numbers from track counts and measurements. African Journal of Ecology 43: 320-324</w:t>
      </w:r>
    </w:p>
    <w:p>
      <w:pPr>
        <w:pStyle w:val="BodyText"/>
        <w:spacing w:line="480" w:lineRule="auto" w:before="10"/>
        <w:ind w:left="668" w:right="113" w:hanging="567"/>
        <w:jc w:val="both"/>
      </w:pPr>
      <w:r>
        <w:rPr/>
        <w:t>Harrison R. L., D. J. Barr y J. W. Dragoo. 2002. A comparison of population survey techniques for swift fox (</w:t>
      </w:r>
      <w:r>
        <w:rPr>
          <w:i/>
        </w:rPr>
        <w:t>Vulpes velox</w:t>
      </w:r>
      <w:r>
        <w:rPr/>
        <w:t>) in New Mexico. American Midland Naturalist 148: 320–337</w:t>
      </w:r>
    </w:p>
    <w:p>
      <w:pPr>
        <w:pStyle w:val="BodyText"/>
        <w:spacing w:line="480" w:lineRule="auto" w:before="10"/>
        <w:ind w:left="668" w:right="118" w:hanging="567"/>
        <w:jc w:val="both"/>
      </w:pPr>
      <w:r>
        <w:rPr/>
        <w:t>Hemker T. P., F. G. Lindzey y B. B. Ackerman. 1984. Population characteristics and movement patterns of cougars in southern Utah. Journal of Wildlife Management 48 (4): 1275-1284</w:t>
      </w:r>
    </w:p>
    <w:p>
      <w:pPr>
        <w:pStyle w:val="BodyText"/>
        <w:spacing w:line="480" w:lineRule="auto" w:before="10"/>
        <w:ind w:left="668" w:right="120" w:hanging="567"/>
        <w:jc w:val="both"/>
      </w:pPr>
      <w:r>
        <w:rPr/>
        <w:t>Karanth K. U y J. D. Nichols. 1998. Estimation of tiger densities in India using photographic captures and recaptures. Journal of  Ecology 79: 2852-2862</w:t>
      </w:r>
    </w:p>
    <w:p>
      <w:pPr>
        <w:pStyle w:val="BodyText"/>
        <w:spacing w:line="480" w:lineRule="auto" w:before="10"/>
        <w:ind w:left="668" w:right="119" w:hanging="567"/>
        <w:jc w:val="both"/>
      </w:pPr>
      <w:r>
        <w:rPr/>
        <w:t>Kelly M. J., A. J. Noss, M. S. D. Dibetti, L. Maffeí, R. L. Arispe, A. Paviolo, C. D. De Angelo y Y. E. Di Blanco. 2008. Estimating Puma densities from camera trapping across three study sites: Bolivia, Argentina, and Belize. Journal of Mammalogy 89 (2): 408–418</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668" w:right="121" w:hanging="567"/>
        <w:jc w:val="both"/>
      </w:pPr>
      <w:r>
        <w:rPr/>
        <w:t>Lewison R., E.L. Fitzhugh y S.P. Galentine. 2001 Validation of a rigorous track classification technique: identifying individual mountain lions. Biological Conservation 99: 313–321</w:t>
      </w:r>
    </w:p>
    <w:p>
      <w:pPr>
        <w:pStyle w:val="BodyText"/>
        <w:spacing w:line="480" w:lineRule="auto" w:before="10"/>
        <w:ind w:left="668" w:right="117" w:hanging="567"/>
        <w:jc w:val="both"/>
      </w:pPr>
      <w:r>
        <w:rPr/>
        <w:t>Maffeí L. y A. Noss. 2008. How small is too small? Camera trap survey areas and density estimates for ocelots in the Bolivian Chaco. Biotropica 40 (1): 71-75</w:t>
      </w:r>
    </w:p>
    <w:p>
      <w:pPr>
        <w:pStyle w:val="BodyText"/>
        <w:spacing w:line="480" w:lineRule="auto" w:before="10"/>
        <w:ind w:left="668" w:right="116" w:hanging="567"/>
        <w:jc w:val="both"/>
      </w:pPr>
      <w:r>
        <w:rPr/>
        <w:t>Maffeí L., E. Cuéllar y A. Noss. 2002. Uso de trampas cámara para la evaluación de Mamíferos en el Ecotono del Chaco-Chiquitanía. Revista Boliviana de Ecología y Conservación Ambiental 11: 55-65</w:t>
      </w:r>
    </w:p>
    <w:p>
      <w:pPr>
        <w:pStyle w:val="BodyText"/>
        <w:spacing w:line="480" w:lineRule="auto" w:before="10"/>
        <w:ind w:left="668" w:right="121" w:hanging="567"/>
        <w:jc w:val="both"/>
      </w:pPr>
      <w:r>
        <w:rPr/>
        <w:t>Núñez R., B. Miller y F. Lindzey. 2002. Ecología del jaguar en la Reserva de la Biosfera Chamela-Cuixmala, Jalisco, México. In: El jaguar en el nuevo milenio. Medellín R. A., C. Equihua, C. </w:t>
      </w:r>
      <w:r>
        <w:rPr>
          <w:spacing w:val="-3"/>
        </w:rPr>
        <w:t>L. </w:t>
      </w:r>
      <w:r>
        <w:rPr/>
        <w:t>B. Chetkiewicz, P. G. Crawshaw, A. Rabinowitz, K. H.  Redford, J. G. Robinson, E. W. Sanderson y A. B. Taber (comps.). Fondo de la cultura económica. 107-126</w:t>
      </w:r>
      <w:r>
        <w:rPr>
          <w:spacing w:val="-3"/>
        </w:rPr>
        <w:t> </w:t>
      </w:r>
      <w:r>
        <w:rPr/>
        <w:t>pp.</w:t>
      </w:r>
    </w:p>
    <w:p>
      <w:pPr>
        <w:pStyle w:val="BodyText"/>
        <w:spacing w:line="480" w:lineRule="auto" w:before="10"/>
        <w:ind w:left="668" w:right="117" w:hanging="567"/>
        <w:jc w:val="both"/>
      </w:pPr>
      <w:r>
        <w:rPr/>
        <w:t>Rosas-Rosas O. C., R. Valdez, L. C. Bender y D. Daniel. 2003. Food habits of pumas in northwestern Sonora, Mexico. Wildlife Society Bulletin 31 (2): 528-535.</w:t>
      </w:r>
    </w:p>
    <w:p>
      <w:pPr>
        <w:pStyle w:val="BodyText"/>
        <w:spacing w:line="480" w:lineRule="auto" w:before="10"/>
        <w:ind w:left="668" w:right="120" w:hanging="567"/>
        <w:jc w:val="both"/>
      </w:pPr>
      <w:r>
        <w:rPr/>
        <w:t>Schauster E. R., E. M. Gese y A. M. Kitchen. 2002. An evaluation of survey methods for monitoring swift fox abundance. Wildlife Society Bulletin 30: 464–477.</w:t>
      </w:r>
    </w:p>
    <w:p>
      <w:pPr>
        <w:pStyle w:val="BodyText"/>
        <w:spacing w:line="480" w:lineRule="auto" w:before="10"/>
        <w:ind w:left="668" w:right="114" w:hanging="567"/>
        <w:jc w:val="both"/>
      </w:pPr>
      <w:r>
        <w:rPr/>
        <w:t>Silver S. 2004. Estimando la abundancia de jaguares mediante trampas-cámara. Wildlife Conservation Society: 1-27</w:t>
      </w:r>
    </w:p>
    <w:p>
      <w:pPr>
        <w:pStyle w:val="BodyText"/>
        <w:spacing w:line="480" w:lineRule="auto" w:before="11"/>
        <w:ind w:left="668" w:right="116" w:hanging="567"/>
        <w:jc w:val="both"/>
      </w:pPr>
      <w:r>
        <w:rPr/>
        <w:t>Silver S., L. Ostro, L. Marsh, L. Maffeí, A. Noss, M. Nelly, R. Wallace, H. Gómez y G. Ayala. 2004. The use of camera traps for estimating jaguar </w:t>
      </w:r>
      <w:r>
        <w:rPr>
          <w:i/>
        </w:rPr>
        <w:t>Panthera onca </w:t>
      </w:r>
      <w:r>
        <w:rPr/>
        <w:t>abundance and density using capture-recapture análisis. Oryx  38 (2): 148-154</w:t>
      </w:r>
    </w:p>
    <w:p>
      <w:pPr>
        <w:pStyle w:val="BodyText"/>
        <w:spacing w:line="480" w:lineRule="auto" w:before="10"/>
        <w:ind w:left="668" w:right="119" w:hanging="567"/>
        <w:jc w:val="both"/>
      </w:pPr>
      <w:r>
        <w:rPr/>
        <w:t>Smallwood K. S. y E. L. Fitzhugh. 1995. A track count for estimating mountain lion Felis conc'olor califiJrnia population trends. Biological Conservation 71: 251-259</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668" w:right="119" w:hanging="567"/>
        <w:jc w:val="both"/>
      </w:pPr>
      <w:r>
        <w:rPr/>
        <w:t>Soria-Díaz L., O. Monroy-Vilchis, C. Rodríguez-Soto, M. M. Zarco-González y V. Urios. 2010. Variation of abundance and density of </w:t>
      </w:r>
      <w:r>
        <w:rPr>
          <w:i/>
        </w:rPr>
        <w:t>Puma concolor </w:t>
      </w:r>
      <w:r>
        <w:rPr/>
        <w:t>in zones of high and low concentration of camera trap in central Mexico. Animal Biology 60: 361-37</w:t>
      </w:r>
    </w:p>
    <w:p>
      <w:pPr>
        <w:pStyle w:val="BodyText"/>
        <w:spacing w:line="480" w:lineRule="auto" w:before="10"/>
        <w:ind w:left="668" w:right="119" w:hanging="567"/>
        <w:jc w:val="both"/>
      </w:pPr>
      <w:r>
        <w:rPr/>
        <w:t>Stander P. E. 1998. Spoor counts as indices of large carnivore populations: the relationship between spoor frequency., sampling effort and true density. Journal of Applied Ecology 35: 378-385</w:t>
      </w:r>
    </w:p>
    <w:p>
      <w:pPr>
        <w:pStyle w:val="BodyText"/>
        <w:spacing w:before="10"/>
        <w:ind w:left="102" w:right="197"/>
      </w:pPr>
      <w:r>
        <w:rPr/>
        <w:t>Sutherland W. 1996. Ecological Census Techniques. Cambridge. USA New York.</w:t>
      </w:r>
    </w:p>
    <w:p>
      <w:pPr>
        <w:pStyle w:val="BodyText"/>
      </w:pPr>
    </w:p>
    <w:p>
      <w:pPr>
        <w:pStyle w:val="BodyText"/>
        <w:spacing w:line="480" w:lineRule="auto"/>
        <w:ind w:left="668" w:right="121" w:hanging="567"/>
        <w:jc w:val="both"/>
      </w:pPr>
      <w:r>
        <w:rPr/>
        <w:t>Taber A. B., A. J. Novaro, N. Neris y F. H. Colman. 1997. The Food Habits of Sympatric Jaguar and Puma in the Paraguayan Chaco. Biotropica 29 (2): 204-213</w:t>
      </w:r>
    </w:p>
    <w:p>
      <w:pPr>
        <w:pStyle w:val="BodyText"/>
        <w:spacing w:line="480" w:lineRule="auto" w:before="10"/>
        <w:ind w:left="668" w:right="122" w:hanging="567"/>
        <w:jc w:val="both"/>
      </w:pPr>
      <w:r>
        <w:rPr/>
        <w:t>Van Dyke F. G., R. H. Brocke y H. G. Shaw. 1986. Use of road track counts as indices of Mountain Lion presence. Journal of Wildlife Management 50: 102-109</w:t>
      </w:r>
    </w:p>
    <w:p>
      <w:pPr>
        <w:pStyle w:val="BodyText"/>
        <w:spacing w:line="480" w:lineRule="auto" w:before="10"/>
        <w:ind w:left="668" w:right="116" w:hanging="567"/>
        <w:jc w:val="both"/>
      </w:pPr>
      <w:r>
        <w:rPr/>
        <w:t>Walker R. S., A. J. Novaro y J. D. Nichols. 2000. Consideraciones para la estimación de abundancia de poblaciones de mamíferos. Mammalogy 7 (2): 73-80.</w:t>
      </w:r>
    </w:p>
    <w:p>
      <w:pPr>
        <w:pStyle w:val="BodyText"/>
        <w:spacing w:before="10"/>
        <w:ind w:left="102" w:right="20"/>
      </w:pPr>
      <w:r>
        <w:rPr/>
        <w:t>Weimer R. C. 2007. Estadística. PATRIA. Segunda edición en ingles y primera en español.</w:t>
      </w:r>
    </w:p>
    <w:p>
      <w:pPr>
        <w:pStyle w:val="BodyText"/>
      </w:pPr>
    </w:p>
    <w:p>
      <w:pPr>
        <w:pStyle w:val="BodyText"/>
        <w:ind w:left="668" w:right="6695"/>
      </w:pPr>
      <w:r>
        <w:rPr/>
        <w:t>México.</w:t>
      </w:r>
    </w:p>
    <w:p>
      <w:pPr>
        <w:spacing w:after="0"/>
        <w:sectPr>
          <w:pgSz w:w="12240" w:h="15840"/>
          <w:pgMar w:header="740" w:footer="779" w:top="960" w:bottom="9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before="21"/>
        <w:ind w:left="114" w:right="233"/>
        <w:jc w:val="center"/>
      </w:pPr>
      <w:bookmarkStart w:name="_bookmark16" w:id="19"/>
      <w:bookmarkEnd w:id="19"/>
      <w:r>
        <w:rPr>
          <w:b w:val="0"/>
        </w:rPr>
      </w:r>
      <w:r>
        <w:rPr/>
        <w:t>CAPÍTILO III</w:t>
      </w:r>
    </w:p>
    <w:p>
      <w:pPr>
        <w:spacing w:after="0"/>
        <w:jc w:val="center"/>
        <w:sectPr>
          <w:pgSz w:w="12240" w:h="15840"/>
          <w:pgMar w:header="740" w:footer="779" w:top="960" w:bottom="960" w:left="1720" w:right="1600"/>
        </w:sectPr>
      </w:pPr>
    </w:p>
    <w:p>
      <w:pPr>
        <w:pStyle w:val="BodyText"/>
        <w:spacing w:before="13"/>
        <w:rPr>
          <w:rFonts w:ascii="Palatino Linotype"/>
          <w:b/>
          <w:sz w:val="27"/>
        </w:rPr>
      </w:pPr>
    </w:p>
    <w:p>
      <w:pPr>
        <w:pStyle w:val="BodyText"/>
        <w:spacing w:line="480" w:lineRule="auto" w:before="69"/>
        <w:ind w:left="176" w:right="193"/>
        <w:jc w:val="center"/>
      </w:pPr>
      <w:r>
        <w:rPr/>
        <w:t>CAPÍTULO III. Artículo científico enviado a la revista internacional “Mammalia” la cual se encuentra reconocida por el Journal Citation Report. Este artículo se encuentra en revisión con correcciones menores.</w:t>
      </w:r>
    </w:p>
    <w:p>
      <w:pPr>
        <w:pStyle w:val="BodyText"/>
        <w:spacing w:before="2"/>
        <w:rPr>
          <w:sz w:val="22"/>
        </w:rPr>
      </w:pPr>
      <w:r>
        <w:rPr/>
        <w:drawing>
          <wp:anchor distT="0" distB="0" distL="0" distR="0" allowOverlap="1" layoutInCell="1" locked="0" behindDoc="0" simplePos="0" relativeHeight="1120">
            <wp:simplePos x="0" y="0"/>
            <wp:positionH relativeFrom="page">
              <wp:posOffset>1099185</wp:posOffset>
            </wp:positionH>
            <wp:positionV relativeFrom="paragraph">
              <wp:posOffset>187137</wp:posOffset>
            </wp:positionV>
            <wp:extent cx="4613129" cy="6025610"/>
            <wp:effectExtent l="0" t="0" r="0" b="0"/>
            <wp:wrapTopAndBottom/>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21" cstate="print"/>
                    <a:stretch>
                      <a:fillRect/>
                    </a:stretch>
                  </pic:blipFill>
                  <pic:spPr>
                    <a:xfrm>
                      <a:off x="0" y="0"/>
                      <a:ext cx="4613129" cy="6025610"/>
                    </a:xfrm>
                    <a:prstGeom prst="rect">
                      <a:avLst/>
                    </a:prstGeom>
                  </pic:spPr>
                </pic:pic>
              </a:graphicData>
            </a:graphic>
          </wp:anchor>
        </w:drawing>
      </w:r>
    </w:p>
    <w:p>
      <w:pPr>
        <w:spacing w:after="0"/>
        <w:rPr>
          <w:sz w:val="22"/>
        </w:rPr>
        <w:sectPr>
          <w:pgSz w:w="12240" w:h="15840"/>
          <w:pgMar w:header="740" w:footer="779" w:top="960" w:bottom="960" w:left="16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BodyText"/>
        <w:ind w:left="111"/>
        <w:rPr>
          <w:sz w:val="20"/>
        </w:rPr>
      </w:pPr>
      <w:r>
        <w:rPr>
          <w:sz w:val="20"/>
        </w:rPr>
        <w:drawing>
          <wp:inline distT="0" distB="0" distL="0" distR="0">
            <wp:extent cx="4598574" cy="5742717"/>
            <wp:effectExtent l="0" t="0" r="0" b="0"/>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22" cstate="print"/>
                    <a:stretch>
                      <a:fillRect/>
                    </a:stretch>
                  </pic:blipFill>
                  <pic:spPr>
                    <a:xfrm>
                      <a:off x="0" y="0"/>
                      <a:ext cx="4598574" cy="5742717"/>
                    </a:xfrm>
                    <a:prstGeom prst="rect">
                      <a:avLst/>
                    </a:prstGeom>
                  </pic:spPr>
                </pic:pic>
              </a:graphicData>
            </a:graphic>
          </wp:inline>
        </w:drawing>
      </w:r>
      <w:r>
        <w:rPr>
          <w:sz w:val="20"/>
        </w:rPr>
      </w:r>
    </w:p>
    <w:p>
      <w:pPr>
        <w:spacing w:after="0"/>
        <w:rPr>
          <w:sz w:val="20"/>
        </w:rPr>
        <w:sectPr>
          <w:pgSz w:w="12240" w:h="15840"/>
          <w:pgMar w:header="740" w:footer="779" w:top="960" w:bottom="960" w:left="1620" w:right="1600"/>
        </w:sectPr>
      </w:pPr>
    </w:p>
    <w:p>
      <w:pPr>
        <w:pStyle w:val="BodyText"/>
        <w:rPr>
          <w:sz w:val="20"/>
        </w:rPr>
      </w:pPr>
    </w:p>
    <w:p>
      <w:pPr>
        <w:pStyle w:val="BodyText"/>
        <w:spacing w:before="5"/>
        <w:rPr>
          <w:sz w:val="19"/>
        </w:rPr>
      </w:pPr>
    </w:p>
    <w:p>
      <w:pPr>
        <w:pStyle w:val="Heading2"/>
        <w:numPr>
          <w:ilvl w:val="0"/>
          <w:numId w:val="4"/>
        </w:numPr>
        <w:tabs>
          <w:tab w:pos="503" w:val="left" w:leader="none"/>
        </w:tabs>
        <w:spacing w:line="477" w:lineRule="auto" w:before="0" w:after="0"/>
        <w:ind w:left="102" w:right="1268" w:firstLine="0"/>
        <w:jc w:val="left"/>
      </w:pPr>
      <w:bookmarkStart w:name="_bookmark17" w:id="20"/>
      <w:bookmarkEnd w:id="20"/>
      <w:r>
        <w:rPr>
          <w:b w:val="0"/>
        </w:rPr>
      </w:r>
      <w:bookmarkStart w:name="_bookmark17" w:id="21"/>
      <w:bookmarkEnd w:id="21"/>
      <w:r>
        <w:rPr/>
        <w:t>M</w:t>
      </w:r>
      <w:r>
        <w:rPr/>
        <w:t>onitoring population density and activity pattern of white-tailed deer (</w:t>
      </w:r>
      <w:r>
        <w:rPr>
          <w:i/>
        </w:rPr>
        <w:t>Odocoileus virginianus</w:t>
      </w:r>
      <w:r>
        <w:rPr/>
        <w:t>) in Central Mexico, using camera</w:t>
      </w:r>
      <w:r>
        <w:rPr>
          <w:spacing w:val="-11"/>
        </w:rPr>
        <w:t> </w:t>
      </w:r>
      <w:r>
        <w:rPr/>
        <w:t>trapping</w:t>
      </w:r>
    </w:p>
    <w:p>
      <w:pPr>
        <w:pStyle w:val="BodyText"/>
        <w:rPr>
          <w:b/>
        </w:rPr>
      </w:pPr>
    </w:p>
    <w:p>
      <w:pPr>
        <w:pStyle w:val="BodyText"/>
        <w:spacing w:before="1"/>
        <w:rPr>
          <w:b/>
          <w:sz w:val="25"/>
        </w:rPr>
      </w:pPr>
    </w:p>
    <w:p>
      <w:pPr>
        <w:spacing w:before="0"/>
        <w:ind w:left="102" w:right="0" w:firstLine="0"/>
        <w:jc w:val="left"/>
        <w:rPr>
          <w:b/>
          <w:sz w:val="24"/>
        </w:rPr>
      </w:pPr>
      <w:r>
        <w:rPr>
          <w:b/>
          <w:sz w:val="24"/>
        </w:rPr>
        <w:t>Running title: Density and activity pattern of white-tailed deer, México</w:t>
      </w:r>
    </w:p>
    <w:p>
      <w:pPr>
        <w:pStyle w:val="BodyText"/>
        <w:rPr>
          <w:b/>
        </w:rPr>
      </w:pPr>
    </w:p>
    <w:p>
      <w:pPr>
        <w:pStyle w:val="BodyText"/>
        <w:rPr>
          <w:b/>
        </w:rPr>
      </w:pPr>
    </w:p>
    <w:p>
      <w:pPr>
        <w:pStyle w:val="BodyText"/>
        <w:spacing w:before="10"/>
        <w:rPr>
          <w:b/>
          <w:sz w:val="20"/>
        </w:rPr>
      </w:pPr>
    </w:p>
    <w:p>
      <w:pPr>
        <w:spacing w:before="0"/>
        <w:ind w:left="102" w:right="0" w:firstLine="0"/>
        <w:jc w:val="left"/>
        <w:rPr>
          <w:b/>
          <w:sz w:val="16"/>
        </w:rPr>
      </w:pPr>
      <w:r>
        <w:rPr>
          <w:b/>
          <w:sz w:val="24"/>
        </w:rPr>
        <w:t>Leroy Soria-Díaz</w:t>
      </w:r>
      <w:r>
        <w:rPr>
          <w:b/>
          <w:position w:val="11"/>
          <w:sz w:val="16"/>
        </w:rPr>
        <w:t>1 </w:t>
      </w:r>
      <w:r>
        <w:rPr>
          <w:b/>
          <w:sz w:val="24"/>
        </w:rPr>
        <w:t>&amp; Octavio Monroy-Vilchis</w:t>
      </w:r>
      <w:r>
        <w:rPr>
          <w:b/>
          <w:position w:val="11"/>
          <w:sz w:val="16"/>
        </w:rPr>
        <w:t>1,*</w:t>
      </w:r>
    </w:p>
    <w:p>
      <w:pPr>
        <w:pStyle w:val="BodyText"/>
        <w:rPr>
          <w:b/>
          <w:sz w:val="28"/>
        </w:rPr>
      </w:pPr>
    </w:p>
    <w:p>
      <w:pPr>
        <w:pStyle w:val="BodyText"/>
        <w:spacing w:before="6"/>
        <w:rPr>
          <w:b/>
          <w:sz w:val="40"/>
        </w:rPr>
      </w:pPr>
    </w:p>
    <w:p>
      <w:pPr>
        <w:pStyle w:val="BodyText"/>
        <w:spacing w:line="480" w:lineRule="auto"/>
        <w:ind w:left="102" w:right="420"/>
      </w:pPr>
      <w:r>
        <w:rPr>
          <w:position w:val="11"/>
          <w:sz w:val="16"/>
        </w:rPr>
        <w:t>1</w:t>
      </w:r>
      <w:r>
        <w:rPr/>
        <w:t>Estación Biológica Sierra Nanchititla, Facultad de Ciencias, Universidad Autónoma del Estado de México, Instituto Literario 100, Colonia Centro, 50000 Toluca, México.</w:t>
      </w:r>
    </w:p>
    <w:p>
      <w:pPr>
        <w:pStyle w:val="BodyText"/>
      </w:pPr>
    </w:p>
    <w:p>
      <w:pPr>
        <w:pStyle w:val="BodyText"/>
      </w:pPr>
    </w:p>
    <w:p>
      <w:pPr>
        <w:pStyle w:val="BodyText"/>
      </w:pPr>
    </w:p>
    <w:p>
      <w:pPr>
        <w:pStyle w:val="BodyText"/>
        <w:spacing w:before="10"/>
      </w:pPr>
    </w:p>
    <w:p>
      <w:pPr>
        <w:pStyle w:val="BodyText"/>
        <w:ind w:left="102"/>
      </w:pPr>
      <w:r>
        <w:rPr/>
        <w:t>*Corresponding author. </w:t>
      </w:r>
      <w:hyperlink r:id="rId23">
        <w:r>
          <w:rPr/>
          <w:t>Email: omv@uaemex.mx</w:t>
        </w:r>
      </w:hyperlink>
      <w:r>
        <w:rPr/>
        <w:t> or </w:t>
      </w:r>
      <w:hyperlink r:id="rId24">
        <w:r>
          <w:rPr/>
          <w:t>tavomonroyvilchis@gmail.com</w:t>
        </w:r>
      </w:hyperlink>
    </w:p>
    <w:p>
      <w:pPr>
        <w:spacing w:after="0"/>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67"/>
      </w:pPr>
      <w:r>
        <w:rPr>
          <w:b/>
        </w:rPr>
        <w:t>Abstract: </w:t>
      </w:r>
      <w:r>
        <w:rPr/>
        <w:t>White-tailed deer (</w:t>
      </w:r>
      <w:r>
        <w:rPr>
          <w:i/>
        </w:rPr>
        <w:t>Odocoileus virginianus</w:t>
      </w:r>
      <w:r>
        <w:rPr/>
        <w:t>) are economically important in the Americas, and are also the main prey of predators such as the jaguar (</w:t>
      </w:r>
      <w:r>
        <w:rPr>
          <w:i/>
        </w:rPr>
        <w:t>Panthera onca</w:t>
      </w:r>
      <w:r>
        <w:rPr/>
        <w:t>) and puma (</w:t>
      </w:r>
      <w:r>
        <w:rPr>
          <w:i/>
        </w:rPr>
        <w:t>Puma concolor</w:t>
      </w:r>
      <w:r>
        <w:rPr/>
        <w:t>), but human influence has led to the decline of their populations by hunting and increasing agricultural and pastoral land-use. On the other hand, there is a lack of ecological knowledge on the species in central Mexico. We investigated the population density and activity pattern of white-tailed deer in the Sierra Nanchititla, Mexico, using ten camera traps. Sampling was conducted over 18 months between 2004 and 2007. We identified deer in photographs and the population abundance was estimated using the CAPTURE program and density by dividing the estimated abundance by the effective sampled area. The daily activity pattern was derived by using the recorded time in the</w:t>
      </w:r>
    </w:p>
    <w:p>
      <w:pPr>
        <w:pStyle w:val="BodyText"/>
        <w:spacing w:line="470" w:lineRule="auto" w:before="10"/>
        <w:ind w:left="102" w:right="299"/>
      </w:pPr>
      <w:r>
        <w:rPr/>
        <w:t>photographs for each hour of the day. Population density was from 2.0 to 6.3 in the wet season and 0.8 to 12 individuals/km</w:t>
      </w:r>
      <w:r>
        <w:rPr>
          <w:position w:val="11"/>
          <w:sz w:val="16"/>
        </w:rPr>
        <w:t>2 </w:t>
      </w:r>
      <w:r>
        <w:rPr/>
        <w:t>in the dry, showing a diurnal pattern. This study was one of the first using camera traps in Mexico, for a sampling period longer than one year and provided information for the development of management programs.</w:t>
      </w:r>
    </w:p>
    <w:p>
      <w:pPr>
        <w:pStyle w:val="BodyText"/>
      </w:pPr>
    </w:p>
    <w:p>
      <w:pPr>
        <w:pStyle w:val="BodyText"/>
        <w:spacing w:before="9"/>
        <w:rPr>
          <w:sz w:val="25"/>
        </w:rPr>
      </w:pPr>
    </w:p>
    <w:p>
      <w:pPr>
        <w:pStyle w:val="BodyText"/>
        <w:ind w:left="102"/>
      </w:pPr>
      <w:r>
        <w:rPr>
          <w:b/>
        </w:rPr>
        <w:t>Keywords: </w:t>
      </w:r>
      <w:r>
        <w:rPr/>
        <w:t>Abundance, camera trapping, ecology, diurnal, Mexico</w:t>
      </w:r>
    </w:p>
    <w:p>
      <w:pPr>
        <w:spacing w:after="0"/>
        <w:sectPr>
          <w:pgSz w:w="12240" w:h="15840"/>
          <w:pgMar w:header="740" w:footer="779" w:top="960" w:bottom="960" w:left="1600" w:right="1600"/>
        </w:sectPr>
      </w:pPr>
    </w:p>
    <w:p>
      <w:pPr>
        <w:pStyle w:val="BodyText"/>
        <w:rPr>
          <w:sz w:val="20"/>
        </w:rPr>
      </w:pPr>
    </w:p>
    <w:p>
      <w:pPr>
        <w:pStyle w:val="BodyText"/>
        <w:spacing w:before="3"/>
        <w:rPr>
          <w:sz w:val="19"/>
        </w:rPr>
      </w:pPr>
    </w:p>
    <w:p>
      <w:pPr>
        <w:pStyle w:val="Heading2"/>
      </w:pPr>
      <w:r>
        <w:rPr/>
        <w:t>Introduction</w:t>
      </w:r>
    </w:p>
    <w:p>
      <w:pPr>
        <w:pStyle w:val="BodyText"/>
        <w:rPr>
          <w:b/>
        </w:rPr>
      </w:pPr>
    </w:p>
    <w:p>
      <w:pPr>
        <w:pStyle w:val="BodyText"/>
        <w:rPr>
          <w:b/>
        </w:rPr>
      </w:pPr>
    </w:p>
    <w:p>
      <w:pPr>
        <w:pStyle w:val="BodyText"/>
        <w:spacing w:before="7"/>
        <w:rPr>
          <w:b/>
          <w:sz w:val="23"/>
        </w:rPr>
      </w:pPr>
    </w:p>
    <w:p>
      <w:pPr>
        <w:pStyle w:val="BodyText"/>
        <w:spacing w:line="480" w:lineRule="auto"/>
        <w:ind w:left="102" w:right="124"/>
      </w:pPr>
      <w:r>
        <w:rPr/>
        <w:t>White-tailed deer (</w:t>
      </w:r>
      <w:r>
        <w:rPr>
          <w:i/>
        </w:rPr>
        <w:t>Odocoileus virginianus</w:t>
      </w:r>
      <w:r>
        <w:rPr/>
        <w:t>) is an important species in American ecosystems, as it is both an herbivore and a prey of large carnivores such as cougar (</w:t>
      </w:r>
      <w:r>
        <w:rPr>
          <w:i/>
        </w:rPr>
        <w:t>Puma </w:t>
      </w:r>
      <w:r>
        <w:rPr>
          <w:i/>
        </w:rPr>
        <w:t>concolor</w:t>
      </w:r>
      <w:r>
        <w:rPr/>
        <w:t>) and jaguar (</w:t>
      </w:r>
      <w:r>
        <w:rPr>
          <w:i/>
        </w:rPr>
        <w:t>Panthera onca</w:t>
      </w:r>
      <w:r>
        <w:rPr/>
        <w:t>, Galindo-Leal and Weber 1998, Monroy-Vilchis et al. 2009a, Gómez-Ortíz and Monroy-Vilchis 2013). It is also an important food resource for local people, as it is the main hunted species in some areas (Galindo-Leal and Weber 1998, Naranjo et al. 2004, Monroy-Vilchis et al. 2008a, Ortega et al. 2011). This species is also one of the most adaptable and tolerant to agricultural and pastoral areas. However, hunting and loss of habitat have caused the decrease of its populations in Mexico (Galindo-Leal and Weber 1998). While important for the development of management programs, monitoring wild deer populations is particularly difficult due to their elusive behavior. The most commonly used monitoring techniques rely on indirect methods, such as track and pellet- group counts (Mooty and Karns 1984, Mandujano 2005, Ortíz et al. 2005, Reyna-Hurtado and Tanner 2007, Sánchez-Rojas et al. 2009). However, these methods are sensitive to habitat, terrain conditions and the need for trained personnel; further, they do not provide information regarding age structure or sex ratio (Novak et al. 1991, Smallwood and Fitzhugh 1995, Mccoy et al. 2011). On the other hand, aerial counts, spotlight surveys, thermal imaging, as well as direct counts on foot or in vehicles, are costly, as well as being restricted to open zones and specific seasons (Jacobson et al. 1997, Dellafiore et al. 2003, Roberts et al. 2006, Collier et al. 2007). Nowadays, camera trapping is used to estimate densities and activity patterns of mid-sized and large mammals (Van-Schaik and Griffiths 1996, Maffei et al. 2002, Pinto and Andriolo 2005, Tobler et al. 2009). Camera traps are beneficial for a variety of reasons; being non-invasive, abundance data are obtained in</w:t>
      </w:r>
      <w:r>
        <w:rPr>
          <w:spacing w:val="-16"/>
        </w:rPr>
        <w:t> </w:t>
      </w:r>
      <w:r>
        <w:rPr/>
        <w:t>short</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pPr>
      <w:r>
        <w:rPr/>
        <w:t>sampling periods and the financial costs are lower than traditional method of capturing and recapturing the individuals (Karanth 1995, Jacobson et al. 1997, Soria-Díaz et al. 2010, Mccoy et al. 2011).</w:t>
      </w:r>
    </w:p>
    <w:p>
      <w:pPr>
        <w:pStyle w:val="BodyText"/>
        <w:spacing w:line="480" w:lineRule="auto" w:before="10"/>
        <w:ind w:left="102" w:right="104"/>
      </w:pPr>
      <w:r>
        <w:rPr/>
        <w:t>Camera traps combined with capture-recapture methods have been applied in the Americas to estimate the abundance and density of species such as </w:t>
      </w:r>
      <w:r>
        <w:rPr>
          <w:i/>
        </w:rPr>
        <w:t>Tapirus terrestris </w:t>
      </w:r>
      <w:r>
        <w:rPr/>
        <w:t>(Noss et al.</w:t>
      </w:r>
    </w:p>
    <w:p>
      <w:pPr>
        <w:pStyle w:val="BodyText"/>
        <w:spacing w:line="480" w:lineRule="auto" w:before="10"/>
        <w:ind w:left="102" w:right="104"/>
      </w:pPr>
      <w:r>
        <w:rPr/>
        <w:t>2003, Trolle et al. 2008), </w:t>
      </w:r>
      <w:r>
        <w:rPr>
          <w:i/>
        </w:rPr>
        <w:t>P. concolor </w:t>
      </w:r>
      <w:r>
        <w:rPr/>
        <w:t>(Kelly et al. 2008, Soria-Díaz et al. 2010), </w:t>
      </w:r>
      <w:r>
        <w:rPr>
          <w:i/>
        </w:rPr>
        <w:t>P. onca </w:t>
      </w:r>
      <w:r>
        <w:rPr/>
        <w:t>(Silver et al. 2004, Soisalo and Cavalcanti 2006), </w:t>
      </w:r>
      <w:r>
        <w:rPr>
          <w:i/>
        </w:rPr>
        <w:t>Leopardus pardalis </w:t>
      </w:r>
      <w:r>
        <w:rPr/>
        <w:t>(Trolle and Kéry 2003, Maffei and Noss 2008) and </w:t>
      </w:r>
      <w:r>
        <w:rPr>
          <w:i/>
        </w:rPr>
        <w:t>O. virginianus</w:t>
      </w:r>
      <w:r>
        <w:rPr/>
        <w:t>. For this last species, there has only been one previous study with camera traps in Mexico, from which densities have been estimated (2.36 individuals/km², Lara-Díaz et al. 2011).</w:t>
      </w:r>
    </w:p>
    <w:p>
      <w:pPr>
        <w:pStyle w:val="BodyText"/>
        <w:spacing w:line="480" w:lineRule="auto" w:before="10"/>
        <w:ind w:left="102" w:right="75"/>
      </w:pPr>
      <w:r>
        <w:rPr/>
        <w:t>Telemetry has been the most commonly used tool to collect data on activity patterns (Beier and McCullough 1990, Mandujano et al. 1996). White-tailed deer in Mexico show crepuscular activity pattern (Galindo-Leal and Weber 1998, Gallina et al. 2005); however this can be influenced by some factors, such as the presence of predators (Nelson and Mech 1984), sex and seasonality (Beier and McCullough 1990, Gallina et al. 2005). The activity pattern provides information on the strategies deer show to survive (Feng et al. 2012) and is also relevant to management and associated research efforts (Gómez et al. 2005).</w:t>
      </w:r>
    </w:p>
    <w:p>
      <w:pPr>
        <w:pStyle w:val="BodyText"/>
        <w:spacing w:line="480" w:lineRule="auto" w:before="10"/>
        <w:ind w:left="102" w:right="251"/>
      </w:pPr>
      <w:r>
        <w:rPr/>
        <w:t>In Sierra Nanchititla, in central Mexico, white-tailed deer are the third most frequent prey in the diet of the </w:t>
      </w:r>
      <w:r>
        <w:rPr>
          <w:i/>
        </w:rPr>
        <w:t>P. concolor </w:t>
      </w:r>
      <w:r>
        <w:rPr/>
        <w:t>(Monroy-Vilchis et al. 2009a), the most frequent for </w:t>
      </w:r>
      <w:r>
        <w:rPr>
          <w:i/>
        </w:rPr>
        <w:t>P. onca </w:t>
      </w:r>
      <w:r>
        <w:rPr/>
        <w:t>(Gómez-Ortíz and Monroy-Vilchis 2013), while it is hunted without control for human consumption and occasionally for trade (Monroy-Vilchis et al. 2008a). No assessment has yet been made of the population size of deer on this site and survival strategies for this species have not yet been determined. These ecological parameters would supply data to strengthen proposals for species management at a regional level and become a model for</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287"/>
      </w:pPr>
      <w:r>
        <w:rPr/>
        <w:t>other regions. The objective of the current study was to determine the population density and activity pattern of white-tailed deer in Sierra Nanchititla, Mexico, using camera traps.</w:t>
      </w:r>
    </w:p>
    <w:p>
      <w:pPr>
        <w:pStyle w:val="BodyText"/>
      </w:pPr>
    </w:p>
    <w:p>
      <w:pPr>
        <w:pStyle w:val="BodyText"/>
        <w:spacing w:before="3"/>
        <w:rPr>
          <w:sz w:val="25"/>
        </w:rPr>
      </w:pPr>
    </w:p>
    <w:p>
      <w:pPr>
        <w:pStyle w:val="Heading2"/>
      </w:pPr>
      <w:r>
        <w:rPr/>
        <w:t>Material and methods</w:t>
      </w:r>
    </w:p>
    <w:p>
      <w:pPr>
        <w:pStyle w:val="BodyText"/>
        <w:rPr>
          <w:b/>
        </w:rPr>
      </w:pPr>
    </w:p>
    <w:p>
      <w:pPr>
        <w:pStyle w:val="BodyText"/>
        <w:rPr>
          <w:b/>
        </w:rPr>
      </w:pPr>
    </w:p>
    <w:p>
      <w:pPr>
        <w:pStyle w:val="BodyText"/>
        <w:rPr>
          <w:b/>
        </w:rPr>
      </w:pPr>
    </w:p>
    <w:p>
      <w:pPr>
        <w:spacing w:before="0"/>
        <w:ind w:left="102" w:right="0" w:firstLine="0"/>
        <w:jc w:val="left"/>
        <w:rPr>
          <w:b/>
          <w:sz w:val="24"/>
        </w:rPr>
      </w:pPr>
      <w:r>
        <w:rPr>
          <w:b/>
          <w:sz w:val="24"/>
        </w:rPr>
        <w:t>Study area</w:t>
      </w:r>
    </w:p>
    <w:p>
      <w:pPr>
        <w:pStyle w:val="BodyText"/>
        <w:spacing w:before="6"/>
        <w:rPr>
          <w:b/>
          <w:sz w:val="23"/>
        </w:rPr>
      </w:pPr>
    </w:p>
    <w:p>
      <w:pPr>
        <w:pStyle w:val="BodyText"/>
        <w:spacing w:line="480" w:lineRule="auto"/>
        <w:ind w:left="102"/>
      </w:pPr>
      <w:r>
        <w:rPr/>
        <w:t>Sierra Nanchititla Natural Reserve (SNNR) is located in the Balsas River depression, southwestern State of Mexico (Figure 3.1). Its coordinates span from 19° 04’ 46’’ to 18°</w:t>
      </w:r>
    </w:p>
    <w:p>
      <w:pPr>
        <w:pStyle w:val="BodyText"/>
        <w:spacing w:line="470" w:lineRule="auto" w:before="10"/>
        <w:ind w:left="102" w:right="267"/>
      </w:pPr>
      <w:r>
        <w:rPr/>
        <w:t>45’ 38” N and 100° 15’ 54’’ to 100° 36’ 28’’ W, with altitudes from 410 to 2,080 m.a.s.l., and a marked seasonality characterized by a wet season from June to October and a dry season from November to May. The SNNR covers an area of 663.93 km</w:t>
      </w:r>
      <w:r>
        <w:rPr>
          <w:position w:val="11"/>
          <w:sz w:val="16"/>
        </w:rPr>
        <w:t>2</w:t>
      </w:r>
      <w:r>
        <w:rPr/>
        <w:t>, with a core- protected zone of 15.1 km</w:t>
      </w:r>
      <w:r>
        <w:rPr>
          <w:position w:val="11"/>
          <w:sz w:val="16"/>
        </w:rPr>
        <w:t>2 </w:t>
      </w:r>
      <w:r>
        <w:rPr/>
        <w:t>(with low human activity); pine-oak forest dominates with an average annual temperature of 14° C. The SNNR contains 53 mammal species (Monroy- Vilchis et al. 2011a), including 5 out of the 6 species of wild felines registered for Mexico (Sánchez et al. 2002, Monroy-Vilchis et al. 2008b).</w:t>
      </w:r>
    </w:p>
    <w:p>
      <w:pPr>
        <w:pStyle w:val="BodyText"/>
        <w:spacing w:line="480" w:lineRule="auto" w:before="21"/>
        <w:ind w:left="102" w:right="191"/>
      </w:pPr>
      <w:r>
        <w:rPr/>
        <w:t>This study was carried out in the core-protected zone of SNNR over 18 months, between 2004 and 2007. This period was divided into six temporary and independent trimesters, in order to increase the probability for the population to be closed; this assumed that a population remain unchanged during the study period, i.e., that there are no gains or losses of individuals cougars. Studies on mammals have used two to three month sampling periods for a closed population, arguing that in such short sampling times, the probability of observing a birth, death, migration or immigration event is low (Karanth 1995, Trolle and Kéry 2003, Silver et al. 2004). We considered four trimesters in the dry season (November to May) and two in the wet season (June to October) and the number of active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70" w:lineRule="auto"/>
        <w:ind w:left="102" w:right="152"/>
      </w:pPr>
      <w:r>
        <w:rPr/>
        <w:t>cameras was the same in both periods. We put ten camera traps (Camtrakker brand with passive movement and temperature detectors), on roads and paths frequented by deer (where deer tracks and scat had been observed), with a density of 1 camera/0.59 km</w:t>
      </w:r>
      <w:r>
        <w:rPr>
          <w:position w:val="11"/>
          <w:sz w:val="16"/>
        </w:rPr>
        <w:t>2 </w:t>
      </w:r>
      <w:r>
        <w:rPr/>
        <w:t>(average separation of 1.6 km). The position of each camera was geo-referenced and they</w:t>
      </w:r>
    </w:p>
    <w:p>
      <w:pPr>
        <w:pStyle w:val="BodyText"/>
        <w:spacing w:line="480" w:lineRule="auto" w:before="21"/>
        <w:ind w:left="102" w:right="100"/>
      </w:pPr>
      <w:r>
        <w:rPr/>
        <w:t>were programmed to work 24 hours a day, with an interval of 20 second between photographs, imprinting the hour and date of each photograph. The cameras were visited on a monthly basis to check their functioning and replace the film and batteries.</w:t>
      </w:r>
    </w:p>
    <w:p>
      <w:pPr>
        <w:pStyle w:val="BodyText"/>
        <w:spacing w:line="480" w:lineRule="auto" w:before="11"/>
        <w:ind w:left="102" w:right="250"/>
        <w:jc w:val="both"/>
      </w:pPr>
      <w:r>
        <w:rPr/>
        <w:t>We did not use bait in the study, as it is subject to controversy (McCoy et al. 2011). Some argue that using bait may overestimate the number or sex of deer, by attracting individuals from other territories (Jacobson et al. 1997, Roberts et al. 2006).</w:t>
      </w:r>
    </w:p>
    <w:p>
      <w:pPr>
        <w:pStyle w:val="BodyText"/>
        <w:spacing w:line="480" w:lineRule="auto" w:before="10"/>
        <w:ind w:left="102" w:right="154"/>
      </w:pPr>
      <w:r>
        <w:rPr/>
        <w:t>Sampling effort was measured in trap days, considering a trap day as 24 hours. The total of these was the sum of trap days that each camera was in use or until the day of the last exposure in the cases where batteries or film ran out. Fur characteristics were principally used to distinguish individuals (scars or spots, Jacobson et al. 1997), with other secondary characteristic used for identification, such as neck thickness in proportion to body (González-Marín et al. 2008), the presence or absence of antlers and the presence of fawns (in the case of females). In some cases, we identified the males according to antler size, including number of branches and also considered the place and date of the photograph (Oliveira-Santos et al. 2010, Figure 3.1).</w:t>
      </w:r>
    </w:p>
    <w:p>
      <w:pPr>
        <w:pStyle w:val="BodyText"/>
        <w:spacing w:line="480" w:lineRule="auto" w:before="11"/>
        <w:ind w:left="102"/>
      </w:pPr>
      <w:r>
        <w:rPr/>
        <w:t>To increase the accuracy of deer identification, we performed a double-blind exercise, in which a group expert from Sierra Nanchititla Biological Station and a group expert of Zacango zoological garden, State of Mexico, independently carried out initial identification of photographs of the individuals, and we compared both identifications.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17"/>
      </w:pPr>
      <w:r>
        <w:rPr/>
        <w:t>We estimated the abundance of identified deer using the CAPTURE software program. A matrix of the capture history was composed for each one of the six temporary trimesters. Each trimester comprised 13 sampling occasions and each occasion covered a 7-day period. The CAPTURE program applies several capture-recapture models to estimate abundance: M(o), M(h), M(t) and M(b) and combinations, the model with the highest value (range [0- 1]) is considered to be the one best fitting the samples data (see Otis et al. 1978). Deer density was estimated by dividing the abundance of the 6 trimesters independently between the effective sampling areas. We determined the sampling areas using three different buffer areas around each camera trap; (1) equal to the minimum home range radius of 0.43 km defined for white tailed deer in the USA (Marchinton and Hirth 1984), (2) a radius of 0.20 km obtained for the dry season and (3) a radius of 0.22 km for the wet season, these last two radius obtained from the Manantlan Biosphere Reserve, Mexico (González-Pérez 2003 cited in Ortega-S et al.</w:t>
      </w:r>
      <w:r>
        <w:rPr>
          <w:spacing w:val="-5"/>
        </w:rPr>
        <w:t> </w:t>
      </w:r>
      <w:r>
        <w:rPr/>
        <w:t>2011).</w:t>
      </w:r>
    </w:p>
    <w:p>
      <w:pPr>
        <w:pStyle w:val="BodyText"/>
        <w:spacing w:line="480" w:lineRule="auto" w:before="10"/>
        <w:ind w:left="102"/>
      </w:pPr>
      <w:r>
        <w:rPr/>
        <w:t>The daily activity pattern was determined from photographs with visible time stamps, by summing captures recorded for each 2-hour blocks of the day (crepuscular activity was between 06:00 and 08:00 hrs and between 18:00 and 20:00 hrs). To determine the independence of photographic registers, only a single photographic register was considered per individual in any 24 hour period (Monroy-Vilchis et al. 2011a). A chi-squared test was</w:t>
      </w:r>
    </w:p>
    <w:p>
      <w:pPr>
        <w:pStyle w:val="BodyText"/>
        <w:spacing w:line="286" w:lineRule="exact"/>
        <w:ind w:left="102"/>
      </w:pPr>
      <w:r>
        <w:rPr/>
        <w:t>applied (χ</w:t>
      </w:r>
      <w:r>
        <w:rPr>
          <w:position w:val="11"/>
          <w:sz w:val="16"/>
        </w:rPr>
        <w:t>2</w:t>
      </w:r>
      <w:r>
        <w:rPr/>
        <w:t>, Weimer 2007) to determine if there were significant differences in the activity</w:t>
      </w:r>
    </w:p>
    <w:p>
      <w:pPr>
        <w:pStyle w:val="BodyText"/>
      </w:pPr>
    </w:p>
    <w:p>
      <w:pPr>
        <w:pStyle w:val="BodyText"/>
        <w:ind w:left="102"/>
      </w:pPr>
      <w:r>
        <w:rPr/>
        <w:t>patterns between sexes and between the two seasons.</w:t>
      </w:r>
    </w:p>
    <w:p>
      <w:pPr>
        <w:spacing w:after="0"/>
        <w:sectPr>
          <w:pgSz w:w="12240" w:h="15840"/>
          <w:pgMar w:header="740" w:footer="779" w:top="960" w:bottom="960" w:left="1600" w:right="1600"/>
        </w:sectPr>
      </w:pPr>
    </w:p>
    <w:p>
      <w:pPr>
        <w:pStyle w:val="BodyText"/>
        <w:rPr>
          <w:sz w:val="20"/>
        </w:rPr>
      </w:pPr>
    </w:p>
    <w:p>
      <w:pPr>
        <w:pStyle w:val="BodyText"/>
        <w:spacing w:before="3"/>
        <w:rPr>
          <w:sz w:val="19"/>
        </w:rPr>
      </w:pPr>
    </w:p>
    <w:p>
      <w:pPr>
        <w:pStyle w:val="Heading2"/>
        <w:ind w:left="242"/>
      </w:pPr>
      <w:r>
        <w:rPr/>
        <w:t>Results</w:t>
      </w:r>
    </w:p>
    <w:p>
      <w:pPr>
        <w:pStyle w:val="BodyText"/>
        <w:rPr>
          <w:b/>
        </w:rPr>
      </w:pPr>
    </w:p>
    <w:p>
      <w:pPr>
        <w:pStyle w:val="BodyText"/>
        <w:rPr>
          <w:b/>
        </w:rPr>
      </w:pPr>
    </w:p>
    <w:p>
      <w:pPr>
        <w:pStyle w:val="BodyText"/>
        <w:rPr>
          <w:b/>
        </w:rPr>
      </w:pPr>
    </w:p>
    <w:p>
      <w:pPr>
        <w:spacing w:before="0"/>
        <w:ind w:left="242" w:right="0" w:firstLine="0"/>
        <w:jc w:val="left"/>
        <w:rPr>
          <w:b/>
          <w:sz w:val="24"/>
        </w:rPr>
      </w:pPr>
      <w:r>
        <w:rPr>
          <w:b/>
          <w:sz w:val="24"/>
        </w:rPr>
        <w:t>Population density</w:t>
      </w:r>
    </w:p>
    <w:p>
      <w:pPr>
        <w:pStyle w:val="BodyText"/>
        <w:spacing w:before="6"/>
        <w:rPr>
          <w:b/>
          <w:sz w:val="23"/>
        </w:rPr>
      </w:pPr>
    </w:p>
    <w:p>
      <w:pPr>
        <w:pStyle w:val="BodyText"/>
        <w:spacing w:line="480" w:lineRule="auto"/>
        <w:ind w:left="242" w:right="261"/>
      </w:pPr>
      <w:r>
        <w:rPr/>
        <w:t>We obtained 94 deer photographs, with a 97% correspondence between the identifications performed by the two independent experts; any disagreements in these identifications were not considered for further analysis. The sampling effort varied from 99 to 537 trap days among the 6 sampling trimesters. The number of individuals identified ranged from 4 to 11, with a sex ratio of 1 male per 0.7 females and a female:fawn ratio of 1:0.43. The models that presented the highest values were M(o) and M(h) and the abundance obtained was from 4 </w:t>
      </w:r>
      <w:r>
        <w:rPr>
          <w:u w:val="single"/>
        </w:rPr>
        <w:t>± </w:t>
      </w:r>
      <w:r>
        <w:rPr/>
        <w:t>0.9 (s.e) to 16 </w:t>
      </w:r>
      <w:r>
        <w:rPr>
          <w:u w:val="single"/>
        </w:rPr>
        <w:t>± </w:t>
      </w:r>
      <w:r>
        <w:rPr/>
        <w:t>4.2 individuals with an interval of capture probability from 0.05 to 0.15 (Table</w:t>
      </w:r>
      <w:r>
        <w:rPr>
          <w:spacing w:val="-5"/>
        </w:rPr>
        <w:t> </w:t>
      </w:r>
      <w:r>
        <w:rPr/>
        <w:t>3.1).</w:t>
      </w:r>
    </w:p>
    <w:p>
      <w:pPr>
        <w:pStyle w:val="BodyText"/>
        <w:rPr>
          <w:sz w:val="20"/>
        </w:rPr>
      </w:pPr>
    </w:p>
    <w:p>
      <w:pPr>
        <w:pStyle w:val="BodyText"/>
        <w:spacing w:before="6" w:after="1"/>
        <w:rPr>
          <w:sz w:val="29"/>
        </w:rPr>
      </w:pPr>
    </w:p>
    <w:tbl>
      <w:tblPr>
        <w:tblW w:w="0" w:type="auto"/>
        <w:jc w:val="left"/>
        <w:tblInd w:w="119"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802"/>
        <w:gridCol w:w="2542"/>
        <w:gridCol w:w="1011"/>
        <w:gridCol w:w="839"/>
        <w:gridCol w:w="535"/>
        <w:gridCol w:w="1124"/>
        <w:gridCol w:w="1096"/>
        <w:gridCol w:w="1147"/>
      </w:tblGrid>
      <w:tr>
        <w:trPr>
          <w:trHeight w:val="219" w:hRule="exact"/>
        </w:trPr>
        <w:tc>
          <w:tcPr>
            <w:tcW w:w="802" w:type="dxa"/>
            <w:vMerge w:val="restart"/>
            <w:tcBorders>
              <w:left w:val="nil"/>
              <w:right w:val="nil"/>
            </w:tcBorders>
          </w:tcPr>
          <w:p>
            <w:pPr>
              <w:pStyle w:val="TableParagraph"/>
              <w:ind w:left="122" w:right="117"/>
              <w:jc w:val="left"/>
              <w:rPr>
                <w:b/>
                <w:sz w:val="16"/>
              </w:rPr>
            </w:pPr>
            <w:r>
              <w:rPr>
                <w:b/>
                <w:sz w:val="16"/>
              </w:rPr>
              <w:t>Trimest er</w:t>
            </w:r>
          </w:p>
        </w:tc>
        <w:tc>
          <w:tcPr>
            <w:tcW w:w="2542" w:type="dxa"/>
            <w:tcBorders>
              <w:left w:val="nil"/>
              <w:bottom w:val="nil"/>
              <w:right w:val="nil"/>
            </w:tcBorders>
          </w:tcPr>
          <w:p>
            <w:pPr>
              <w:pStyle w:val="TableParagraph"/>
              <w:spacing w:line="181" w:lineRule="exact"/>
              <w:ind w:left="136" w:right="131"/>
              <w:jc w:val="left"/>
              <w:rPr>
                <w:b/>
                <w:sz w:val="16"/>
              </w:rPr>
            </w:pPr>
            <w:r>
              <w:rPr>
                <w:b/>
                <w:sz w:val="16"/>
              </w:rPr>
              <w:t>Trap-days</w:t>
            </w:r>
          </w:p>
        </w:tc>
        <w:tc>
          <w:tcPr>
            <w:tcW w:w="1011" w:type="dxa"/>
            <w:tcBorders>
              <w:left w:val="nil"/>
              <w:bottom w:val="nil"/>
              <w:right w:val="nil"/>
            </w:tcBorders>
          </w:tcPr>
          <w:p>
            <w:pPr/>
          </w:p>
        </w:tc>
        <w:tc>
          <w:tcPr>
            <w:tcW w:w="839" w:type="dxa"/>
            <w:tcBorders>
              <w:left w:val="nil"/>
              <w:bottom w:val="nil"/>
              <w:right w:val="nil"/>
            </w:tcBorders>
          </w:tcPr>
          <w:p>
            <w:pPr/>
          </w:p>
        </w:tc>
        <w:tc>
          <w:tcPr>
            <w:tcW w:w="535" w:type="dxa"/>
            <w:tcBorders>
              <w:left w:val="nil"/>
              <w:bottom w:val="nil"/>
              <w:right w:val="nil"/>
            </w:tcBorders>
          </w:tcPr>
          <w:p>
            <w:pPr>
              <w:pStyle w:val="TableParagraph"/>
              <w:spacing w:line="181" w:lineRule="exact"/>
              <w:ind w:left="139"/>
              <w:jc w:val="left"/>
              <w:rPr>
                <w:b/>
                <w:sz w:val="16"/>
              </w:rPr>
            </w:pPr>
            <w:r>
              <w:rPr>
                <w:b/>
                <w:w w:val="100"/>
                <w:sz w:val="16"/>
              </w:rPr>
              <w:t>p</w:t>
            </w:r>
          </w:p>
        </w:tc>
        <w:tc>
          <w:tcPr>
            <w:tcW w:w="1124" w:type="dxa"/>
            <w:tcBorders>
              <w:left w:val="nil"/>
              <w:bottom w:val="nil"/>
              <w:right w:val="nil"/>
            </w:tcBorders>
          </w:tcPr>
          <w:p>
            <w:pPr/>
          </w:p>
        </w:tc>
        <w:tc>
          <w:tcPr>
            <w:tcW w:w="1096" w:type="dxa"/>
            <w:tcBorders>
              <w:left w:val="nil"/>
              <w:bottom w:val="nil"/>
              <w:right w:val="nil"/>
            </w:tcBorders>
          </w:tcPr>
          <w:p>
            <w:pPr/>
          </w:p>
        </w:tc>
        <w:tc>
          <w:tcPr>
            <w:tcW w:w="1147" w:type="dxa"/>
            <w:tcBorders>
              <w:left w:val="nil"/>
              <w:bottom w:val="nil"/>
              <w:right w:val="nil"/>
            </w:tcBorders>
          </w:tcPr>
          <w:p>
            <w:pPr/>
          </w:p>
        </w:tc>
      </w:tr>
      <w:tr>
        <w:trPr>
          <w:trHeight w:val="1174" w:hRule="exact"/>
        </w:trPr>
        <w:tc>
          <w:tcPr>
            <w:tcW w:w="802" w:type="dxa"/>
            <w:vMerge/>
            <w:tcBorders>
              <w:left w:val="nil"/>
              <w:right w:val="nil"/>
            </w:tcBorders>
          </w:tcPr>
          <w:p>
            <w:pPr/>
          </w:p>
        </w:tc>
        <w:tc>
          <w:tcPr>
            <w:tcW w:w="2542" w:type="dxa"/>
            <w:tcBorders>
              <w:top w:val="nil"/>
              <w:left w:val="nil"/>
              <w:right w:val="nil"/>
            </w:tcBorders>
          </w:tcPr>
          <w:p>
            <w:pPr>
              <w:pStyle w:val="TableParagraph"/>
              <w:ind w:left="1130" w:right="131"/>
              <w:jc w:val="left"/>
              <w:rPr>
                <w:b/>
                <w:sz w:val="16"/>
              </w:rPr>
            </w:pPr>
            <w:r>
              <w:rPr>
                <w:b/>
                <w:sz w:val="16"/>
              </w:rPr>
              <w:t>Number of identified </w:t>
            </w:r>
            <w:r>
              <w:rPr>
                <w:b/>
                <w:position w:val="2"/>
                <w:sz w:val="16"/>
              </w:rPr>
              <w:t>individuals (M</w:t>
            </w:r>
            <w:r>
              <w:rPr>
                <w:b/>
                <w:sz w:val="10"/>
              </w:rPr>
              <w:t>(t+1)</w:t>
            </w:r>
            <w:r>
              <w:rPr>
                <w:b/>
                <w:position w:val="2"/>
                <w:sz w:val="16"/>
              </w:rPr>
              <w:t>)</w:t>
            </w:r>
          </w:p>
        </w:tc>
        <w:tc>
          <w:tcPr>
            <w:tcW w:w="1011" w:type="dxa"/>
            <w:tcBorders>
              <w:top w:val="nil"/>
              <w:left w:val="nil"/>
              <w:right w:val="nil"/>
            </w:tcBorders>
          </w:tcPr>
          <w:p>
            <w:pPr>
              <w:pStyle w:val="TableParagraph"/>
              <w:ind w:left="148" w:right="109"/>
              <w:jc w:val="left"/>
              <w:rPr>
                <w:b/>
                <w:sz w:val="16"/>
              </w:rPr>
            </w:pPr>
            <w:r>
              <w:rPr>
                <w:b/>
                <w:sz w:val="16"/>
              </w:rPr>
              <w:t>Model and value</w:t>
            </w:r>
          </w:p>
        </w:tc>
        <w:tc>
          <w:tcPr>
            <w:tcW w:w="839" w:type="dxa"/>
            <w:tcBorders>
              <w:top w:val="nil"/>
              <w:left w:val="nil"/>
              <w:right w:val="nil"/>
            </w:tcBorders>
          </w:tcPr>
          <w:p>
            <w:pPr>
              <w:pStyle w:val="TableParagraph"/>
              <w:spacing w:line="177" w:lineRule="exact"/>
              <w:ind w:left="128"/>
              <w:jc w:val="left"/>
              <w:rPr>
                <w:b/>
                <w:sz w:val="16"/>
              </w:rPr>
            </w:pPr>
            <w:r>
              <w:rPr>
                <w:b/>
                <w:i/>
                <w:sz w:val="16"/>
              </w:rPr>
              <w:t>Ň </w:t>
            </w:r>
            <w:r>
              <w:rPr>
                <w:b/>
                <w:sz w:val="16"/>
                <w:u w:val="single"/>
              </w:rPr>
              <w:t>± </w:t>
            </w:r>
            <w:r>
              <w:rPr>
                <w:b/>
                <w:sz w:val="16"/>
              </w:rPr>
              <w:t>s.e.</w:t>
            </w:r>
          </w:p>
        </w:tc>
        <w:tc>
          <w:tcPr>
            <w:tcW w:w="535" w:type="dxa"/>
            <w:tcBorders>
              <w:top w:val="nil"/>
              <w:left w:val="nil"/>
              <w:right w:val="nil"/>
            </w:tcBorders>
          </w:tcPr>
          <w:p>
            <w:pPr/>
          </w:p>
        </w:tc>
        <w:tc>
          <w:tcPr>
            <w:tcW w:w="1124" w:type="dxa"/>
            <w:tcBorders>
              <w:top w:val="nil"/>
              <w:left w:val="nil"/>
              <w:right w:val="nil"/>
            </w:tcBorders>
          </w:tcPr>
          <w:p>
            <w:pPr>
              <w:pStyle w:val="TableParagraph"/>
              <w:spacing w:line="235" w:lineRule="auto"/>
              <w:ind w:left="113" w:right="93"/>
              <w:jc w:val="left"/>
              <w:rPr>
                <w:b/>
                <w:sz w:val="16"/>
              </w:rPr>
            </w:pPr>
            <w:r>
              <w:rPr>
                <w:b/>
                <w:sz w:val="16"/>
              </w:rPr>
              <w:t>Density </w:t>
            </w:r>
            <w:r>
              <w:rPr>
                <w:sz w:val="16"/>
                <w:u w:val="single"/>
              </w:rPr>
              <w:t>± </w:t>
            </w:r>
            <w:r>
              <w:rPr>
                <w:b/>
                <w:sz w:val="16"/>
              </w:rPr>
              <w:t>s.e. (sampling area 5.11 km</w:t>
            </w:r>
            <w:r>
              <w:rPr>
                <w:b/>
                <w:position w:val="7"/>
                <w:sz w:val="10"/>
              </w:rPr>
              <w:t>2</w:t>
            </w:r>
            <w:r>
              <w:rPr>
                <w:b/>
                <w:sz w:val="16"/>
              </w:rPr>
              <w:t>)</w:t>
            </w:r>
          </w:p>
        </w:tc>
        <w:tc>
          <w:tcPr>
            <w:tcW w:w="1096" w:type="dxa"/>
            <w:tcBorders>
              <w:top w:val="nil"/>
              <w:left w:val="nil"/>
              <w:right w:val="nil"/>
            </w:tcBorders>
          </w:tcPr>
          <w:p>
            <w:pPr>
              <w:pStyle w:val="TableParagraph"/>
              <w:spacing w:line="235" w:lineRule="auto"/>
              <w:ind w:left="110" w:right="116" w:firstLine="40"/>
              <w:jc w:val="left"/>
              <w:rPr>
                <w:b/>
                <w:sz w:val="16"/>
              </w:rPr>
            </w:pPr>
            <w:r>
              <w:rPr>
                <w:b/>
                <w:sz w:val="16"/>
              </w:rPr>
              <w:t>Wet season, density (sampling area 1.60 km</w:t>
            </w:r>
            <w:r>
              <w:rPr>
                <w:b/>
                <w:position w:val="7"/>
                <w:sz w:val="10"/>
              </w:rPr>
              <w:t>2</w:t>
            </w:r>
            <w:r>
              <w:rPr>
                <w:b/>
                <w:sz w:val="16"/>
              </w:rPr>
              <w:t>)</w:t>
            </w:r>
          </w:p>
        </w:tc>
        <w:tc>
          <w:tcPr>
            <w:tcW w:w="1147" w:type="dxa"/>
            <w:tcBorders>
              <w:top w:val="nil"/>
              <w:left w:val="nil"/>
              <w:right w:val="nil"/>
            </w:tcBorders>
          </w:tcPr>
          <w:p>
            <w:pPr>
              <w:pStyle w:val="TableParagraph"/>
              <w:spacing w:line="235" w:lineRule="auto"/>
              <w:ind w:left="134" w:right="241"/>
              <w:jc w:val="left"/>
              <w:rPr>
                <w:b/>
                <w:sz w:val="16"/>
              </w:rPr>
            </w:pPr>
            <w:r>
              <w:rPr>
                <w:b/>
                <w:sz w:val="16"/>
              </w:rPr>
              <w:t>Dry season density (sampling area 1.29 km</w:t>
            </w:r>
            <w:r>
              <w:rPr>
                <w:b/>
                <w:position w:val="7"/>
                <w:sz w:val="10"/>
              </w:rPr>
              <w:t>2</w:t>
            </w:r>
            <w:r>
              <w:rPr>
                <w:b/>
                <w:sz w:val="16"/>
              </w:rPr>
              <w:t>)</w:t>
            </w:r>
          </w:p>
        </w:tc>
      </w:tr>
      <w:tr>
        <w:trPr>
          <w:trHeight w:val="216" w:hRule="exact"/>
        </w:trPr>
        <w:tc>
          <w:tcPr>
            <w:tcW w:w="802" w:type="dxa"/>
            <w:tcBorders>
              <w:left w:val="nil"/>
              <w:bottom w:val="nil"/>
              <w:right w:val="nil"/>
            </w:tcBorders>
          </w:tcPr>
          <w:p>
            <w:pPr>
              <w:pStyle w:val="TableParagraph"/>
              <w:spacing w:line="179" w:lineRule="exact"/>
              <w:ind w:left="122" w:right="117"/>
              <w:jc w:val="left"/>
              <w:rPr>
                <w:sz w:val="16"/>
              </w:rPr>
            </w:pPr>
            <w:r>
              <w:rPr>
                <w:sz w:val="16"/>
              </w:rPr>
              <w:t>11 (dry)</w:t>
            </w:r>
          </w:p>
        </w:tc>
        <w:tc>
          <w:tcPr>
            <w:tcW w:w="2542" w:type="dxa"/>
            <w:tcBorders>
              <w:left w:val="nil"/>
              <w:bottom w:val="nil"/>
              <w:right w:val="nil"/>
            </w:tcBorders>
          </w:tcPr>
          <w:p>
            <w:pPr>
              <w:pStyle w:val="TableParagraph"/>
              <w:spacing w:line="179" w:lineRule="exact"/>
              <w:ind w:left="136" w:right="131"/>
              <w:jc w:val="left"/>
              <w:rPr>
                <w:sz w:val="16"/>
              </w:rPr>
            </w:pPr>
            <w:r>
              <w:rPr>
                <w:sz w:val="16"/>
              </w:rPr>
              <w:t>398</w:t>
            </w:r>
          </w:p>
        </w:tc>
        <w:tc>
          <w:tcPr>
            <w:tcW w:w="1011" w:type="dxa"/>
            <w:tcBorders>
              <w:left w:val="nil"/>
              <w:bottom w:val="nil"/>
              <w:right w:val="nil"/>
            </w:tcBorders>
          </w:tcPr>
          <w:p>
            <w:pPr/>
          </w:p>
        </w:tc>
        <w:tc>
          <w:tcPr>
            <w:tcW w:w="839" w:type="dxa"/>
            <w:vMerge w:val="restart"/>
            <w:tcBorders>
              <w:left w:val="nil"/>
              <w:right w:val="nil"/>
            </w:tcBorders>
          </w:tcPr>
          <w:p>
            <w:pPr>
              <w:pStyle w:val="TableParagraph"/>
              <w:spacing w:line="178" w:lineRule="exact"/>
              <w:ind w:left="409"/>
              <w:jc w:val="left"/>
              <w:rPr>
                <w:sz w:val="16"/>
              </w:rPr>
            </w:pPr>
            <w:r>
              <w:rPr>
                <w:sz w:val="16"/>
              </w:rPr>
              <w:t>13 </w:t>
            </w:r>
            <w:r>
              <w:rPr>
                <w:sz w:val="16"/>
                <w:u w:val="single"/>
              </w:rPr>
              <w:t>±</w:t>
            </w:r>
          </w:p>
          <w:p>
            <w:pPr>
              <w:pStyle w:val="TableParagraph"/>
              <w:spacing w:line="183" w:lineRule="exact"/>
              <w:ind w:left="128"/>
              <w:jc w:val="left"/>
              <w:rPr>
                <w:sz w:val="16"/>
              </w:rPr>
            </w:pPr>
            <w:r>
              <w:rPr>
                <w:sz w:val="16"/>
              </w:rPr>
              <w:t>3.6</w:t>
            </w:r>
          </w:p>
        </w:tc>
        <w:tc>
          <w:tcPr>
            <w:tcW w:w="535" w:type="dxa"/>
            <w:tcBorders>
              <w:left w:val="nil"/>
              <w:bottom w:val="nil"/>
              <w:right w:val="nil"/>
            </w:tcBorders>
          </w:tcPr>
          <w:p>
            <w:pPr/>
          </w:p>
        </w:tc>
        <w:tc>
          <w:tcPr>
            <w:tcW w:w="1124" w:type="dxa"/>
            <w:tcBorders>
              <w:left w:val="nil"/>
              <w:bottom w:val="nil"/>
              <w:right w:val="nil"/>
            </w:tcBorders>
          </w:tcPr>
          <w:p>
            <w:pPr/>
          </w:p>
        </w:tc>
        <w:tc>
          <w:tcPr>
            <w:tcW w:w="1096" w:type="dxa"/>
            <w:tcBorders>
              <w:left w:val="nil"/>
              <w:bottom w:val="nil"/>
              <w:right w:val="nil"/>
            </w:tcBorders>
          </w:tcPr>
          <w:p>
            <w:pPr/>
          </w:p>
        </w:tc>
        <w:tc>
          <w:tcPr>
            <w:tcW w:w="1147" w:type="dxa"/>
            <w:tcBorders>
              <w:left w:val="nil"/>
              <w:bottom w:val="nil"/>
              <w:right w:val="nil"/>
            </w:tcBorders>
          </w:tcPr>
          <w:p>
            <w:pPr/>
          </w:p>
        </w:tc>
      </w:tr>
      <w:tr>
        <w:trPr>
          <w:trHeight w:val="184" w:hRule="exact"/>
        </w:trPr>
        <w:tc>
          <w:tcPr>
            <w:tcW w:w="802" w:type="dxa"/>
            <w:tcBorders>
              <w:top w:val="nil"/>
              <w:left w:val="nil"/>
              <w:bottom w:val="nil"/>
              <w:right w:val="nil"/>
            </w:tcBorders>
          </w:tcPr>
          <w:p>
            <w:pPr/>
          </w:p>
        </w:tc>
        <w:tc>
          <w:tcPr>
            <w:tcW w:w="2542" w:type="dxa"/>
            <w:tcBorders>
              <w:top w:val="nil"/>
              <w:left w:val="nil"/>
              <w:bottom w:val="nil"/>
              <w:right w:val="nil"/>
            </w:tcBorders>
          </w:tcPr>
          <w:p>
            <w:pPr>
              <w:pStyle w:val="TableParagraph"/>
              <w:spacing w:line="175" w:lineRule="exact"/>
              <w:ind w:right="386"/>
              <w:jc w:val="right"/>
              <w:rPr>
                <w:sz w:val="16"/>
              </w:rPr>
            </w:pPr>
            <w:r>
              <w:rPr>
                <w:sz w:val="16"/>
              </w:rPr>
              <w:t>9 (5 ♂, 3 ♀, 1 fawn)</w:t>
            </w:r>
          </w:p>
        </w:tc>
        <w:tc>
          <w:tcPr>
            <w:tcW w:w="1011" w:type="dxa"/>
            <w:tcBorders>
              <w:top w:val="nil"/>
              <w:left w:val="nil"/>
              <w:bottom w:val="nil"/>
              <w:right w:val="nil"/>
            </w:tcBorders>
          </w:tcPr>
          <w:p>
            <w:pPr>
              <w:pStyle w:val="TableParagraph"/>
              <w:spacing w:line="175" w:lineRule="exact"/>
              <w:ind w:left="148" w:right="109"/>
              <w:jc w:val="left"/>
              <w:rPr>
                <w:sz w:val="16"/>
              </w:rPr>
            </w:pPr>
            <w:r>
              <w:rPr>
                <w:sz w:val="16"/>
              </w:rPr>
              <w:t>M(o)= 1.0</w:t>
            </w:r>
          </w:p>
        </w:tc>
        <w:tc>
          <w:tcPr>
            <w:tcW w:w="839" w:type="dxa"/>
            <w:vMerge/>
            <w:tcBorders>
              <w:left w:val="nil"/>
              <w:bottom w:val="nil"/>
              <w:right w:val="nil"/>
            </w:tcBorders>
          </w:tcPr>
          <w:p>
            <w:pPr/>
          </w:p>
        </w:tc>
        <w:tc>
          <w:tcPr>
            <w:tcW w:w="535" w:type="dxa"/>
            <w:tcBorders>
              <w:top w:val="nil"/>
              <w:left w:val="nil"/>
              <w:bottom w:val="nil"/>
              <w:right w:val="nil"/>
            </w:tcBorders>
          </w:tcPr>
          <w:p>
            <w:pPr>
              <w:pStyle w:val="TableParagraph"/>
              <w:spacing w:line="175" w:lineRule="exact"/>
              <w:ind w:left="139"/>
              <w:jc w:val="left"/>
              <w:rPr>
                <w:sz w:val="16"/>
              </w:rPr>
            </w:pPr>
            <w:r>
              <w:rPr>
                <w:sz w:val="16"/>
              </w:rPr>
              <w:t>0.09</w:t>
            </w:r>
          </w:p>
        </w:tc>
        <w:tc>
          <w:tcPr>
            <w:tcW w:w="1124" w:type="dxa"/>
            <w:tcBorders>
              <w:top w:val="nil"/>
              <w:left w:val="nil"/>
              <w:bottom w:val="nil"/>
              <w:right w:val="nil"/>
            </w:tcBorders>
          </w:tcPr>
          <w:p>
            <w:pPr>
              <w:pStyle w:val="TableParagraph"/>
              <w:spacing w:line="175" w:lineRule="exact"/>
              <w:ind w:left="113" w:right="93"/>
              <w:jc w:val="left"/>
              <w:rPr>
                <w:sz w:val="16"/>
              </w:rPr>
            </w:pPr>
            <w:r>
              <w:rPr>
                <w:sz w:val="16"/>
              </w:rPr>
              <w:t>2.5 </w:t>
            </w:r>
            <w:r>
              <w:rPr>
                <w:sz w:val="16"/>
                <w:u w:val="single"/>
              </w:rPr>
              <w:t>± </w:t>
            </w:r>
            <w:r>
              <w:rPr>
                <w:sz w:val="16"/>
              </w:rPr>
              <w:t>0.7</w:t>
            </w:r>
          </w:p>
        </w:tc>
        <w:tc>
          <w:tcPr>
            <w:tcW w:w="1096" w:type="dxa"/>
            <w:tcBorders>
              <w:top w:val="nil"/>
              <w:left w:val="nil"/>
              <w:bottom w:val="nil"/>
              <w:right w:val="nil"/>
            </w:tcBorders>
          </w:tcPr>
          <w:p>
            <w:pPr/>
          </w:p>
        </w:tc>
        <w:tc>
          <w:tcPr>
            <w:tcW w:w="1147" w:type="dxa"/>
            <w:tcBorders>
              <w:top w:val="nil"/>
              <w:left w:val="nil"/>
              <w:bottom w:val="nil"/>
              <w:right w:val="nil"/>
            </w:tcBorders>
          </w:tcPr>
          <w:p>
            <w:pPr>
              <w:pStyle w:val="TableParagraph"/>
              <w:spacing w:line="175" w:lineRule="exact"/>
              <w:ind w:left="134" w:right="241"/>
              <w:jc w:val="left"/>
              <w:rPr>
                <w:sz w:val="16"/>
              </w:rPr>
            </w:pPr>
            <w:r>
              <w:rPr>
                <w:sz w:val="16"/>
              </w:rPr>
              <w:t>10.0 </w:t>
            </w:r>
            <w:r>
              <w:rPr>
                <w:sz w:val="16"/>
                <w:u w:val="single"/>
              </w:rPr>
              <w:t>± </w:t>
            </w:r>
            <w:r>
              <w:rPr>
                <w:sz w:val="16"/>
              </w:rPr>
              <w:t>2.8</w:t>
            </w:r>
          </w:p>
        </w:tc>
      </w:tr>
      <w:tr>
        <w:trPr>
          <w:trHeight w:val="185" w:hRule="exact"/>
        </w:trPr>
        <w:tc>
          <w:tcPr>
            <w:tcW w:w="802" w:type="dxa"/>
            <w:tcBorders>
              <w:top w:val="nil"/>
              <w:left w:val="nil"/>
              <w:bottom w:val="nil"/>
              <w:right w:val="nil"/>
            </w:tcBorders>
          </w:tcPr>
          <w:p>
            <w:pPr>
              <w:pStyle w:val="TableParagraph"/>
              <w:spacing w:line="176" w:lineRule="exact"/>
              <w:ind w:left="122"/>
              <w:jc w:val="left"/>
              <w:rPr>
                <w:sz w:val="16"/>
              </w:rPr>
            </w:pPr>
            <w:r>
              <w:rPr>
                <w:sz w:val="16"/>
              </w:rPr>
              <w:t>22 (wet)</w:t>
            </w:r>
          </w:p>
        </w:tc>
        <w:tc>
          <w:tcPr>
            <w:tcW w:w="2542" w:type="dxa"/>
            <w:tcBorders>
              <w:top w:val="nil"/>
              <w:left w:val="nil"/>
              <w:bottom w:val="nil"/>
              <w:right w:val="nil"/>
            </w:tcBorders>
          </w:tcPr>
          <w:p>
            <w:pPr>
              <w:pStyle w:val="TableParagraph"/>
              <w:spacing w:line="176" w:lineRule="exact"/>
              <w:ind w:left="136" w:right="131"/>
              <w:jc w:val="left"/>
              <w:rPr>
                <w:sz w:val="16"/>
              </w:rPr>
            </w:pPr>
            <w:r>
              <w:rPr>
                <w:sz w:val="16"/>
              </w:rPr>
              <w:t>537</w:t>
            </w:r>
          </w:p>
        </w:tc>
        <w:tc>
          <w:tcPr>
            <w:tcW w:w="1011" w:type="dxa"/>
            <w:tcBorders>
              <w:top w:val="nil"/>
              <w:left w:val="nil"/>
              <w:bottom w:val="nil"/>
              <w:right w:val="nil"/>
            </w:tcBorders>
          </w:tcPr>
          <w:p>
            <w:pPr/>
          </w:p>
        </w:tc>
        <w:tc>
          <w:tcPr>
            <w:tcW w:w="839" w:type="dxa"/>
            <w:vMerge w:val="restart"/>
            <w:tcBorders>
              <w:top w:val="nil"/>
              <w:left w:val="nil"/>
              <w:right w:val="nil"/>
            </w:tcBorders>
          </w:tcPr>
          <w:p>
            <w:pPr>
              <w:pStyle w:val="TableParagraph"/>
              <w:spacing w:line="176" w:lineRule="exact"/>
              <w:ind w:left="409"/>
              <w:jc w:val="left"/>
              <w:rPr>
                <w:sz w:val="16"/>
              </w:rPr>
            </w:pPr>
            <w:r>
              <w:rPr>
                <w:sz w:val="16"/>
              </w:rPr>
              <w:t>10 </w:t>
            </w:r>
            <w:r>
              <w:rPr>
                <w:sz w:val="16"/>
                <w:u w:val="single"/>
              </w:rPr>
              <w:t>±</w:t>
            </w:r>
          </w:p>
          <w:p>
            <w:pPr>
              <w:pStyle w:val="TableParagraph"/>
              <w:spacing w:before="1"/>
              <w:ind w:left="128"/>
              <w:jc w:val="left"/>
              <w:rPr>
                <w:sz w:val="16"/>
              </w:rPr>
            </w:pPr>
            <w:r>
              <w:rPr>
                <w:sz w:val="16"/>
              </w:rPr>
              <w:t>3.4</w:t>
            </w:r>
          </w:p>
        </w:tc>
        <w:tc>
          <w:tcPr>
            <w:tcW w:w="535" w:type="dxa"/>
            <w:tcBorders>
              <w:top w:val="nil"/>
              <w:left w:val="nil"/>
              <w:bottom w:val="nil"/>
              <w:right w:val="nil"/>
            </w:tcBorders>
          </w:tcPr>
          <w:p>
            <w:pPr/>
          </w:p>
        </w:tc>
        <w:tc>
          <w:tcPr>
            <w:tcW w:w="1124" w:type="dxa"/>
            <w:tcBorders>
              <w:top w:val="nil"/>
              <w:left w:val="nil"/>
              <w:bottom w:val="nil"/>
              <w:right w:val="nil"/>
            </w:tcBorders>
          </w:tcPr>
          <w:p>
            <w:pPr/>
          </w:p>
        </w:tc>
        <w:tc>
          <w:tcPr>
            <w:tcW w:w="1096" w:type="dxa"/>
            <w:tcBorders>
              <w:top w:val="nil"/>
              <w:left w:val="nil"/>
              <w:bottom w:val="nil"/>
              <w:right w:val="nil"/>
            </w:tcBorders>
          </w:tcPr>
          <w:p>
            <w:pPr/>
          </w:p>
        </w:tc>
        <w:tc>
          <w:tcPr>
            <w:tcW w:w="1147" w:type="dxa"/>
            <w:tcBorders>
              <w:top w:val="nil"/>
              <w:left w:val="nil"/>
              <w:bottom w:val="nil"/>
              <w:right w:val="nil"/>
            </w:tcBorders>
          </w:tcPr>
          <w:p>
            <w:pPr/>
          </w:p>
        </w:tc>
      </w:tr>
      <w:tr>
        <w:trPr>
          <w:trHeight w:val="184" w:hRule="exact"/>
        </w:trPr>
        <w:tc>
          <w:tcPr>
            <w:tcW w:w="802" w:type="dxa"/>
            <w:tcBorders>
              <w:top w:val="nil"/>
              <w:left w:val="nil"/>
              <w:bottom w:val="nil"/>
              <w:right w:val="nil"/>
            </w:tcBorders>
          </w:tcPr>
          <w:p>
            <w:pPr/>
          </w:p>
        </w:tc>
        <w:tc>
          <w:tcPr>
            <w:tcW w:w="2542" w:type="dxa"/>
            <w:tcBorders>
              <w:top w:val="nil"/>
              <w:left w:val="nil"/>
              <w:bottom w:val="nil"/>
              <w:right w:val="nil"/>
            </w:tcBorders>
          </w:tcPr>
          <w:p>
            <w:pPr>
              <w:pStyle w:val="TableParagraph"/>
              <w:spacing w:line="176" w:lineRule="exact"/>
              <w:ind w:right="324"/>
              <w:jc w:val="right"/>
              <w:rPr>
                <w:sz w:val="16"/>
              </w:rPr>
            </w:pPr>
            <w:r>
              <w:rPr>
                <w:sz w:val="16"/>
              </w:rPr>
              <w:t>7 (3 ♂, 2 ♀, 2 fawns)</w:t>
            </w:r>
          </w:p>
        </w:tc>
        <w:tc>
          <w:tcPr>
            <w:tcW w:w="1011" w:type="dxa"/>
            <w:tcBorders>
              <w:top w:val="nil"/>
              <w:left w:val="nil"/>
              <w:bottom w:val="nil"/>
              <w:right w:val="nil"/>
            </w:tcBorders>
          </w:tcPr>
          <w:p>
            <w:pPr>
              <w:pStyle w:val="TableParagraph"/>
              <w:spacing w:line="176" w:lineRule="exact"/>
              <w:ind w:left="148" w:right="109"/>
              <w:jc w:val="left"/>
              <w:rPr>
                <w:sz w:val="16"/>
              </w:rPr>
            </w:pPr>
            <w:r>
              <w:rPr>
                <w:sz w:val="16"/>
              </w:rPr>
              <w:t>M(h)= 1.0</w:t>
            </w:r>
          </w:p>
        </w:tc>
        <w:tc>
          <w:tcPr>
            <w:tcW w:w="839" w:type="dxa"/>
            <w:vMerge/>
            <w:tcBorders>
              <w:left w:val="nil"/>
              <w:bottom w:val="nil"/>
              <w:right w:val="nil"/>
            </w:tcBorders>
          </w:tcPr>
          <w:p>
            <w:pPr/>
          </w:p>
        </w:tc>
        <w:tc>
          <w:tcPr>
            <w:tcW w:w="535" w:type="dxa"/>
            <w:tcBorders>
              <w:top w:val="nil"/>
              <w:left w:val="nil"/>
              <w:bottom w:val="nil"/>
              <w:right w:val="nil"/>
            </w:tcBorders>
          </w:tcPr>
          <w:p>
            <w:pPr>
              <w:pStyle w:val="TableParagraph"/>
              <w:spacing w:line="176" w:lineRule="exact"/>
              <w:ind w:left="139"/>
              <w:jc w:val="left"/>
              <w:rPr>
                <w:sz w:val="16"/>
              </w:rPr>
            </w:pPr>
            <w:r>
              <w:rPr>
                <w:sz w:val="16"/>
              </w:rPr>
              <w:t>0.07</w:t>
            </w:r>
          </w:p>
        </w:tc>
        <w:tc>
          <w:tcPr>
            <w:tcW w:w="1124" w:type="dxa"/>
            <w:tcBorders>
              <w:top w:val="nil"/>
              <w:left w:val="nil"/>
              <w:bottom w:val="nil"/>
              <w:right w:val="nil"/>
            </w:tcBorders>
          </w:tcPr>
          <w:p>
            <w:pPr>
              <w:pStyle w:val="TableParagraph"/>
              <w:spacing w:line="176" w:lineRule="exact"/>
              <w:ind w:left="113" w:right="93"/>
              <w:jc w:val="left"/>
              <w:rPr>
                <w:sz w:val="16"/>
              </w:rPr>
            </w:pPr>
            <w:r>
              <w:rPr>
                <w:sz w:val="16"/>
              </w:rPr>
              <w:t>2.0 </w:t>
            </w:r>
            <w:r>
              <w:rPr>
                <w:sz w:val="16"/>
                <w:u w:val="single"/>
              </w:rPr>
              <w:t>± </w:t>
            </w:r>
            <w:r>
              <w:rPr>
                <w:sz w:val="16"/>
              </w:rPr>
              <w:t>0.7</w:t>
            </w:r>
          </w:p>
        </w:tc>
        <w:tc>
          <w:tcPr>
            <w:tcW w:w="1096" w:type="dxa"/>
            <w:tcBorders>
              <w:top w:val="nil"/>
              <w:left w:val="nil"/>
              <w:bottom w:val="nil"/>
              <w:right w:val="nil"/>
            </w:tcBorders>
          </w:tcPr>
          <w:p>
            <w:pPr>
              <w:pStyle w:val="TableParagraph"/>
              <w:spacing w:line="176" w:lineRule="exact"/>
              <w:ind w:left="110" w:right="116"/>
              <w:jc w:val="left"/>
              <w:rPr>
                <w:sz w:val="16"/>
              </w:rPr>
            </w:pPr>
            <w:r>
              <w:rPr>
                <w:sz w:val="16"/>
              </w:rPr>
              <w:t>6.3 </w:t>
            </w:r>
            <w:r>
              <w:rPr>
                <w:sz w:val="16"/>
                <w:u w:val="single"/>
              </w:rPr>
              <w:t>± </w:t>
            </w:r>
            <w:r>
              <w:rPr>
                <w:sz w:val="16"/>
              </w:rPr>
              <w:t>2.1</w:t>
            </w:r>
          </w:p>
        </w:tc>
        <w:tc>
          <w:tcPr>
            <w:tcW w:w="1147" w:type="dxa"/>
            <w:tcBorders>
              <w:top w:val="nil"/>
              <w:left w:val="nil"/>
              <w:bottom w:val="nil"/>
              <w:right w:val="nil"/>
            </w:tcBorders>
          </w:tcPr>
          <w:p>
            <w:pPr/>
          </w:p>
        </w:tc>
      </w:tr>
      <w:tr>
        <w:trPr>
          <w:trHeight w:val="184" w:hRule="exact"/>
        </w:trPr>
        <w:tc>
          <w:tcPr>
            <w:tcW w:w="802" w:type="dxa"/>
            <w:tcBorders>
              <w:top w:val="nil"/>
              <w:left w:val="nil"/>
              <w:bottom w:val="nil"/>
              <w:right w:val="nil"/>
            </w:tcBorders>
          </w:tcPr>
          <w:p>
            <w:pPr>
              <w:pStyle w:val="TableParagraph"/>
              <w:spacing w:line="175" w:lineRule="exact"/>
              <w:ind w:left="122" w:right="117"/>
              <w:jc w:val="left"/>
              <w:rPr>
                <w:sz w:val="16"/>
              </w:rPr>
            </w:pPr>
            <w:r>
              <w:rPr>
                <w:sz w:val="16"/>
              </w:rPr>
              <w:t>33 (dry)</w:t>
            </w:r>
          </w:p>
        </w:tc>
        <w:tc>
          <w:tcPr>
            <w:tcW w:w="2542" w:type="dxa"/>
            <w:tcBorders>
              <w:top w:val="nil"/>
              <w:left w:val="nil"/>
              <w:bottom w:val="nil"/>
              <w:right w:val="nil"/>
            </w:tcBorders>
          </w:tcPr>
          <w:p>
            <w:pPr>
              <w:pStyle w:val="TableParagraph"/>
              <w:spacing w:line="175" w:lineRule="exact"/>
              <w:ind w:left="136" w:right="131"/>
              <w:jc w:val="left"/>
              <w:rPr>
                <w:sz w:val="16"/>
              </w:rPr>
            </w:pPr>
            <w:r>
              <w:rPr>
                <w:sz w:val="16"/>
              </w:rPr>
              <w:t>424</w:t>
            </w:r>
          </w:p>
        </w:tc>
        <w:tc>
          <w:tcPr>
            <w:tcW w:w="1011" w:type="dxa"/>
            <w:tcBorders>
              <w:top w:val="nil"/>
              <w:left w:val="nil"/>
              <w:bottom w:val="nil"/>
              <w:right w:val="nil"/>
            </w:tcBorders>
          </w:tcPr>
          <w:p>
            <w:pPr/>
          </w:p>
        </w:tc>
        <w:tc>
          <w:tcPr>
            <w:tcW w:w="839" w:type="dxa"/>
            <w:vMerge w:val="restart"/>
            <w:tcBorders>
              <w:top w:val="nil"/>
              <w:left w:val="nil"/>
              <w:right w:val="nil"/>
            </w:tcBorders>
          </w:tcPr>
          <w:p>
            <w:pPr>
              <w:pStyle w:val="TableParagraph"/>
              <w:spacing w:line="175" w:lineRule="exact"/>
              <w:ind w:left="409"/>
              <w:jc w:val="left"/>
              <w:rPr>
                <w:sz w:val="16"/>
              </w:rPr>
            </w:pPr>
            <w:r>
              <w:rPr>
                <w:sz w:val="16"/>
              </w:rPr>
              <w:t>16 </w:t>
            </w:r>
            <w:r>
              <w:rPr>
                <w:sz w:val="16"/>
                <w:u w:val="single"/>
              </w:rPr>
              <w:t>±</w:t>
            </w:r>
          </w:p>
          <w:p>
            <w:pPr>
              <w:pStyle w:val="TableParagraph"/>
              <w:spacing w:before="1"/>
              <w:ind w:left="128"/>
              <w:jc w:val="left"/>
              <w:rPr>
                <w:sz w:val="16"/>
              </w:rPr>
            </w:pPr>
            <w:r>
              <w:rPr>
                <w:sz w:val="16"/>
              </w:rPr>
              <w:t>4.2</w:t>
            </w:r>
          </w:p>
        </w:tc>
        <w:tc>
          <w:tcPr>
            <w:tcW w:w="535" w:type="dxa"/>
            <w:tcBorders>
              <w:top w:val="nil"/>
              <w:left w:val="nil"/>
              <w:bottom w:val="nil"/>
              <w:right w:val="nil"/>
            </w:tcBorders>
          </w:tcPr>
          <w:p>
            <w:pPr/>
          </w:p>
        </w:tc>
        <w:tc>
          <w:tcPr>
            <w:tcW w:w="1124" w:type="dxa"/>
            <w:tcBorders>
              <w:top w:val="nil"/>
              <w:left w:val="nil"/>
              <w:bottom w:val="nil"/>
              <w:right w:val="nil"/>
            </w:tcBorders>
          </w:tcPr>
          <w:p>
            <w:pPr/>
          </w:p>
        </w:tc>
        <w:tc>
          <w:tcPr>
            <w:tcW w:w="1096" w:type="dxa"/>
            <w:tcBorders>
              <w:top w:val="nil"/>
              <w:left w:val="nil"/>
              <w:bottom w:val="nil"/>
              <w:right w:val="nil"/>
            </w:tcBorders>
          </w:tcPr>
          <w:p>
            <w:pPr/>
          </w:p>
        </w:tc>
        <w:tc>
          <w:tcPr>
            <w:tcW w:w="1147" w:type="dxa"/>
            <w:tcBorders>
              <w:top w:val="nil"/>
              <w:left w:val="nil"/>
              <w:bottom w:val="nil"/>
              <w:right w:val="nil"/>
            </w:tcBorders>
          </w:tcPr>
          <w:p>
            <w:pPr/>
          </w:p>
        </w:tc>
      </w:tr>
      <w:tr>
        <w:trPr>
          <w:trHeight w:val="221" w:hRule="exact"/>
        </w:trPr>
        <w:tc>
          <w:tcPr>
            <w:tcW w:w="802" w:type="dxa"/>
            <w:tcBorders>
              <w:top w:val="nil"/>
              <w:left w:val="nil"/>
              <w:bottom w:val="nil"/>
              <w:right w:val="nil"/>
            </w:tcBorders>
          </w:tcPr>
          <w:p>
            <w:pPr/>
          </w:p>
        </w:tc>
        <w:tc>
          <w:tcPr>
            <w:tcW w:w="2542" w:type="dxa"/>
            <w:tcBorders>
              <w:top w:val="nil"/>
              <w:left w:val="nil"/>
              <w:bottom w:val="nil"/>
              <w:right w:val="nil"/>
            </w:tcBorders>
          </w:tcPr>
          <w:p>
            <w:pPr>
              <w:pStyle w:val="TableParagraph"/>
              <w:spacing w:line="176" w:lineRule="exact"/>
              <w:ind w:right="307"/>
              <w:jc w:val="right"/>
              <w:rPr>
                <w:sz w:val="16"/>
              </w:rPr>
            </w:pPr>
            <w:r>
              <w:rPr>
                <w:sz w:val="16"/>
              </w:rPr>
              <w:t>11 (8 ♂, 2 ♀, 1 fawn)</w:t>
            </w:r>
          </w:p>
        </w:tc>
        <w:tc>
          <w:tcPr>
            <w:tcW w:w="1011" w:type="dxa"/>
            <w:tcBorders>
              <w:top w:val="nil"/>
              <w:left w:val="nil"/>
              <w:bottom w:val="nil"/>
              <w:right w:val="nil"/>
            </w:tcBorders>
          </w:tcPr>
          <w:p>
            <w:pPr>
              <w:pStyle w:val="TableParagraph"/>
              <w:spacing w:line="176" w:lineRule="exact"/>
              <w:ind w:left="148" w:right="109"/>
              <w:jc w:val="left"/>
              <w:rPr>
                <w:sz w:val="16"/>
              </w:rPr>
            </w:pPr>
            <w:r>
              <w:rPr>
                <w:sz w:val="16"/>
              </w:rPr>
              <w:t>M(o)= 1.0</w:t>
            </w:r>
          </w:p>
        </w:tc>
        <w:tc>
          <w:tcPr>
            <w:tcW w:w="839" w:type="dxa"/>
            <w:vMerge/>
            <w:tcBorders>
              <w:left w:val="nil"/>
              <w:bottom w:val="nil"/>
              <w:right w:val="nil"/>
            </w:tcBorders>
          </w:tcPr>
          <w:p>
            <w:pPr/>
          </w:p>
        </w:tc>
        <w:tc>
          <w:tcPr>
            <w:tcW w:w="535" w:type="dxa"/>
            <w:tcBorders>
              <w:top w:val="nil"/>
              <w:left w:val="nil"/>
              <w:bottom w:val="nil"/>
              <w:right w:val="nil"/>
            </w:tcBorders>
          </w:tcPr>
          <w:p>
            <w:pPr>
              <w:pStyle w:val="TableParagraph"/>
              <w:spacing w:line="176" w:lineRule="exact"/>
              <w:ind w:left="139"/>
              <w:jc w:val="left"/>
              <w:rPr>
                <w:sz w:val="16"/>
              </w:rPr>
            </w:pPr>
            <w:r>
              <w:rPr>
                <w:sz w:val="16"/>
              </w:rPr>
              <w:t>0.08</w:t>
            </w:r>
          </w:p>
        </w:tc>
        <w:tc>
          <w:tcPr>
            <w:tcW w:w="1124" w:type="dxa"/>
            <w:tcBorders>
              <w:top w:val="nil"/>
              <w:left w:val="nil"/>
              <w:bottom w:val="nil"/>
              <w:right w:val="nil"/>
            </w:tcBorders>
          </w:tcPr>
          <w:p>
            <w:pPr>
              <w:pStyle w:val="TableParagraph"/>
              <w:spacing w:line="176" w:lineRule="exact"/>
              <w:ind w:left="113" w:right="93"/>
              <w:jc w:val="left"/>
              <w:rPr>
                <w:sz w:val="16"/>
              </w:rPr>
            </w:pPr>
            <w:r>
              <w:rPr>
                <w:sz w:val="16"/>
              </w:rPr>
              <w:t>3.1 </w:t>
            </w:r>
            <w:r>
              <w:rPr>
                <w:sz w:val="16"/>
                <w:u w:val="single"/>
              </w:rPr>
              <w:t>± </w:t>
            </w:r>
            <w:r>
              <w:rPr>
                <w:sz w:val="16"/>
              </w:rPr>
              <w:t>0.8</w:t>
            </w:r>
          </w:p>
        </w:tc>
        <w:tc>
          <w:tcPr>
            <w:tcW w:w="1096" w:type="dxa"/>
            <w:tcBorders>
              <w:top w:val="nil"/>
              <w:left w:val="nil"/>
              <w:bottom w:val="nil"/>
              <w:right w:val="nil"/>
            </w:tcBorders>
          </w:tcPr>
          <w:p>
            <w:pPr/>
          </w:p>
        </w:tc>
        <w:tc>
          <w:tcPr>
            <w:tcW w:w="1147" w:type="dxa"/>
            <w:tcBorders>
              <w:top w:val="nil"/>
              <w:left w:val="nil"/>
              <w:bottom w:val="nil"/>
              <w:right w:val="nil"/>
            </w:tcBorders>
          </w:tcPr>
          <w:p>
            <w:pPr>
              <w:pStyle w:val="TableParagraph"/>
              <w:spacing w:line="176" w:lineRule="exact"/>
              <w:ind w:left="134" w:right="241"/>
              <w:jc w:val="left"/>
              <w:rPr>
                <w:sz w:val="16"/>
              </w:rPr>
            </w:pPr>
            <w:r>
              <w:rPr>
                <w:sz w:val="16"/>
              </w:rPr>
              <w:t>12.0 </w:t>
            </w:r>
            <w:r>
              <w:rPr>
                <w:sz w:val="16"/>
                <w:u w:val="single"/>
              </w:rPr>
              <w:t>± </w:t>
            </w:r>
            <w:r>
              <w:rPr>
                <w:sz w:val="16"/>
              </w:rPr>
              <w:t>3.3</w:t>
            </w:r>
          </w:p>
        </w:tc>
      </w:tr>
      <w:tr>
        <w:trPr>
          <w:trHeight w:val="220" w:hRule="exact"/>
        </w:trPr>
        <w:tc>
          <w:tcPr>
            <w:tcW w:w="802" w:type="dxa"/>
            <w:tcBorders>
              <w:top w:val="nil"/>
              <w:left w:val="nil"/>
              <w:bottom w:val="nil"/>
              <w:right w:val="nil"/>
            </w:tcBorders>
          </w:tcPr>
          <w:p>
            <w:pPr>
              <w:pStyle w:val="TableParagraph"/>
              <w:spacing w:before="28"/>
              <w:ind w:left="122" w:right="117"/>
              <w:jc w:val="left"/>
              <w:rPr>
                <w:sz w:val="16"/>
              </w:rPr>
            </w:pPr>
            <w:r>
              <w:rPr>
                <w:sz w:val="16"/>
              </w:rPr>
              <w:t>44 (dry)</w:t>
            </w:r>
          </w:p>
        </w:tc>
        <w:tc>
          <w:tcPr>
            <w:tcW w:w="2542" w:type="dxa"/>
            <w:tcBorders>
              <w:top w:val="nil"/>
              <w:left w:val="nil"/>
              <w:bottom w:val="nil"/>
              <w:right w:val="nil"/>
            </w:tcBorders>
          </w:tcPr>
          <w:p>
            <w:pPr>
              <w:pStyle w:val="TableParagraph"/>
              <w:spacing w:before="28"/>
              <w:ind w:left="136" w:right="131"/>
              <w:jc w:val="left"/>
              <w:rPr>
                <w:sz w:val="16"/>
              </w:rPr>
            </w:pPr>
            <w:r>
              <w:rPr>
                <w:sz w:val="16"/>
              </w:rPr>
              <w:t>265</w:t>
            </w:r>
          </w:p>
        </w:tc>
        <w:tc>
          <w:tcPr>
            <w:tcW w:w="1011" w:type="dxa"/>
            <w:tcBorders>
              <w:top w:val="nil"/>
              <w:left w:val="nil"/>
              <w:bottom w:val="nil"/>
              <w:right w:val="nil"/>
            </w:tcBorders>
          </w:tcPr>
          <w:p>
            <w:pPr/>
          </w:p>
        </w:tc>
        <w:tc>
          <w:tcPr>
            <w:tcW w:w="839" w:type="dxa"/>
            <w:vMerge w:val="restart"/>
            <w:tcBorders>
              <w:top w:val="nil"/>
              <w:left w:val="nil"/>
              <w:right w:val="nil"/>
            </w:tcBorders>
          </w:tcPr>
          <w:p>
            <w:pPr>
              <w:pStyle w:val="TableParagraph"/>
              <w:spacing w:line="183" w:lineRule="exact" w:before="28"/>
              <w:ind w:left="141"/>
              <w:rPr>
                <w:sz w:val="16"/>
              </w:rPr>
            </w:pPr>
            <w:r>
              <w:rPr>
                <w:w w:val="100"/>
                <w:sz w:val="16"/>
              </w:rPr>
              <w:t>4</w:t>
            </w:r>
          </w:p>
          <w:p>
            <w:pPr>
              <w:pStyle w:val="TableParagraph"/>
              <w:spacing w:line="183" w:lineRule="exact"/>
              <w:ind w:left="128"/>
              <w:jc w:val="left"/>
              <w:rPr>
                <w:sz w:val="16"/>
              </w:rPr>
            </w:pPr>
            <w:r>
              <w:rPr>
                <w:sz w:val="16"/>
                <w:u w:val="single"/>
              </w:rPr>
              <w:t>±</w:t>
            </w:r>
            <w:r>
              <w:rPr>
                <w:sz w:val="16"/>
              </w:rPr>
              <w:t>0.9</w:t>
            </w:r>
          </w:p>
        </w:tc>
        <w:tc>
          <w:tcPr>
            <w:tcW w:w="535" w:type="dxa"/>
            <w:vMerge w:val="restart"/>
            <w:tcBorders>
              <w:top w:val="nil"/>
              <w:left w:val="nil"/>
              <w:right w:val="nil"/>
            </w:tcBorders>
          </w:tcPr>
          <w:p>
            <w:pPr>
              <w:pStyle w:val="TableParagraph"/>
              <w:spacing w:line="183" w:lineRule="exact" w:before="28"/>
              <w:ind w:left="139"/>
              <w:jc w:val="left"/>
              <w:rPr>
                <w:sz w:val="16"/>
              </w:rPr>
            </w:pPr>
            <w:r>
              <w:rPr>
                <w:sz w:val="16"/>
              </w:rPr>
              <w:t>00.1</w:t>
            </w:r>
          </w:p>
          <w:p>
            <w:pPr>
              <w:pStyle w:val="TableParagraph"/>
              <w:spacing w:line="183" w:lineRule="exact"/>
              <w:ind w:left="139"/>
              <w:jc w:val="left"/>
              <w:rPr>
                <w:sz w:val="16"/>
              </w:rPr>
            </w:pPr>
            <w:r>
              <w:rPr>
                <w:w w:val="100"/>
                <w:sz w:val="16"/>
              </w:rPr>
              <w:t>5</w:t>
            </w:r>
          </w:p>
        </w:tc>
        <w:tc>
          <w:tcPr>
            <w:tcW w:w="1124" w:type="dxa"/>
            <w:tcBorders>
              <w:top w:val="nil"/>
              <w:left w:val="nil"/>
              <w:bottom w:val="nil"/>
              <w:right w:val="nil"/>
            </w:tcBorders>
          </w:tcPr>
          <w:p>
            <w:pPr/>
          </w:p>
        </w:tc>
        <w:tc>
          <w:tcPr>
            <w:tcW w:w="1096" w:type="dxa"/>
            <w:tcBorders>
              <w:top w:val="nil"/>
              <w:left w:val="nil"/>
              <w:bottom w:val="nil"/>
              <w:right w:val="nil"/>
            </w:tcBorders>
          </w:tcPr>
          <w:p>
            <w:pPr/>
          </w:p>
        </w:tc>
        <w:tc>
          <w:tcPr>
            <w:tcW w:w="1147" w:type="dxa"/>
            <w:tcBorders>
              <w:top w:val="nil"/>
              <w:left w:val="nil"/>
              <w:bottom w:val="nil"/>
              <w:right w:val="nil"/>
            </w:tcBorders>
          </w:tcPr>
          <w:p>
            <w:pPr/>
          </w:p>
        </w:tc>
      </w:tr>
      <w:tr>
        <w:trPr>
          <w:trHeight w:val="234" w:hRule="exact"/>
        </w:trPr>
        <w:tc>
          <w:tcPr>
            <w:tcW w:w="802" w:type="dxa"/>
            <w:tcBorders>
              <w:top w:val="nil"/>
              <w:left w:val="nil"/>
              <w:bottom w:val="nil"/>
              <w:right w:val="nil"/>
            </w:tcBorders>
          </w:tcPr>
          <w:p>
            <w:pPr/>
          </w:p>
        </w:tc>
        <w:tc>
          <w:tcPr>
            <w:tcW w:w="2542" w:type="dxa"/>
            <w:tcBorders>
              <w:top w:val="nil"/>
              <w:left w:val="nil"/>
              <w:bottom w:val="nil"/>
              <w:right w:val="nil"/>
            </w:tcBorders>
          </w:tcPr>
          <w:p>
            <w:pPr>
              <w:pStyle w:val="TableParagraph"/>
              <w:spacing w:line="175" w:lineRule="exact"/>
              <w:ind w:left="846" w:right="131"/>
              <w:jc w:val="left"/>
              <w:rPr>
                <w:sz w:val="16"/>
              </w:rPr>
            </w:pPr>
            <w:r>
              <w:rPr>
                <w:sz w:val="16"/>
              </w:rPr>
              <w:t>4 (3 ♀, 1 fawn)</w:t>
            </w:r>
          </w:p>
        </w:tc>
        <w:tc>
          <w:tcPr>
            <w:tcW w:w="1011" w:type="dxa"/>
            <w:tcBorders>
              <w:top w:val="nil"/>
              <w:left w:val="nil"/>
              <w:bottom w:val="nil"/>
              <w:right w:val="nil"/>
            </w:tcBorders>
          </w:tcPr>
          <w:p>
            <w:pPr>
              <w:pStyle w:val="TableParagraph"/>
              <w:spacing w:line="175" w:lineRule="exact"/>
              <w:ind w:left="148" w:right="109"/>
              <w:jc w:val="left"/>
              <w:rPr>
                <w:sz w:val="16"/>
              </w:rPr>
            </w:pPr>
            <w:r>
              <w:rPr>
                <w:sz w:val="16"/>
              </w:rPr>
              <w:t>M(o)= 1.0</w:t>
            </w:r>
          </w:p>
        </w:tc>
        <w:tc>
          <w:tcPr>
            <w:tcW w:w="839" w:type="dxa"/>
            <w:vMerge/>
            <w:tcBorders>
              <w:left w:val="nil"/>
              <w:bottom w:val="nil"/>
              <w:right w:val="nil"/>
            </w:tcBorders>
          </w:tcPr>
          <w:p>
            <w:pPr/>
          </w:p>
        </w:tc>
        <w:tc>
          <w:tcPr>
            <w:tcW w:w="535" w:type="dxa"/>
            <w:vMerge/>
            <w:tcBorders>
              <w:left w:val="nil"/>
              <w:bottom w:val="nil"/>
              <w:right w:val="nil"/>
            </w:tcBorders>
          </w:tcPr>
          <w:p>
            <w:pPr/>
          </w:p>
        </w:tc>
        <w:tc>
          <w:tcPr>
            <w:tcW w:w="1124" w:type="dxa"/>
            <w:tcBorders>
              <w:top w:val="nil"/>
              <w:left w:val="nil"/>
              <w:bottom w:val="nil"/>
              <w:right w:val="nil"/>
            </w:tcBorders>
          </w:tcPr>
          <w:p>
            <w:pPr>
              <w:pStyle w:val="TableParagraph"/>
              <w:spacing w:line="175" w:lineRule="exact"/>
              <w:ind w:left="113" w:right="93"/>
              <w:jc w:val="left"/>
              <w:rPr>
                <w:sz w:val="16"/>
              </w:rPr>
            </w:pPr>
            <w:r>
              <w:rPr>
                <w:sz w:val="16"/>
              </w:rPr>
              <w:t>0.8 </w:t>
            </w:r>
            <w:r>
              <w:rPr>
                <w:sz w:val="16"/>
                <w:u w:val="single"/>
              </w:rPr>
              <w:t>± </w:t>
            </w:r>
            <w:r>
              <w:rPr>
                <w:sz w:val="16"/>
              </w:rPr>
              <w:t>0.2</w:t>
            </w:r>
          </w:p>
        </w:tc>
        <w:tc>
          <w:tcPr>
            <w:tcW w:w="1096" w:type="dxa"/>
            <w:tcBorders>
              <w:top w:val="nil"/>
              <w:left w:val="nil"/>
              <w:bottom w:val="nil"/>
              <w:right w:val="nil"/>
            </w:tcBorders>
          </w:tcPr>
          <w:p>
            <w:pPr/>
          </w:p>
        </w:tc>
        <w:tc>
          <w:tcPr>
            <w:tcW w:w="1147" w:type="dxa"/>
            <w:tcBorders>
              <w:top w:val="nil"/>
              <w:left w:val="nil"/>
              <w:bottom w:val="nil"/>
              <w:right w:val="nil"/>
            </w:tcBorders>
          </w:tcPr>
          <w:p>
            <w:pPr>
              <w:pStyle w:val="TableParagraph"/>
              <w:spacing w:line="175" w:lineRule="exact"/>
              <w:ind w:left="134" w:right="241"/>
              <w:jc w:val="left"/>
              <w:rPr>
                <w:sz w:val="16"/>
              </w:rPr>
            </w:pPr>
            <w:r>
              <w:rPr>
                <w:sz w:val="16"/>
              </w:rPr>
              <w:t>3.1 </w:t>
            </w:r>
            <w:r>
              <w:rPr>
                <w:sz w:val="16"/>
                <w:u w:val="single"/>
              </w:rPr>
              <w:t>± </w:t>
            </w:r>
            <w:r>
              <w:rPr>
                <w:sz w:val="16"/>
              </w:rPr>
              <w:t>0.7</w:t>
            </w:r>
          </w:p>
        </w:tc>
      </w:tr>
      <w:tr>
        <w:trPr>
          <w:trHeight w:val="235" w:hRule="exact"/>
        </w:trPr>
        <w:tc>
          <w:tcPr>
            <w:tcW w:w="802" w:type="dxa"/>
            <w:tcBorders>
              <w:top w:val="nil"/>
              <w:left w:val="nil"/>
              <w:bottom w:val="nil"/>
              <w:right w:val="nil"/>
            </w:tcBorders>
          </w:tcPr>
          <w:p>
            <w:pPr>
              <w:pStyle w:val="TableParagraph"/>
              <w:spacing w:before="42"/>
              <w:ind w:left="122"/>
              <w:jc w:val="left"/>
              <w:rPr>
                <w:sz w:val="16"/>
              </w:rPr>
            </w:pPr>
            <w:r>
              <w:rPr>
                <w:sz w:val="16"/>
              </w:rPr>
              <w:t>55 (wet)</w:t>
            </w:r>
          </w:p>
        </w:tc>
        <w:tc>
          <w:tcPr>
            <w:tcW w:w="2542" w:type="dxa"/>
            <w:tcBorders>
              <w:top w:val="nil"/>
              <w:left w:val="nil"/>
              <w:bottom w:val="nil"/>
              <w:right w:val="nil"/>
            </w:tcBorders>
          </w:tcPr>
          <w:p>
            <w:pPr>
              <w:pStyle w:val="TableParagraph"/>
              <w:spacing w:before="42"/>
              <w:ind w:left="136" w:right="131"/>
              <w:jc w:val="left"/>
              <w:rPr>
                <w:sz w:val="16"/>
              </w:rPr>
            </w:pPr>
            <w:r>
              <w:rPr>
                <w:sz w:val="16"/>
              </w:rPr>
              <w:t>99</w:t>
            </w:r>
          </w:p>
        </w:tc>
        <w:tc>
          <w:tcPr>
            <w:tcW w:w="1011" w:type="dxa"/>
            <w:tcBorders>
              <w:top w:val="nil"/>
              <w:left w:val="nil"/>
              <w:bottom w:val="nil"/>
              <w:right w:val="nil"/>
            </w:tcBorders>
          </w:tcPr>
          <w:p>
            <w:pPr/>
          </w:p>
        </w:tc>
        <w:tc>
          <w:tcPr>
            <w:tcW w:w="839" w:type="dxa"/>
            <w:vMerge w:val="restart"/>
            <w:tcBorders>
              <w:top w:val="nil"/>
              <w:left w:val="nil"/>
              <w:right w:val="nil"/>
            </w:tcBorders>
          </w:tcPr>
          <w:p>
            <w:pPr>
              <w:pStyle w:val="TableParagraph"/>
              <w:spacing w:before="42"/>
              <w:ind w:left="348" w:right="289"/>
              <w:rPr>
                <w:sz w:val="16"/>
              </w:rPr>
            </w:pPr>
            <w:r>
              <w:rPr>
                <w:sz w:val="16"/>
              </w:rPr>
              <w:t>10</w:t>
            </w:r>
          </w:p>
          <w:p>
            <w:pPr>
              <w:pStyle w:val="TableParagraph"/>
              <w:spacing w:before="1"/>
              <w:ind w:left="128"/>
              <w:jc w:val="left"/>
              <w:rPr>
                <w:sz w:val="16"/>
              </w:rPr>
            </w:pPr>
            <w:r>
              <w:rPr>
                <w:sz w:val="16"/>
                <w:u w:val="single"/>
              </w:rPr>
              <w:t>±</w:t>
            </w:r>
            <w:r>
              <w:rPr>
                <w:sz w:val="16"/>
              </w:rPr>
              <w:t>3.4</w:t>
            </w:r>
          </w:p>
        </w:tc>
        <w:tc>
          <w:tcPr>
            <w:tcW w:w="535" w:type="dxa"/>
            <w:vMerge w:val="restart"/>
            <w:tcBorders>
              <w:top w:val="nil"/>
              <w:left w:val="nil"/>
              <w:right w:val="nil"/>
            </w:tcBorders>
          </w:tcPr>
          <w:p>
            <w:pPr>
              <w:pStyle w:val="TableParagraph"/>
              <w:spacing w:before="42"/>
              <w:ind w:left="139"/>
              <w:jc w:val="left"/>
              <w:rPr>
                <w:sz w:val="16"/>
              </w:rPr>
            </w:pPr>
            <w:r>
              <w:rPr>
                <w:sz w:val="16"/>
              </w:rPr>
              <w:t>00.0</w:t>
            </w:r>
          </w:p>
          <w:p>
            <w:pPr>
              <w:pStyle w:val="TableParagraph"/>
              <w:spacing w:before="1"/>
              <w:ind w:left="139"/>
              <w:jc w:val="left"/>
              <w:rPr>
                <w:sz w:val="16"/>
              </w:rPr>
            </w:pPr>
            <w:r>
              <w:rPr>
                <w:w w:val="100"/>
                <w:sz w:val="16"/>
              </w:rPr>
              <w:t>7</w:t>
            </w:r>
          </w:p>
        </w:tc>
        <w:tc>
          <w:tcPr>
            <w:tcW w:w="1124" w:type="dxa"/>
            <w:tcBorders>
              <w:top w:val="nil"/>
              <w:left w:val="nil"/>
              <w:bottom w:val="nil"/>
              <w:right w:val="nil"/>
            </w:tcBorders>
          </w:tcPr>
          <w:p>
            <w:pPr/>
          </w:p>
        </w:tc>
        <w:tc>
          <w:tcPr>
            <w:tcW w:w="1096" w:type="dxa"/>
            <w:tcBorders>
              <w:top w:val="nil"/>
              <w:left w:val="nil"/>
              <w:bottom w:val="nil"/>
              <w:right w:val="nil"/>
            </w:tcBorders>
          </w:tcPr>
          <w:p>
            <w:pPr/>
          </w:p>
        </w:tc>
        <w:tc>
          <w:tcPr>
            <w:tcW w:w="1147" w:type="dxa"/>
            <w:tcBorders>
              <w:top w:val="nil"/>
              <w:left w:val="nil"/>
              <w:bottom w:val="nil"/>
              <w:right w:val="nil"/>
            </w:tcBorders>
          </w:tcPr>
          <w:p>
            <w:pPr/>
          </w:p>
        </w:tc>
      </w:tr>
      <w:tr>
        <w:trPr>
          <w:trHeight w:val="214" w:hRule="exact"/>
        </w:trPr>
        <w:tc>
          <w:tcPr>
            <w:tcW w:w="802" w:type="dxa"/>
            <w:tcBorders>
              <w:top w:val="nil"/>
              <w:left w:val="nil"/>
              <w:bottom w:val="nil"/>
              <w:right w:val="nil"/>
            </w:tcBorders>
          </w:tcPr>
          <w:p>
            <w:pPr/>
          </w:p>
        </w:tc>
        <w:tc>
          <w:tcPr>
            <w:tcW w:w="2542" w:type="dxa"/>
            <w:tcBorders>
              <w:top w:val="nil"/>
              <w:left w:val="nil"/>
              <w:bottom w:val="nil"/>
              <w:right w:val="nil"/>
            </w:tcBorders>
          </w:tcPr>
          <w:p>
            <w:pPr>
              <w:pStyle w:val="TableParagraph"/>
              <w:spacing w:line="176" w:lineRule="exact"/>
              <w:ind w:right="347"/>
              <w:jc w:val="right"/>
              <w:rPr>
                <w:sz w:val="16"/>
              </w:rPr>
            </w:pPr>
            <w:r>
              <w:rPr>
                <w:sz w:val="16"/>
              </w:rPr>
              <w:t>7 (2 ♂,  4 ♀, 1 fawn)</w:t>
            </w:r>
          </w:p>
        </w:tc>
        <w:tc>
          <w:tcPr>
            <w:tcW w:w="1011" w:type="dxa"/>
            <w:tcBorders>
              <w:top w:val="nil"/>
              <w:left w:val="nil"/>
              <w:bottom w:val="nil"/>
              <w:right w:val="nil"/>
            </w:tcBorders>
          </w:tcPr>
          <w:p>
            <w:pPr>
              <w:pStyle w:val="TableParagraph"/>
              <w:spacing w:line="176" w:lineRule="exact"/>
              <w:ind w:left="148" w:right="109"/>
              <w:jc w:val="left"/>
              <w:rPr>
                <w:sz w:val="16"/>
              </w:rPr>
            </w:pPr>
            <w:r>
              <w:rPr>
                <w:sz w:val="16"/>
              </w:rPr>
              <w:t>M(h)= 1.0</w:t>
            </w:r>
          </w:p>
        </w:tc>
        <w:tc>
          <w:tcPr>
            <w:tcW w:w="839" w:type="dxa"/>
            <w:vMerge/>
            <w:tcBorders>
              <w:left w:val="nil"/>
              <w:bottom w:val="nil"/>
              <w:right w:val="nil"/>
            </w:tcBorders>
          </w:tcPr>
          <w:p>
            <w:pPr/>
          </w:p>
        </w:tc>
        <w:tc>
          <w:tcPr>
            <w:tcW w:w="535" w:type="dxa"/>
            <w:vMerge/>
            <w:tcBorders>
              <w:left w:val="nil"/>
              <w:bottom w:val="nil"/>
              <w:right w:val="nil"/>
            </w:tcBorders>
          </w:tcPr>
          <w:p>
            <w:pPr/>
          </w:p>
        </w:tc>
        <w:tc>
          <w:tcPr>
            <w:tcW w:w="1124" w:type="dxa"/>
            <w:tcBorders>
              <w:top w:val="nil"/>
              <w:left w:val="nil"/>
              <w:bottom w:val="nil"/>
              <w:right w:val="nil"/>
            </w:tcBorders>
          </w:tcPr>
          <w:p>
            <w:pPr>
              <w:pStyle w:val="TableParagraph"/>
              <w:spacing w:line="176" w:lineRule="exact"/>
              <w:ind w:left="113" w:right="93"/>
              <w:jc w:val="left"/>
              <w:rPr>
                <w:sz w:val="16"/>
              </w:rPr>
            </w:pPr>
            <w:r>
              <w:rPr>
                <w:sz w:val="16"/>
              </w:rPr>
              <w:t>2.0 </w:t>
            </w:r>
            <w:r>
              <w:rPr>
                <w:sz w:val="16"/>
                <w:u w:val="single"/>
              </w:rPr>
              <w:t>± </w:t>
            </w:r>
            <w:r>
              <w:rPr>
                <w:sz w:val="16"/>
              </w:rPr>
              <w:t>0.7</w:t>
            </w:r>
          </w:p>
        </w:tc>
        <w:tc>
          <w:tcPr>
            <w:tcW w:w="1096" w:type="dxa"/>
            <w:tcBorders>
              <w:top w:val="nil"/>
              <w:left w:val="nil"/>
              <w:bottom w:val="nil"/>
              <w:right w:val="nil"/>
            </w:tcBorders>
          </w:tcPr>
          <w:p>
            <w:pPr>
              <w:pStyle w:val="TableParagraph"/>
              <w:spacing w:line="176" w:lineRule="exact"/>
              <w:ind w:left="110" w:right="116"/>
              <w:jc w:val="left"/>
              <w:rPr>
                <w:sz w:val="16"/>
              </w:rPr>
            </w:pPr>
            <w:r>
              <w:rPr>
                <w:sz w:val="16"/>
              </w:rPr>
              <w:t>6.3 </w:t>
            </w:r>
            <w:r>
              <w:rPr>
                <w:sz w:val="16"/>
                <w:u w:val="single"/>
              </w:rPr>
              <w:t>± </w:t>
            </w:r>
            <w:r>
              <w:rPr>
                <w:sz w:val="16"/>
              </w:rPr>
              <w:t>2.1</w:t>
            </w:r>
          </w:p>
        </w:tc>
        <w:tc>
          <w:tcPr>
            <w:tcW w:w="1147" w:type="dxa"/>
            <w:tcBorders>
              <w:top w:val="nil"/>
              <w:left w:val="nil"/>
              <w:bottom w:val="nil"/>
              <w:right w:val="nil"/>
            </w:tcBorders>
          </w:tcPr>
          <w:p>
            <w:pPr/>
          </w:p>
        </w:tc>
      </w:tr>
      <w:tr>
        <w:trPr>
          <w:trHeight w:val="214" w:hRule="exact"/>
        </w:trPr>
        <w:tc>
          <w:tcPr>
            <w:tcW w:w="802" w:type="dxa"/>
            <w:tcBorders>
              <w:top w:val="nil"/>
              <w:left w:val="nil"/>
              <w:bottom w:val="nil"/>
              <w:right w:val="nil"/>
            </w:tcBorders>
          </w:tcPr>
          <w:p>
            <w:pPr>
              <w:pStyle w:val="TableParagraph"/>
              <w:spacing w:before="21"/>
              <w:ind w:left="122" w:right="117"/>
              <w:jc w:val="left"/>
              <w:rPr>
                <w:sz w:val="16"/>
              </w:rPr>
            </w:pPr>
            <w:r>
              <w:rPr>
                <w:sz w:val="16"/>
              </w:rPr>
              <w:t>66 (dry)</w:t>
            </w:r>
          </w:p>
        </w:tc>
        <w:tc>
          <w:tcPr>
            <w:tcW w:w="2542" w:type="dxa"/>
            <w:tcBorders>
              <w:top w:val="nil"/>
              <w:left w:val="nil"/>
              <w:bottom w:val="nil"/>
              <w:right w:val="nil"/>
            </w:tcBorders>
          </w:tcPr>
          <w:p>
            <w:pPr>
              <w:pStyle w:val="TableParagraph"/>
              <w:spacing w:before="21"/>
              <w:ind w:left="136" w:right="131"/>
              <w:jc w:val="left"/>
              <w:rPr>
                <w:sz w:val="16"/>
              </w:rPr>
            </w:pPr>
            <w:r>
              <w:rPr>
                <w:sz w:val="16"/>
              </w:rPr>
              <w:t>274</w:t>
            </w:r>
          </w:p>
        </w:tc>
        <w:tc>
          <w:tcPr>
            <w:tcW w:w="1011" w:type="dxa"/>
            <w:tcBorders>
              <w:top w:val="nil"/>
              <w:left w:val="nil"/>
              <w:bottom w:val="nil"/>
              <w:right w:val="nil"/>
            </w:tcBorders>
          </w:tcPr>
          <w:p>
            <w:pPr/>
          </w:p>
        </w:tc>
        <w:tc>
          <w:tcPr>
            <w:tcW w:w="839" w:type="dxa"/>
            <w:tcBorders>
              <w:top w:val="nil"/>
              <w:left w:val="nil"/>
              <w:bottom w:val="nil"/>
              <w:right w:val="nil"/>
            </w:tcBorders>
          </w:tcPr>
          <w:p>
            <w:pPr/>
          </w:p>
        </w:tc>
        <w:tc>
          <w:tcPr>
            <w:tcW w:w="535" w:type="dxa"/>
            <w:vMerge w:val="restart"/>
            <w:tcBorders>
              <w:top w:val="nil"/>
              <w:left w:val="nil"/>
              <w:right w:val="nil"/>
            </w:tcBorders>
          </w:tcPr>
          <w:p>
            <w:pPr>
              <w:pStyle w:val="TableParagraph"/>
              <w:spacing w:before="21"/>
              <w:ind w:left="139"/>
              <w:jc w:val="left"/>
              <w:rPr>
                <w:sz w:val="16"/>
              </w:rPr>
            </w:pPr>
            <w:r>
              <w:rPr>
                <w:sz w:val="16"/>
              </w:rPr>
              <w:t>00.0</w:t>
            </w:r>
          </w:p>
          <w:p>
            <w:pPr>
              <w:pStyle w:val="TableParagraph"/>
              <w:spacing w:before="1"/>
              <w:ind w:left="139"/>
              <w:jc w:val="left"/>
              <w:rPr>
                <w:sz w:val="16"/>
              </w:rPr>
            </w:pPr>
            <w:r>
              <w:rPr>
                <w:w w:val="100"/>
                <w:sz w:val="16"/>
              </w:rPr>
              <w:t>5</w:t>
            </w:r>
          </w:p>
        </w:tc>
        <w:tc>
          <w:tcPr>
            <w:tcW w:w="1124" w:type="dxa"/>
            <w:tcBorders>
              <w:top w:val="nil"/>
              <w:left w:val="nil"/>
              <w:bottom w:val="nil"/>
              <w:right w:val="nil"/>
            </w:tcBorders>
          </w:tcPr>
          <w:p>
            <w:pPr/>
          </w:p>
        </w:tc>
        <w:tc>
          <w:tcPr>
            <w:tcW w:w="1096" w:type="dxa"/>
            <w:tcBorders>
              <w:top w:val="nil"/>
              <w:left w:val="nil"/>
              <w:bottom w:val="nil"/>
              <w:right w:val="nil"/>
            </w:tcBorders>
          </w:tcPr>
          <w:p>
            <w:pPr/>
          </w:p>
        </w:tc>
        <w:tc>
          <w:tcPr>
            <w:tcW w:w="1147" w:type="dxa"/>
            <w:tcBorders>
              <w:top w:val="nil"/>
              <w:left w:val="nil"/>
              <w:bottom w:val="nil"/>
              <w:right w:val="nil"/>
            </w:tcBorders>
          </w:tcPr>
          <w:p>
            <w:pPr/>
          </w:p>
        </w:tc>
      </w:tr>
      <w:tr>
        <w:trPr>
          <w:trHeight w:val="210" w:hRule="exact"/>
        </w:trPr>
        <w:tc>
          <w:tcPr>
            <w:tcW w:w="802" w:type="dxa"/>
            <w:tcBorders>
              <w:top w:val="nil"/>
              <w:left w:val="nil"/>
              <w:right w:val="nil"/>
            </w:tcBorders>
          </w:tcPr>
          <w:p>
            <w:pPr/>
          </w:p>
        </w:tc>
        <w:tc>
          <w:tcPr>
            <w:tcW w:w="2542" w:type="dxa"/>
            <w:tcBorders>
              <w:top w:val="nil"/>
              <w:left w:val="nil"/>
              <w:right w:val="nil"/>
            </w:tcBorders>
          </w:tcPr>
          <w:p>
            <w:pPr>
              <w:pStyle w:val="TableParagraph"/>
              <w:spacing w:line="176" w:lineRule="exact"/>
              <w:ind w:left="846" w:right="131"/>
              <w:jc w:val="left"/>
              <w:rPr>
                <w:sz w:val="16"/>
              </w:rPr>
            </w:pPr>
            <w:r>
              <w:rPr>
                <w:sz w:val="16"/>
              </w:rPr>
              <w:t>4 (3 ♂, 1 ♀)</w:t>
            </w:r>
          </w:p>
        </w:tc>
        <w:tc>
          <w:tcPr>
            <w:tcW w:w="1011" w:type="dxa"/>
            <w:tcBorders>
              <w:top w:val="nil"/>
              <w:left w:val="nil"/>
              <w:right w:val="nil"/>
            </w:tcBorders>
          </w:tcPr>
          <w:p>
            <w:pPr>
              <w:pStyle w:val="TableParagraph"/>
              <w:spacing w:line="176" w:lineRule="exact"/>
              <w:ind w:left="148" w:right="109"/>
              <w:jc w:val="left"/>
              <w:rPr>
                <w:sz w:val="16"/>
              </w:rPr>
            </w:pPr>
            <w:r>
              <w:rPr>
                <w:sz w:val="16"/>
              </w:rPr>
              <w:t>M(o)= 1.0</w:t>
            </w:r>
          </w:p>
        </w:tc>
        <w:tc>
          <w:tcPr>
            <w:tcW w:w="839" w:type="dxa"/>
            <w:tcBorders>
              <w:top w:val="nil"/>
              <w:left w:val="nil"/>
              <w:right w:val="nil"/>
            </w:tcBorders>
          </w:tcPr>
          <w:p>
            <w:pPr>
              <w:pStyle w:val="TableParagraph"/>
              <w:spacing w:line="176" w:lineRule="exact"/>
              <w:ind w:left="128"/>
              <w:jc w:val="left"/>
              <w:rPr>
                <w:sz w:val="16"/>
              </w:rPr>
            </w:pPr>
            <w:r>
              <w:rPr>
                <w:sz w:val="16"/>
              </w:rPr>
              <w:t>8 </w:t>
            </w:r>
            <w:r>
              <w:rPr>
                <w:sz w:val="16"/>
                <w:u w:val="single"/>
              </w:rPr>
              <w:t>± </w:t>
            </w:r>
            <w:r>
              <w:rPr>
                <w:sz w:val="16"/>
              </w:rPr>
              <w:t>5.5</w:t>
            </w:r>
          </w:p>
        </w:tc>
        <w:tc>
          <w:tcPr>
            <w:tcW w:w="535" w:type="dxa"/>
            <w:vMerge/>
            <w:tcBorders>
              <w:left w:val="nil"/>
              <w:right w:val="nil"/>
            </w:tcBorders>
          </w:tcPr>
          <w:p>
            <w:pPr/>
          </w:p>
        </w:tc>
        <w:tc>
          <w:tcPr>
            <w:tcW w:w="1124" w:type="dxa"/>
            <w:tcBorders>
              <w:top w:val="nil"/>
              <w:left w:val="nil"/>
              <w:right w:val="nil"/>
            </w:tcBorders>
          </w:tcPr>
          <w:p>
            <w:pPr>
              <w:pStyle w:val="TableParagraph"/>
              <w:spacing w:line="176" w:lineRule="exact"/>
              <w:ind w:left="113" w:right="93"/>
              <w:jc w:val="left"/>
              <w:rPr>
                <w:sz w:val="16"/>
              </w:rPr>
            </w:pPr>
            <w:r>
              <w:rPr>
                <w:sz w:val="16"/>
              </w:rPr>
              <w:t>1.6 </w:t>
            </w:r>
            <w:r>
              <w:rPr>
                <w:sz w:val="16"/>
                <w:u w:val="single"/>
              </w:rPr>
              <w:t>± </w:t>
            </w:r>
            <w:r>
              <w:rPr>
                <w:sz w:val="16"/>
              </w:rPr>
              <w:t>1.1</w:t>
            </w:r>
          </w:p>
        </w:tc>
        <w:tc>
          <w:tcPr>
            <w:tcW w:w="1096" w:type="dxa"/>
            <w:tcBorders>
              <w:top w:val="nil"/>
              <w:left w:val="nil"/>
              <w:right w:val="nil"/>
            </w:tcBorders>
          </w:tcPr>
          <w:p>
            <w:pPr/>
          </w:p>
        </w:tc>
        <w:tc>
          <w:tcPr>
            <w:tcW w:w="1147" w:type="dxa"/>
            <w:tcBorders>
              <w:top w:val="nil"/>
              <w:left w:val="nil"/>
              <w:right w:val="nil"/>
            </w:tcBorders>
          </w:tcPr>
          <w:p>
            <w:pPr>
              <w:pStyle w:val="TableParagraph"/>
              <w:spacing w:line="176" w:lineRule="exact"/>
              <w:ind w:left="134" w:right="241"/>
              <w:jc w:val="left"/>
              <w:rPr>
                <w:sz w:val="16"/>
              </w:rPr>
            </w:pPr>
            <w:r>
              <w:rPr>
                <w:sz w:val="16"/>
              </w:rPr>
              <w:t>6.2 </w:t>
            </w:r>
            <w:r>
              <w:rPr>
                <w:sz w:val="16"/>
                <w:u w:val="single"/>
              </w:rPr>
              <w:t>± </w:t>
            </w:r>
            <w:r>
              <w:rPr>
                <w:sz w:val="16"/>
              </w:rPr>
              <w:t>4.3</w:t>
            </w:r>
          </w:p>
        </w:tc>
      </w:tr>
    </w:tbl>
    <w:p>
      <w:pPr>
        <w:spacing w:after="0" w:line="176" w:lineRule="exact"/>
        <w:jc w:val="left"/>
        <w:rPr>
          <w:sz w:val="16"/>
        </w:rPr>
        <w:sectPr>
          <w:pgSz w:w="12240" w:h="15840"/>
          <w:pgMar w:header="740" w:footer="779" w:top="960" w:bottom="960" w:left="1460" w:right="1460"/>
        </w:sectPr>
      </w:pPr>
    </w:p>
    <w:p>
      <w:pPr>
        <w:pStyle w:val="BodyText"/>
        <w:rPr>
          <w:sz w:val="20"/>
        </w:rPr>
      </w:pPr>
    </w:p>
    <w:p>
      <w:pPr>
        <w:pStyle w:val="BodyText"/>
        <w:rPr>
          <w:sz w:val="19"/>
        </w:rPr>
      </w:pPr>
    </w:p>
    <w:p>
      <w:pPr>
        <w:pStyle w:val="BodyText"/>
        <w:spacing w:line="470" w:lineRule="auto"/>
        <w:ind w:left="102" w:right="177"/>
      </w:pPr>
      <w:bookmarkStart w:name="_bookmark18" w:id="22"/>
      <w:bookmarkEnd w:id="22"/>
      <w:r>
        <w:rPr/>
      </w:r>
      <w:r>
        <w:rPr>
          <w:b/>
        </w:rPr>
        <w:t>Table 3.1 </w:t>
      </w:r>
      <w:r>
        <w:rPr/>
        <w:t>Sampling effort and recommended model (M(h) or M(o)) to estimate abundance and standard error (</w:t>
      </w:r>
      <w:r>
        <w:rPr>
          <w:i/>
        </w:rPr>
        <w:t>Ň </w:t>
      </w:r>
      <w:r>
        <w:rPr>
          <w:u w:val="single"/>
        </w:rPr>
        <w:t>± </w:t>
      </w:r>
      <w:r>
        <w:rPr/>
        <w:t>s.e.), capture probability (p), and density (individuals/km</w:t>
      </w:r>
      <w:r>
        <w:rPr>
          <w:position w:val="11"/>
          <w:sz w:val="16"/>
        </w:rPr>
        <w:t>2</w:t>
      </w:r>
      <w:r>
        <w:rPr/>
        <w:t>) estimates for three home range values of white-tailed deer (Marchinton and Hirth 1984, González-Pérez 2003 in Ortega et al. 2011).</w:t>
      </w:r>
    </w:p>
    <w:p>
      <w:pPr>
        <w:pStyle w:val="BodyText"/>
      </w:pPr>
    </w:p>
    <w:p>
      <w:pPr>
        <w:pStyle w:val="BodyText"/>
        <w:spacing w:before="8"/>
        <w:rPr>
          <w:sz w:val="22"/>
        </w:rPr>
      </w:pPr>
    </w:p>
    <w:p>
      <w:pPr>
        <w:pStyle w:val="BodyText"/>
        <w:ind w:left="102"/>
      </w:pPr>
      <w:r>
        <w:rPr/>
        <w:t>We obtained three effective sampling areas of 5.11 km</w:t>
      </w:r>
      <w:r>
        <w:rPr>
          <w:position w:val="11"/>
          <w:sz w:val="16"/>
        </w:rPr>
        <w:t>2</w:t>
      </w:r>
      <w:r>
        <w:rPr/>
        <w:t>, and 1.6 km</w:t>
      </w:r>
      <w:r>
        <w:rPr>
          <w:position w:val="11"/>
          <w:sz w:val="16"/>
        </w:rPr>
        <w:t>2 </w:t>
      </w:r>
      <w:r>
        <w:rPr/>
        <w:t>in the wet season and</w:t>
      </w:r>
    </w:p>
    <w:p>
      <w:pPr>
        <w:pStyle w:val="BodyText"/>
        <w:spacing w:line="480" w:lineRule="auto" w:before="240"/>
        <w:ind w:left="102" w:right="259"/>
        <w:jc w:val="both"/>
      </w:pPr>
      <w:r>
        <w:rPr/>
        <w:t>1.29 km</w:t>
      </w:r>
      <w:r>
        <w:rPr>
          <w:position w:val="11"/>
          <w:sz w:val="16"/>
        </w:rPr>
        <w:t>2 </w:t>
      </w:r>
      <w:r>
        <w:rPr/>
        <w:t>in the dry season. With the first sampling area (5.11 km</w:t>
      </w:r>
      <w:r>
        <w:rPr>
          <w:position w:val="11"/>
          <w:sz w:val="16"/>
        </w:rPr>
        <w:t>2</w:t>
      </w:r>
      <w:r>
        <w:rPr/>
        <w:t>), we obtained densities from 2.0 </w:t>
      </w:r>
      <w:r>
        <w:rPr>
          <w:u w:val="single"/>
        </w:rPr>
        <w:t>± </w:t>
      </w:r>
      <w:r>
        <w:rPr/>
        <w:t>0.7 (s.e) in the wet season and 0.8 </w:t>
      </w:r>
      <w:r>
        <w:rPr>
          <w:u w:val="single"/>
        </w:rPr>
        <w:t>± </w:t>
      </w:r>
      <w:r>
        <w:rPr/>
        <w:t>0.2 to 3.1 </w:t>
      </w:r>
      <w:r>
        <w:rPr>
          <w:u w:val="single"/>
        </w:rPr>
        <w:t>± </w:t>
      </w:r>
      <w:r>
        <w:rPr/>
        <w:t>0.8 in the dry season. With the remaining two sampling areas the density was from 6.3 </w:t>
      </w:r>
      <w:r>
        <w:rPr>
          <w:u w:val="single"/>
        </w:rPr>
        <w:t>± </w:t>
      </w:r>
      <w:r>
        <w:rPr/>
        <w:t>2.1 in the wet season and from</w:t>
      </w:r>
    </w:p>
    <w:p>
      <w:pPr>
        <w:pStyle w:val="BodyText"/>
        <w:spacing w:line="286" w:lineRule="exact"/>
        <w:ind w:left="102"/>
      </w:pPr>
      <w:r>
        <w:rPr/>
        <w:t>3.1 </w:t>
      </w:r>
      <w:r>
        <w:rPr>
          <w:u w:val="single"/>
        </w:rPr>
        <w:t>± </w:t>
      </w:r>
      <w:r>
        <w:rPr/>
        <w:t>0.7 to 12 </w:t>
      </w:r>
      <w:r>
        <w:rPr>
          <w:u w:val="single"/>
        </w:rPr>
        <w:t>± </w:t>
      </w:r>
      <w:r>
        <w:rPr/>
        <w:t>3.3 individuals/km</w:t>
      </w:r>
      <w:r>
        <w:rPr>
          <w:position w:val="11"/>
          <w:sz w:val="16"/>
        </w:rPr>
        <w:t>2  </w:t>
      </w:r>
      <w:r>
        <w:rPr/>
        <w:t>in the dry station (Table 3.1).</w:t>
      </w:r>
    </w:p>
    <w:p>
      <w:pPr>
        <w:pStyle w:val="BodyText"/>
        <w:rPr>
          <w:sz w:val="28"/>
        </w:rPr>
      </w:pPr>
    </w:p>
    <w:p>
      <w:pPr>
        <w:pStyle w:val="BodyText"/>
        <w:rPr>
          <w:sz w:val="28"/>
        </w:rPr>
      </w:pPr>
    </w:p>
    <w:p>
      <w:pPr>
        <w:pStyle w:val="Heading2"/>
        <w:spacing w:before="189"/>
      </w:pPr>
      <w:r>
        <w:rPr/>
        <w:t>Activity pattern</w:t>
      </w:r>
    </w:p>
    <w:p>
      <w:pPr>
        <w:pStyle w:val="BodyText"/>
        <w:rPr>
          <w:b/>
        </w:rPr>
      </w:pPr>
    </w:p>
    <w:p>
      <w:pPr>
        <w:pStyle w:val="BodyText"/>
        <w:rPr>
          <w:b/>
        </w:rPr>
      </w:pPr>
    </w:p>
    <w:p>
      <w:pPr>
        <w:pStyle w:val="BodyText"/>
        <w:spacing w:before="7"/>
        <w:rPr>
          <w:b/>
          <w:sz w:val="23"/>
        </w:rPr>
      </w:pPr>
    </w:p>
    <w:p>
      <w:pPr>
        <w:pStyle w:val="BodyText"/>
        <w:spacing w:line="480" w:lineRule="auto"/>
        <w:ind w:left="102" w:right="75"/>
      </w:pPr>
      <w:r>
        <w:rPr/>
        <w:t>To determine the activity pattern, 84 photographs with visible time stamps were used (89% of the total). These data showed that deer were mostly diurnal, with activity peaking between 16:00 and 18:00 h (17% of the photographs) and between 10:00 and 12:00 h (15% of the photographs). At night, the peak of activity was between 0:00 and 2:00 h (12%), with low or no crepuscular activity recorded (Figure 3.3).</w:t>
      </w:r>
    </w:p>
    <w:p>
      <w:pPr>
        <w:pStyle w:val="BodyText"/>
        <w:spacing w:line="286" w:lineRule="exact"/>
        <w:ind w:left="102"/>
      </w:pPr>
      <w:r>
        <w:rPr/>
        <w:t>No significant differences were found in the activity pattern between sexes (χ</w:t>
      </w:r>
      <w:r>
        <w:rPr>
          <w:position w:val="11"/>
          <w:sz w:val="16"/>
        </w:rPr>
        <w:t>2</w:t>
      </w:r>
      <w:r>
        <w:rPr/>
        <w:t>=11.3,</w:t>
      </w:r>
    </w:p>
    <w:p>
      <w:pPr>
        <w:pStyle w:val="BodyText"/>
        <w:spacing w:before="241"/>
        <w:ind w:left="102"/>
      </w:pPr>
      <w:r>
        <w:rPr/>
        <w:t>d.f.=11, p&gt;0.05), nor between seasons (χ</w:t>
      </w:r>
      <w:r>
        <w:rPr>
          <w:position w:val="11"/>
          <w:sz w:val="16"/>
        </w:rPr>
        <w:t>2</w:t>
      </w:r>
      <w:r>
        <w:rPr/>
        <w:t>=7.8, d.f.=11, p&gt;0.05).</w:t>
      </w:r>
    </w:p>
    <w:p>
      <w:pPr>
        <w:spacing w:after="0"/>
        <w:sectPr>
          <w:pgSz w:w="12240" w:h="15840"/>
          <w:pgMar w:header="740" w:footer="779" w:top="960" w:bottom="960" w:left="1600" w:right="1600"/>
        </w:sectPr>
      </w:pPr>
    </w:p>
    <w:p>
      <w:pPr>
        <w:pStyle w:val="BodyText"/>
        <w:rPr>
          <w:sz w:val="20"/>
        </w:rPr>
      </w:pPr>
    </w:p>
    <w:p>
      <w:pPr>
        <w:pStyle w:val="BodyText"/>
        <w:spacing w:before="3"/>
        <w:rPr>
          <w:sz w:val="19"/>
        </w:rPr>
      </w:pPr>
    </w:p>
    <w:p>
      <w:pPr>
        <w:pStyle w:val="Heading2"/>
      </w:pPr>
      <w:r>
        <w:rPr/>
        <w:t>Discussion</w:t>
      </w:r>
    </w:p>
    <w:p>
      <w:pPr>
        <w:pStyle w:val="BodyText"/>
        <w:rPr>
          <w:b/>
        </w:rPr>
      </w:pPr>
    </w:p>
    <w:p>
      <w:pPr>
        <w:pStyle w:val="BodyText"/>
        <w:rPr>
          <w:b/>
        </w:rPr>
      </w:pPr>
    </w:p>
    <w:p>
      <w:pPr>
        <w:pStyle w:val="BodyText"/>
        <w:spacing w:before="7"/>
        <w:rPr>
          <w:b/>
          <w:sz w:val="23"/>
        </w:rPr>
      </w:pPr>
    </w:p>
    <w:p>
      <w:pPr>
        <w:pStyle w:val="BodyText"/>
        <w:spacing w:line="480" w:lineRule="auto"/>
        <w:ind w:left="102" w:right="267"/>
      </w:pPr>
      <w:r>
        <w:rPr/>
        <w:t>This study provides the first attempt and some recommendations to determine abundance and density of white-tailed deer using camera traps and together with that of Roberts et al. (2006) represents the first to have estimated deer populations in a sampling period longer than one year. This is important: only through studies of several years duration can we better understand the deer population dynamics and understand factors affecting these dynamics (Mandujano 2004).</w:t>
      </w:r>
    </w:p>
    <w:p>
      <w:pPr>
        <w:pStyle w:val="BodyText"/>
        <w:spacing w:line="480" w:lineRule="auto" w:before="10"/>
        <w:ind w:left="102" w:right="211"/>
      </w:pPr>
      <w:r>
        <w:rPr/>
        <w:t>Previous studies have assessed the reliability in assigning individual identities to species that lack unique natural markings (e.g., cougars: Kelly et al. 2008, Soria-Díaz et al. 2010, tapirs: Oliveira-Santos et al. 2010) and recommended that (i) at least two investigators independently identify the photos and (ii) that observed bias is evaluated. We performed a double-blind exercise to increase the accuracy of deer identification and obtained 97% correspondence between independent evaluators. To distinguish individuals we did not use dark spots in the body or legs, because these subjective characteristics vary with the distance and angle from camera, flash and daylight (Oliveira-Santos et al. 2010).</w:t>
      </w:r>
    </w:p>
    <w:p>
      <w:pPr>
        <w:pStyle w:val="BodyText"/>
        <w:spacing w:line="286" w:lineRule="exact"/>
        <w:ind w:left="102"/>
      </w:pPr>
      <w:r>
        <w:rPr/>
        <w:t>The camera density and number that we employed (1 camera/0.59 km</w:t>
      </w:r>
      <w:r>
        <w:rPr>
          <w:position w:val="11"/>
          <w:sz w:val="16"/>
        </w:rPr>
        <w:t>2</w:t>
      </w:r>
      <w:r>
        <w:rPr/>
        <w:t>, ten cameras) was</w:t>
      </w:r>
    </w:p>
    <w:p>
      <w:pPr>
        <w:pStyle w:val="BodyText"/>
        <w:spacing w:line="465" w:lineRule="auto" w:before="240"/>
        <w:ind w:left="102" w:right="104"/>
      </w:pPr>
      <w:r>
        <w:rPr/>
        <w:t>similar to that used in other studies with deer, from 1 camera/0.33 km</w:t>
      </w:r>
      <w:r>
        <w:rPr>
          <w:position w:val="11"/>
          <w:sz w:val="16"/>
        </w:rPr>
        <w:t>2 </w:t>
      </w:r>
      <w:r>
        <w:rPr/>
        <w:t>(with eight and twelve cameras, Koerth et al. 1997, Curtis et al. 2009) to 1 camera/0.65 km</w:t>
      </w:r>
      <w:r>
        <w:rPr>
          <w:position w:val="11"/>
          <w:sz w:val="16"/>
        </w:rPr>
        <w:t>2 </w:t>
      </w:r>
      <w:r>
        <w:rPr/>
        <w:t>with fifteen cameras (Jacobson et al. 1997).</w:t>
      </w:r>
    </w:p>
    <w:p>
      <w:pPr>
        <w:pStyle w:val="BodyText"/>
        <w:spacing w:line="480" w:lineRule="auto"/>
        <w:ind w:left="102" w:right="327"/>
      </w:pPr>
      <w:r>
        <w:rPr/>
        <w:t>The deer densities of 0.8 to 3.1 obtained with the sampled area of 5.11 km</w:t>
      </w:r>
      <w:r>
        <w:rPr>
          <w:position w:val="11"/>
          <w:sz w:val="16"/>
        </w:rPr>
        <w:t>2</w:t>
      </w:r>
      <w:r>
        <w:rPr/>
        <w:t>, are similar to those estimated in Mexico, using camera traps in Sierra de San Luis, Sonora (2.36, Lara- Díaz et al. 2011). In addition to those obtained with indirect methods in Sierra Norte de Oaxaca (2.68-3.09, Briones-Salas and García 2005) and Sierra de Pachuca, Hidalgo (2.1,</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72" w:lineRule="auto"/>
        <w:ind w:left="102" w:right="100"/>
      </w:pPr>
      <w:r>
        <w:rPr/>
        <w:t>Sánchez-Rojas et al. 2009). However, they are lower than estimated for Bosque de la Primavera in Jalisco (5, Valenzuela 1994) and La Michilía Biosphere Reserve, Durango (21, Gallina 1994). However the densities we recorded in the wet season (6.3 individuals/km</w:t>
      </w:r>
      <w:r>
        <w:rPr>
          <w:position w:val="11"/>
          <w:sz w:val="16"/>
        </w:rPr>
        <w:t>2 </w:t>
      </w:r>
      <w:r>
        <w:rPr/>
        <w:t>in a sampling area of 1.6km</w:t>
      </w:r>
      <w:r>
        <w:rPr>
          <w:position w:val="11"/>
          <w:sz w:val="16"/>
        </w:rPr>
        <w:t>2</w:t>
      </w:r>
      <w:r>
        <w:rPr/>
        <w:t>) and dry season (3.1 to 12 individuals/km</w:t>
      </w:r>
      <w:r>
        <w:rPr>
          <w:position w:val="11"/>
          <w:sz w:val="16"/>
        </w:rPr>
        <w:t>2  </w:t>
      </w:r>
      <w:r>
        <w:rPr/>
        <w:t>in a sampling area of 1.29 km</w:t>
      </w:r>
      <w:r>
        <w:rPr>
          <w:position w:val="11"/>
          <w:sz w:val="16"/>
        </w:rPr>
        <w:t>2</w:t>
      </w:r>
      <w:r>
        <w:rPr/>
        <w:t>) are higher than those of all studies except those obtained in La Michilía Biosphere Reserve, Durango. We have specifically made comparisons with</w:t>
      </w:r>
      <w:r>
        <w:rPr>
          <w:spacing w:val="-15"/>
        </w:rPr>
        <w:t> </w:t>
      </w:r>
      <w:r>
        <w:rPr/>
        <w:t>studies in similar environments (temperate pine-oak forests), and these differences can be due to the different methods utilized (camera traps, scat counting or footprints), different environmental protection policies and sampling area</w:t>
      </w:r>
      <w:r>
        <w:rPr>
          <w:spacing w:val="-11"/>
        </w:rPr>
        <w:t> </w:t>
      </w:r>
      <w:r>
        <w:rPr/>
        <w:t>estimate.</w:t>
      </w:r>
    </w:p>
    <w:p>
      <w:pPr>
        <w:pStyle w:val="BodyText"/>
        <w:spacing w:line="472" w:lineRule="auto" w:before="18"/>
        <w:ind w:left="102"/>
      </w:pPr>
      <w:r>
        <w:rPr/>
        <w:t>The size of the effectively sampled area is crucial in the calculation of the final density. Our data indicate a wide variation in the number of deer observed, using different sample areas; from 2 to 6.3 in wet season and 0.8 to 12 individual/100 km</w:t>
      </w:r>
      <w:r>
        <w:rPr>
          <w:position w:val="11"/>
          <w:sz w:val="16"/>
        </w:rPr>
        <w:t>2 </w:t>
      </w:r>
      <w:r>
        <w:rPr/>
        <w:t>in the dry season. Is important to consider this variation in order to make appropriate decisions in management programs. We used home range for white-tailed deer that was previously available (obtained of</w:t>
      </w:r>
    </w:p>
    <w:p>
      <w:pPr>
        <w:pStyle w:val="BodyText"/>
        <w:spacing w:line="480" w:lineRule="auto" w:before="18"/>
        <w:ind w:left="102" w:right="114"/>
      </w:pPr>
      <w:r>
        <w:rPr/>
        <w:t>telemetry) to construct the sampling area, because these data are not yet available in</w:t>
      </w:r>
      <w:r>
        <w:rPr>
          <w:spacing w:val="-15"/>
        </w:rPr>
        <w:t> </w:t>
      </w:r>
      <w:r>
        <w:rPr/>
        <w:t>SNNR. However it is necessary to obtain the home range of white-tailed deer, so that the results can be accurate. We consider that the results of deer density we have obtained for SNNR are good, and can give us an overview of the white tailed deer population status in SNNR. We also consider that these densities are similar or higher that other studies and fawn viewed and the low levels of human activity that occur in the sampling site, we believe that this deer population is healthy and reproductively sustainable. However, is important to continue monitoring these populations, with increased sampling effort and get the home range of white tailed deer in SNNR, to ensure this is a robust</w:t>
      </w:r>
      <w:r>
        <w:rPr>
          <w:spacing w:val="-10"/>
        </w:rPr>
        <w:t> </w:t>
      </w:r>
      <w:r>
        <w:rPr/>
        <w:t>conclusion.</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23"/>
      </w:pPr>
      <w:r>
        <w:rPr/>
        <w:t>During the sampling period of white tailed deer in the SNNR, a wildfire that occurred (May 2006) prevented us from completing the sampling in the wet season. The population abundance significantly decreased from 16 (trimester 3), before the fire, to 4 individuals (trimester 4), after the fire. This demonstrates that the disturbance had a negative effect on the deer population, probably dispersing the individuals toward other zones to find habitat cover. Nevertheless, eleven months after the fire, the population had recovered (Table 3.1). Deer activity was mainly diurnal, being more active from 16:00 to 18:00 h and from 10:00 to 12:00 h. This result differs from other studies, which suggest that deer have activity peaks at dawn and dusk (Galindo-Leal and Weber 1998, Gallina et al. 2005). This difference can be because in the SNNR, cougar activity peaks from 06:00 to 08:00 and from 18:00 to 20:00 h (Monroy-Vilchis et al. 2009b). In this case, we believed that deer probably avoid the peaks of cougar activity to reduce predation risk, supporting the suggestion by Nelson and Mech (1984) that the activity pattern of deer is influenced by the presence of the</w:t>
      </w:r>
      <w:r>
        <w:rPr>
          <w:spacing w:val="-8"/>
        </w:rPr>
        <w:t> </w:t>
      </w:r>
      <w:r>
        <w:rPr/>
        <w:t>predator.</w:t>
      </w:r>
    </w:p>
    <w:p>
      <w:pPr>
        <w:pStyle w:val="BodyText"/>
        <w:spacing w:line="480" w:lineRule="auto" w:before="10"/>
        <w:ind w:left="102" w:right="104"/>
      </w:pPr>
      <w:r>
        <w:rPr/>
        <w:t>The activity pattern of deer is also influenced by gender, as in some studies it has been found that females, with fawns or pregnant, show greater levels activity than males (Beier and McCullough 1990, Gallina et al. 2005). However, no significant differences were observed between sexes in our study. This is perhaps because there are good habitat and resources in SNNR.</w:t>
      </w:r>
    </w:p>
    <w:p>
      <w:pPr>
        <w:pStyle w:val="BodyText"/>
        <w:spacing w:line="480" w:lineRule="auto" w:before="11"/>
        <w:ind w:left="102" w:right="152"/>
      </w:pPr>
      <w:r>
        <w:rPr/>
        <w:t>No significant differences were found in our study in the activity pattern between the two seasons (wet and dry). Nevertheless, this is probably because the study site is a temperate zone with pine-oak forests, in which there is little temperature variation between the two seasons (12° C to 16 ° C, Monroy-Vilchis et al. 2011b) and the availability of resources does not decrease in the dry season as in semi-arid zones (Gallina et al. 2005).</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67"/>
      </w:pPr>
      <w:r>
        <w:rPr/>
        <w:t>Finally, the costs of photo-trapping could be compared with those of other techniques used to estimate deer population abundance, such as counts with helicopters (Koerth et al. 1997) and those on roads (Roberts et al. 2006). These two studies mentioned that photo-trapping is expensive; however they did not consider that the cost of cameras is limited to an initial outlay, which can result in lower overall costs over longer-term studies. Moreover, photo- trapping supplies information on sex-ratio, population structure, activity pattern, monitoring of cryptic species and requires almost no human effort with a robust sampling</w:t>
      </w:r>
    </w:p>
    <w:p>
      <w:pPr>
        <w:pStyle w:val="BodyText"/>
        <w:spacing w:line="468" w:lineRule="auto" w:before="11"/>
        <w:ind w:left="102" w:right="166"/>
      </w:pPr>
      <w:r>
        <w:rPr/>
        <w:t>duration (24 hours/day). In our study, the cost of sampling from camera traps was 650 USD/km</w:t>
      </w:r>
      <w:r>
        <w:rPr>
          <w:position w:val="11"/>
          <w:sz w:val="16"/>
        </w:rPr>
        <w:t>2</w:t>
      </w:r>
      <w:r>
        <w:rPr/>
        <w:t>/year, considering the initial cost of camera traps ($10), films, developing the films, batteries ($120) and monthly fieldtrips. Nowadays this price can decrease even further, considering there are digital camera traps that use rechargeable batteries. Other authors have had sampling costs with camera traps ranging from 37 to 1400 USD/km</w:t>
      </w:r>
      <w:r>
        <w:rPr>
          <w:position w:val="11"/>
          <w:sz w:val="16"/>
        </w:rPr>
        <w:t>2</w:t>
      </w:r>
      <w:r>
        <w:rPr/>
        <w:t>/year (Jacobson et al. 1997, Curtis et al. 2009).</w:t>
      </w:r>
    </w:p>
    <w:p>
      <w:pPr>
        <w:pStyle w:val="BodyText"/>
        <w:spacing w:line="480" w:lineRule="auto" w:before="24"/>
        <w:ind w:left="102" w:right="152"/>
      </w:pPr>
      <w:r>
        <w:rPr/>
        <w:t>Our study demonstrated that densities of white tailed deer can be reliably identified in remote camera surveys. However will be necessary in future studies of deer density, to consider alternative methods to estimate density of unmarked animals; such as those used by Rowcliffe et al. (2008), based on the ideal gas model (Hutchinson and Waser et al.</w:t>
      </w:r>
    </w:p>
    <w:p>
      <w:pPr>
        <w:pStyle w:val="BodyText"/>
        <w:spacing w:before="10"/>
        <w:ind w:left="102"/>
      </w:pPr>
      <w:r>
        <w:rPr/>
        <w:t>2007), to contrast to both methodologies and generate more reliable results.</w:t>
      </w:r>
    </w:p>
    <w:p>
      <w:pPr>
        <w:pStyle w:val="BodyText"/>
      </w:pPr>
    </w:p>
    <w:p>
      <w:pPr>
        <w:pStyle w:val="BodyText"/>
        <w:spacing w:line="480" w:lineRule="auto"/>
        <w:ind w:left="102" w:right="481"/>
        <w:jc w:val="both"/>
      </w:pPr>
      <w:r>
        <w:rPr/>
        <w:t>The densities estimated from this study can serve as a model to other nearby areas with environmental features similar to this study (pine-oak-forest). Such estimates of white- tailed deer density are needed in central Mexico for improving the species conservation.</w:t>
      </w:r>
    </w:p>
    <w:p>
      <w:pPr>
        <w:spacing w:after="0" w:line="480" w:lineRule="auto"/>
        <w:jc w:val="both"/>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pPr>
      <w:r>
        <w:rPr>
          <w:b/>
        </w:rPr>
        <w:t>Acknowledgments: </w:t>
      </w:r>
      <w:r>
        <w:rPr/>
        <w:t>We would like to thank the Mexican people for funding the study through the Universidad Autonoma del Estado de Mexico with the projects (CONACYT 101254) Sierra Nanchititla. The staff of Zacango Zoo: Fernando Mejia, Jesús Frieven y Guillermo Díaz, for identification of the deer. The CONACYT for the scholarship (LSD) 214042. Mike S. Fowler (Swansea University) helped us improve the language. Reviews from Dr. Javier Manjarrez and Dr. Victor Fajardo strengthened the manuscript.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5"/>
        </w:rPr>
      </w:pPr>
    </w:p>
    <w:p>
      <w:pPr>
        <w:pStyle w:val="Heading2"/>
      </w:pPr>
      <w:r>
        <w:rPr/>
        <w:t>References</w:t>
      </w:r>
    </w:p>
    <w:p>
      <w:pPr>
        <w:pStyle w:val="BodyText"/>
        <w:rPr>
          <w:b/>
        </w:rPr>
      </w:pPr>
    </w:p>
    <w:p>
      <w:pPr>
        <w:pStyle w:val="BodyText"/>
        <w:rPr>
          <w:b/>
        </w:rPr>
      </w:pPr>
    </w:p>
    <w:p>
      <w:pPr>
        <w:pStyle w:val="BodyText"/>
        <w:spacing w:before="6"/>
        <w:rPr>
          <w:b/>
          <w:sz w:val="23"/>
        </w:rPr>
      </w:pPr>
    </w:p>
    <w:p>
      <w:pPr>
        <w:pStyle w:val="BodyText"/>
        <w:spacing w:line="480" w:lineRule="auto"/>
        <w:ind w:left="821" w:right="854" w:hanging="720"/>
      </w:pPr>
      <w:r>
        <w:rPr/>
        <w:t>Beier, P. and D.R. McCullough. 1990. Factors influencing white-tailed deer activity patterns and habitat use. Wildl. Monogr. 101: 1-55.</w:t>
      </w:r>
    </w:p>
    <w:p>
      <w:pPr>
        <w:spacing w:line="480" w:lineRule="auto" w:before="10"/>
        <w:ind w:left="821" w:right="321" w:hanging="720"/>
        <w:jc w:val="left"/>
        <w:rPr>
          <w:sz w:val="24"/>
        </w:rPr>
      </w:pPr>
      <w:r>
        <w:rPr>
          <w:sz w:val="24"/>
        </w:rPr>
        <w:t>Briones-Salas, M. and C. García. 2005. Estimación de la densidad del venado cola blanca (</w:t>
      </w:r>
      <w:r>
        <w:rPr>
          <w:i/>
          <w:sz w:val="24"/>
        </w:rPr>
        <w:t>Odocoileus virginianus oaxacensis</w:t>
      </w:r>
      <w:r>
        <w:rPr>
          <w:sz w:val="24"/>
        </w:rPr>
        <w:t>) en la Sierra Norte de Oaxaca. Rev. Mex.</w:t>
      </w:r>
    </w:p>
    <w:p>
      <w:pPr>
        <w:pStyle w:val="BodyText"/>
        <w:spacing w:before="10"/>
        <w:ind w:left="821"/>
      </w:pPr>
      <w:r>
        <w:rPr/>
        <w:t>Mastozool. 9: 141-145.</w:t>
      </w:r>
    </w:p>
    <w:p>
      <w:pPr>
        <w:pStyle w:val="BodyText"/>
      </w:pPr>
    </w:p>
    <w:p>
      <w:pPr>
        <w:pStyle w:val="BodyText"/>
        <w:spacing w:line="480" w:lineRule="auto"/>
        <w:ind w:left="821" w:right="147" w:hanging="720"/>
      </w:pPr>
      <w:r>
        <w:rPr/>
        <w:t>Collier, B.A., S.S. Ditchkoff, J.B. Ragling and J.M. Smith. 2007. Detection probability and sources of variation in white-tailed deer spotlight surveys. J. Wildl. Manage. 71: 277-281.</w:t>
      </w:r>
    </w:p>
    <w:p>
      <w:pPr>
        <w:pStyle w:val="BodyText"/>
        <w:spacing w:line="480" w:lineRule="auto" w:before="10"/>
        <w:ind w:left="821" w:right="101" w:hanging="720"/>
      </w:pPr>
      <w:r>
        <w:rPr/>
        <w:t>Curtis, P.D., B. Boldgiv, P.M. Mattison and J.R. Boulanger. 2009. Estimating deer abundance in suburban areas with infrared-triggered cameras. Hum. Wildl. Conflict. 3: 116–128.</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954" w:hanging="720"/>
      </w:pPr>
      <w:r>
        <w:rPr/>
        <w:t>Dellafiore, C.M., M. Demaría, N. Maceira and E. Bucher. 2003. Distribution and abundance of the pampas deer in San Luis Province, Argentina. Mastozool. Neotrop. 10: 41-47.</w:t>
      </w:r>
    </w:p>
    <w:p>
      <w:pPr>
        <w:pStyle w:val="BodyText"/>
        <w:spacing w:line="480" w:lineRule="auto" w:before="10"/>
        <w:ind w:left="821" w:right="104" w:hanging="720"/>
      </w:pPr>
      <w:r>
        <w:rPr/>
        <w:t>Feng, X., M. Ming, W. Yiqun and Y. Weikang. 2012. Winter day time activity budgets of Asian ibex </w:t>
      </w:r>
      <w:r>
        <w:rPr>
          <w:i/>
        </w:rPr>
        <w:t>Capra sibirica </w:t>
      </w:r>
      <w:r>
        <w:rPr/>
        <w:t>in Tomur National Nature Reserve of Xinjiang, China. Pak. J. Zool. 44: 389-392.</w:t>
      </w:r>
    </w:p>
    <w:p>
      <w:pPr>
        <w:pStyle w:val="BodyText"/>
        <w:spacing w:line="480" w:lineRule="auto" w:before="10"/>
        <w:ind w:left="821" w:hanging="720"/>
      </w:pPr>
      <w:r>
        <w:rPr/>
        <w:t>Gallina, S. 1994. Dinámica poblacional y manejo de la población del venado cola blanca en la Reserva de la Biósfera la Michilía, Durango, México. In: (C. Vaughan and M. Rodríguez, eds.) Ecología y manejo del venado cola blanca en México y Costa Rica. EUNA. Heredia, Costa Rica. pp. 205-345.</w:t>
      </w:r>
    </w:p>
    <w:p>
      <w:pPr>
        <w:pStyle w:val="BodyText"/>
        <w:spacing w:line="480" w:lineRule="auto" w:before="10"/>
        <w:ind w:left="821" w:right="108" w:hanging="720"/>
      </w:pPr>
      <w:r>
        <w:rPr/>
        <w:t>Gallina, S., P. Corona-Zárate and J. Bello. 2005. El comportamiento del venado cola blanca en zonas semiáridas del Noreste de México. In: (V. Sánchez-Coordero and R.A. Medellín, eds.) Contribuciones mastozoológicas en homenaje a Bernardo Villa, Instituto de Biología de la UNAM-instituto de ecología de la UNAM-CONABIO, México. pp. 193-203.</w:t>
      </w:r>
    </w:p>
    <w:p>
      <w:pPr>
        <w:pStyle w:val="BodyText"/>
        <w:spacing w:line="480" w:lineRule="auto" w:before="10"/>
        <w:ind w:left="821" w:right="302" w:hanging="720"/>
      </w:pPr>
      <w:r>
        <w:rPr/>
        <w:t>Galindo-Leal, C. and M. Weber. 1998. El venado de la Sierra Madre Occidental, ecología manejo y conservación. EDICUSA-CONABIO, México. pp. 272</w:t>
      </w:r>
    </w:p>
    <w:p>
      <w:pPr>
        <w:pStyle w:val="BodyText"/>
        <w:spacing w:line="480" w:lineRule="auto" w:before="10"/>
        <w:ind w:left="821" w:right="481" w:hanging="720"/>
      </w:pPr>
      <w:r>
        <w:rPr/>
        <w:t>Gómez, H., R.B. Wallace, G. Ayala and R. Tejada. 2005. Dry season activity periods of some Amazonian mammals. Stud. Neotrop. Fauna Environ. 40: 91-95.</w:t>
      </w:r>
    </w:p>
    <w:p>
      <w:pPr>
        <w:pStyle w:val="BodyText"/>
        <w:spacing w:line="480" w:lineRule="auto" w:before="11"/>
        <w:ind w:left="821" w:right="107" w:hanging="720"/>
      </w:pPr>
      <w:r>
        <w:rPr/>
        <w:t>Gómez-Ortiz, Y. and O. Monroy-Vilchis. 2013. Feeding ecology of puma Puma concolor in Mexican montane forest with comments about jaguar </w:t>
      </w:r>
      <w:r>
        <w:rPr>
          <w:i/>
        </w:rPr>
        <w:t>Panthera onca</w:t>
      </w:r>
      <w:r>
        <w:rPr/>
        <w:t>. Wildl. Biol. 19:</w:t>
      </w:r>
      <w:r>
        <w:rPr>
          <w:spacing w:val="-1"/>
        </w:rPr>
        <w:t> </w:t>
      </w:r>
      <w:r>
        <w:rPr/>
        <w:t>179-187.</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87" w:hanging="720"/>
      </w:pPr>
      <w:r>
        <w:rPr/>
        <w:t>González-Marín, R.M., S. Gallina, S. Mandujano and M. Weber. 2008. Densidad y distribución de ungulados silvestres en la Reserva Ecológica el Edén, Quintana Roo, México. Act. Zool. Mex. 24: 73-93.</w:t>
      </w:r>
    </w:p>
    <w:p>
      <w:pPr>
        <w:pStyle w:val="BodyText"/>
        <w:spacing w:line="480" w:lineRule="auto" w:before="10"/>
        <w:ind w:left="821" w:right="760" w:hanging="720"/>
      </w:pPr>
      <w:r>
        <w:rPr/>
        <w:t>Hutchinson J.M.C. and P.M. Waser. 2007. Use, misuse and extensions of “ideal gas” models of animal encounter. Biol. Rev. 82. 335-359.</w:t>
      </w:r>
    </w:p>
    <w:p>
      <w:pPr>
        <w:pStyle w:val="BodyText"/>
        <w:spacing w:before="10"/>
        <w:ind w:left="102"/>
      </w:pPr>
      <w:r>
        <w:rPr/>
        <w:t>Jacobson, H.A., J.C. Kroll, R.W. Browning, B.H. Koerth and M.H. Conway. 1997.</w:t>
      </w:r>
    </w:p>
    <w:p>
      <w:pPr>
        <w:pStyle w:val="BodyText"/>
      </w:pPr>
    </w:p>
    <w:p>
      <w:pPr>
        <w:pStyle w:val="BodyText"/>
        <w:spacing w:line="480" w:lineRule="auto"/>
        <w:ind w:left="821" w:right="517"/>
      </w:pPr>
      <w:r>
        <w:rPr/>
        <w:t>Infrared-triggered cameras for censusing white-tailed deer. Wildl. Soc. Bull. 25: 547-556.</w:t>
      </w:r>
    </w:p>
    <w:p>
      <w:pPr>
        <w:pStyle w:val="BodyText"/>
        <w:spacing w:line="480" w:lineRule="auto" w:before="10"/>
        <w:ind w:left="821" w:right="467" w:hanging="720"/>
      </w:pPr>
      <w:r>
        <w:rPr/>
        <w:t>Karanth, K.U. 1995. Estimating tiger </w:t>
      </w:r>
      <w:r>
        <w:rPr>
          <w:i/>
        </w:rPr>
        <w:t>Panthera tigris </w:t>
      </w:r>
      <w:r>
        <w:rPr/>
        <w:t>populations from camera-trap data using capture-recapture models. Biol. Conserv. 71: 333-338.</w:t>
      </w:r>
    </w:p>
    <w:p>
      <w:pPr>
        <w:pStyle w:val="BodyText"/>
        <w:spacing w:line="480" w:lineRule="auto" w:before="10"/>
        <w:ind w:left="821" w:right="316" w:hanging="720"/>
        <w:jc w:val="both"/>
      </w:pPr>
      <w:r>
        <w:rPr/>
        <w:t>Kelly, M.J., A.J. Noss, M.S.D. Ditetti, </w:t>
      </w:r>
      <w:r>
        <w:rPr>
          <w:spacing w:val="-3"/>
        </w:rPr>
        <w:t>L. </w:t>
      </w:r>
      <w:r>
        <w:rPr/>
        <w:t>Maffei, R.L. Arispe, A. Paviolo, C.D.D. Angelo and Y.E.D. Blanco. 2008. Estimating puma densities from camera trapping across three study sites: Bolivia, Argentina and Belize. J. Mammal. 89: 408–418.</w:t>
      </w:r>
    </w:p>
    <w:p>
      <w:pPr>
        <w:pStyle w:val="BodyText"/>
        <w:spacing w:line="480" w:lineRule="auto" w:before="10"/>
        <w:ind w:left="821" w:hanging="720"/>
      </w:pPr>
      <w:r>
        <w:rPr/>
        <w:t>Koerth, B.H., C.D. McKown and C.J. Kroll. 1997. Infrared-triggered camera versus helicopter counts of white-tailed deer. Wildl. Soc. Bull. 25: 557-562.</w:t>
      </w:r>
    </w:p>
    <w:p>
      <w:pPr>
        <w:pStyle w:val="BodyText"/>
        <w:spacing w:before="10"/>
        <w:ind w:left="102"/>
      </w:pPr>
      <w:r>
        <w:rPr/>
        <w:t>Lara-Díaz, N.E., H. Coronel-Arellano, A. González-Bernal, C. Gutiérrez-González and</w:t>
      </w:r>
    </w:p>
    <w:p>
      <w:pPr>
        <w:pStyle w:val="BodyText"/>
      </w:pPr>
    </w:p>
    <w:p>
      <w:pPr>
        <w:pStyle w:val="BodyText"/>
        <w:spacing w:line="480" w:lineRule="auto"/>
        <w:ind w:left="821" w:right="168"/>
      </w:pPr>
      <w:r>
        <w:rPr/>
        <w:t>C.A. López-González. 2011. Abundancia y densidad de venado cola blanca (</w:t>
      </w:r>
      <w:r>
        <w:rPr>
          <w:i/>
        </w:rPr>
        <w:t>Odocoileus virginianus couoesi</w:t>
      </w:r>
      <w:r>
        <w:rPr/>
        <w:t>) en Sierra de San Luis, Sonora, México. Therya 2: 125-137.</w:t>
      </w:r>
    </w:p>
    <w:p>
      <w:pPr>
        <w:pStyle w:val="BodyText"/>
        <w:spacing w:line="480" w:lineRule="auto" w:before="11"/>
        <w:ind w:left="821" w:right="100" w:hanging="720"/>
      </w:pPr>
      <w:r>
        <w:rPr/>
        <w:t>Maffei, L., E. Cuéllar and A.J. Noss. 2002. Uso de trampas-cámara para la evaluación de mamíferos en el ecotono Chaco-Chiquitanía. Rev. Bol. Ecol. Conserv. Amb. 11: 55- 65.</w:t>
      </w:r>
    </w:p>
    <w:p>
      <w:pPr>
        <w:pStyle w:val="BodyText"/>
        <w:spacing w:line="480" w:lineRule="auto" w:before="10"/>
        <w:ind w:left="821" w:hanging="720"/>
      </w:pPr>
      <w:r>
        <w:rPr/>
        <w:t>Maffei, L. and A.J. Noss. 2008. How Small is too Small? Camera Trap Survey Areas and Density Estimates for Ocelots in the Bolivian Chaco. Biotropica 40: 71-75.</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1200" w:hanging="720"/>
      </w:pPr>
      <w:r>
        <w:rPr/>
        <w:t>Mandujano, S., A. Pérez-Arteaga, S. Gallina and R.E. Sánchez-Mantilla. 1996. Diferenciación de pautas de comportamiento del venado con ayuda de radiotransmisores con sensor de movimiento. Act. Zool. Mex. 67: 67-80.</w:t>
      </w:r>
    </w:p>
    <w:p>
      <w:pPr>
        <w:pStyle w:val="BodyText"/>
        <w:spacing w:before="10"/>
        <w:ind w:left="102"/>
      </w:pPr>
      <w:r>
        <w:rPr/>
        <w:t>Mandujano, S. 2004. Análisis bibliográfico de los estudios de venado en México. Act.</w:t>
      </w:r>
    </w:p>
    <w:p>
      <w:pPr>
        <w:pStyle w:val="BodyText"/>
      </w:pPr>
    </w:p>
    <w:p>
      <w:pPr>
        <w:pStyle w:val="BodyText"/>
        <w:ind w:left="821"/>
      </w:pPr>
      <w:r>
        <w:rPr/>
        <w:t>Zool. Mex. 20: 211-251.</w:t>
      </w:r>
    </w:p>
    <w:p>
      <w:pPr>
        <w:pStyle w:val="BodyText"/>
      </w:pPr>
    </w:p>
    <w:p>
      <w:pPr>
        <w:pStyle w:val="BodyText"/>
        <w:spacing w:line="480" w:lineRule="auto"/>
        <w:ind w:left="821" w:right="353" w:hanging="720"/>
      </w:pPr>
      <w:r>
        <w:rPr/>
        <w:t>Mandujano, S. 2005. Track count calibration to estimate density of white-tailed deer (</w:t>
      </w:r>
      <w:r>
        <w:rPr>
          <w:i/>
        </w:rPr>
        <w:t>Odocoileus virginianus</w:t>
      </w:r>
      <w:r>
        <w:rPr/>
        <w:t>) in Mexican dry tropical forest. Southwest. Nat. 50: 223- 229.</w:t>
      </w:r>
    </w:p>
    <w:p>
      <w:pPr>
        <w:pStyle w:val="BodyText"/>
        <w:spacing w:line="480" w:lineRule="auto" w:before="10"/>
        <w:ind w:left="821" w:hanging="720"/>
      </w:pPr>
      <w:r>
        <w:rPr/>
        <w:t>Marchinton, L.R. and D. Hirth. 1984. Behavior. In: (L.K. Halls ed.) White tailed deer ecology and management. Stackpole Books, Harrisburg, PA. pp. 129-168.</w:t>
      </w:r>
    </w:p>
    <w:p>
      <w:pPr>
        <w:pStyle w:val="BodyText"/>
        <w:spacing w:line="480" w:lineRule="auto" w:before="10"/>
        <w:ind w:left="821" w:hanging="720"/>
      </w:pPr>
      <w:r>
        <w:rPr/>
        <w:t>Mccoy, J.C., S.S. Ditchkoff and T.D. Steury. 2011. Bias associated with baited camera sites for assessing population characteristics of deer. J. Wildl. Manage. 75: 472-477.</w:t>
      </w:r>
    </w:p>
    <w:p>
      <w:pPr>
        <w:pStyle w:val="BodyText"/>
        <w:spacing w:line="480" w:lineRule="auto" w:before="10"/>
        <w:ind w:left="821" w:right="223" w:hanging="720"/>
        <w:jc w:val="both"/>
      </w:pPr>
      <w:r>
        <w:rPr/>
        <w:t>Monroy, O., M.M. Zarco, C. Rodríguez, P. Suárez and V. Urios. 2008a. Uso tradicional</w:t>
      </w:r>
      <w:r>
        <w:rPr>
          <w:spacing w:val="-14"/>
        </w:rPr>
        <w:t> </w:t>
      </w:r>
      <w:r>
        <w:rPr/>
        <w:t>de reptiles, aves y mamíferos silvestres en la Sierra Nanchititla, México.- Universidad Autónoma del Estado de México, México. pp.</w:t>
      </w:r>
      <w:r>
        <w:rPr>
          <w:spacing w:val="-7"/>
        </w:rPr>
        <w:t> </w:t>
      </w:r>
      <w:r>
        <w:rPr/>
        <w:t>114.</w:t>
      </w:r>
    </w:p>
    <w:p>
      <w:pPr>
        <w:pStyle w:val="BodyText"/>
        <w:spacing w:line="480" w:lineRule="auto" w:before="10"/>
        <w:ind w:left="821" w:right="100" w:hanging="720"/>
      </w:pPr>
      <w:r>
        <w:rPr/>
        <w:t>Monroy-Vilchis, O., O. Sánchez, U. Aguilera-Reyes, P. Suárez and V. Urios. 2008b. Jaguar (</w:t>
      </w:r>
      <w:r>
        <w:rPr>
          <w:i/>
        </w:rPr>
        <w:t>Panthera onca</w:t>
      </w:r>
      <w:r>
        <w:rPr/>
        <w:t>) in the state of Mexico. Southwest. Nat. 53: 535-539.</w:t>
      </w:r>
    </w:p>
    <w:p>
      <w:pPr>
        <w:pStyle w:val="BodyText"/>
        <w:spacing w:line="480" w:lineRule="auto" w:before="10"/>
        <w:ind w:left="821" w:right="653" w:hanging="720"/>
      </w:pPr>
      <w:r>
        <w:rPr/>
        <w:t>Monroy-Vilchis, O., Y. Gómez, M. Janczur and V. Urios. 2009a. Food niche of </w:t>
      </w:r>
      <w:r>
        <w:rPr>
          <w:i/>
        </w:rPr>
        <w:t>Puma </w:t>
      </w:r>
      <w:r>
        <w:rPr>
          <w:i/>
        </w:rPr>
        <w:t>concolor </w:t>
      </w:r>
      <w:r>
        <w:rPr/>
        <w:t>in central Mexico. Wildl. Biol. 15: 97-105.</w:t>
      </w:r>
    </w:p>
    <w:p>
      <w:pPr>
        <w:pStyle w:val="BodyText"/>
        <w:spacing w:line="480" w:lineRule="auto" w:before="11"/>
        <w:ind w:left="821" w:right="228" w:hanging="720"/>
        <w:jc w:val="both"/>
      </w:pPr>
      <w:r>
        <w:rPr/>
        <w:t>Monroy-Vilchis, O., C. Rodríguez-Soto, M. Zarco-González and V. Urios. 2009b. Cougar and jaguar habitat use and activity patterns in central Mexico. Anim. Biol. 59: 145- 157.</w:t>
      </w:r>
    </w:p>
    <w:p>
      <w:pPr>
        <w:pStyle w:val="BodyText"/>
        <w:spacing w:line="480" w:lineRule="auto" w:before="10"/>
        <w:ind w:left="821" w:right="700" w:hanging="720"/>
      </w:pPr>
      <w:r>
        <w:rPr/>
        <w:t>Monroy-Vilchis, O., M.M. Zarco-González, C. Rodríguez-Soto, L. Soria-Díaz and V. Urios. 2011a. Fototrampeo de Mamíferos en la Sierra Nanchititla, México:</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519"/>
      </w:pPr>
      <w:r>
        <w:rPr/>
        <w:t>abundancia relativa, patrones de actividad y huso de hábitat. Rev. Biol. trop. 59: 373-383.</w:t>
      </w:r>
    </w:p>
    <w:p>
      <w:pPr>
        <w:pStyle w:val="BodyText"/>
        <w:spacing w:line="480" w:lineRule="auto" w:before="10"/>
        <w:ind w:left="821" w:right="418" w:hanging="720"/>
      </w:pPr>
      <w:r>
        <w:rPr/>
        <w:t>Monroy-Vilchis, O., M.A. Balderas, R. Rubio, J.C. Castro, C. Rodríguez-Soto, M.M. Zarco-González, L. Soria-Díaz, O. De luna and U. Aguilera. 2011b. Programa de conservación y manejo del Parque Natural Sierra Nanchititla. 1ª edición.</w:t>
      </w:r>
    </w:p>
    <w:p>
      <w:pPr>
        <w:pStyle w:val="BodyText"/>
        <w:spacing w:before="10"/>
        <w:ind w:left="821"/>
      </w:pPr>
      <w:r>
        <w:rPr/>
        <w:t>Universidad Autónoma del Estado de México, México. pp. 218.</w:t>
      </w:r>
    </w:p>
    <w:p>
      <w:pPr>
        <w:pStyle w:val="BodyText"/>
      </w:pPr>
    </w:p>
    <w:p>
      <w:pPr>
        <w:pStyle w:val="BodyText"/>
        <w:spacing w:line="480" w:lineRule="auto"/>
        <w:ind w:left="821" w:right="274" w:hanging="720"/>
      </w:pPr>
      <w:r>
        <w:rPr/>
        <w:t>Mooty, J.J. and P.D. Karns. 1984. The relationship between white-tailed deer track counts and pellet-group surveys. J. Wildl. Manage. 48: 275-279.</w:t>
      </w:r>
    </w:p>
    <w:p>
      <w:pPr>
        <w:pStyle w:val="BodyText"/>
        <w:spacing w:line="480" w:lineRule="auto" w:before="10"/>
        <w:ind w:left="821" w:right="573" w:hanging="720"/>
      </w:pPr>
      <w:r>
        <w:rPr/>
        <w:t>Naranjo, E., M. Guerra, R. Bodmer and J. Bolaños. 2004. Subsistence hunting by three ethnic groups of the Lacandon Forest, Mexico. J. Ethnobiol. 24: 233-253.</w:t>
      </w:r>
    </w:p>
    <w:p>
      <w:pPr>
        <w:pStyle w:val="BodyText"/>
        <w:spacing w:line="480" w:lineRule="auto" w:before="10"/>
        <w:ind w:left="821" w:right="941" w:hanging="720"/>
      </w:pPr>
      <w:r>
        <w:rPr/>
        <w:t>Nelson, M.E. and L.D. Mech. 1984. Deer social organization and wolf predation in Minnesota. Wildl. Monogr. 77: 1-53.</w:t>
      </w:r>
    </w:p>
    <w:p>
      <w:pPr>
        <w:pStyle w:val="BodyText"/>
        <w:spacing w:line="480" w:lineRule="auto" w:before="10"/>
        <w:ind w:left="821" w:right="360" w:hanging="720"/>
      </w:pPr>
      <w:r>
        <w:rPr/>
        <w:t>Noss, A.J., R.L. Cuéllar, J. Barrientos, L. Maffei, E. Cuéllar, R. Arispe, D. Rúmiz and K. Rivero. 2003. A camera trapping and radio telemetry study of lowland tapir (</w:t>
      </w:r>
      <w:r>
        <w:rPr>
          <w:i/>
        </w:rPr>
        <w:t>Tapirus terrestris</w:t>
      </w:r>
      <w:r>
        <w:rPr/>
        <w:t>) in Bolivian dry forests. Newsl. IUCN/SSC Tapir Specialist Group 12: 24-32.</w:t>
      </w:r>
    </w:p>
    <w:p>
      <w:pPr>
        <w:pStyle w:val="BodyText"/>
        <w:spacing w:line="480" w:lineRule="auto" w:before="10"/>
        <w:ind w:left="821" w:right="320" w:hanging="720"/>
      </w:pPr>
      <w:r>
        <w:rPr/>
        <w:t>Novak, M.J., K.T. Scribner, W.D. Dupont and M.H. Smith. 1991. Catch-effort estimation of white-tailed deer population size. J. Wildl. Manage. 55: 31-38.</w:t>
      </w:r>
    </w:p>
    <w:p>
      <w:pPr>
        <w:pStyle w:val="BodyText"/>
        <w:spacing w:line="480" w:lineRule="auto" w:before="10"/>
        <w:ind w:left="821" w:right="159" w:hanging="720"/>
      </w:pPr>
      <w:r>
        <w:rPr/>
        <w:t>Oliveira-Santos, L.G.R., C.Z. André, P.A. Castro, P.G. Crawshaw Jr. 2010. Is it possible to individual identify mammals with no natural markings using camera-traps? A controlled case-study with lowland tapirs. Mammal. Biol. 75: 375-378.</w:t>
      </w:r>
    </w:p>
    <w:p>
      <w:pPr>
        <w:pStyle w:val="BodyText"/>
        <w:spacing w:line="480" w:lineRule="auto" w:before="10"/>
        <w:ind w:left="821" w:right="104" w:hanging="720"/>
      </w:pPr>
      <w:r>
        <w:rPr/>
        <w:t>Ortega, A., S. Mandujano, J. Villareal, M.I. Dimari, H. López Arevalo, M. Correa and M. Molina. 2011. In: (D. Hewitt ed.) Biology and management of white-tailed deer. CRC Press, Taylor and Francis Group. United States of America. pp. 565-597.</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354" w:hanging="720"/>
      </w:pPr>
      <w:r>
        <w:rPr/>
        <w:t>Ortíz, T., S. Gallina, M. Briones-Salas and G. González. 2005. Densidad poblacional y caracterización del habitat del venado cola blanca (</w:t>
      </w:r>
      <w:r>
        <w:rPr>
          <w:i/>
        </w:rPr>
        <w:t>Odocoileus virginianus </w:t>
      </w:r>
      <w:r>
        <w:rPr>
          <w:i/>
        </w:rPr>
        <w:t>oaxacensis </w:t>
      </w:r>
      <w:r>
        <w:rPr/>
        <w:t>Goldman and Kellog, 1940) en un bosque templado de la Sierra Norte de Oaxaca. Act. Zool. Mex. 21: 65-78.</w:t>
      </w:r>
    </w:p>
    <w:p>
      <w:pPr>
        <w:pStyle w:val="BodyText"/>
        <w:spacing w:line="480" w:lineRule="auto" w:before="10"/>
        <w:ind w:left="821" w:right="104" w:hanging="720"/>
      </w:pPr>
      <w:r>
        <w:rPr/>
        <w:t>Otis, L.D., P.K. Burnham, C.G. White and R.D. Anderson. 1978. Inference from capture data on closed animal populations. Wildl. Soc. Bull. 62: 1-135.</w:t>
      </w:r>
    </w:p>
    <w:p>
      <w:pPr>
        <w:pStyle w:val="BodyText"/>
        <w:spacing w:line="480" w:lineRule="auto" w:before="10"/>
        <w:ind w:left="821" w:hanging="720"/>
      </w:pPr>
      <w:r>
        <w:rPr/>
        <w:t>Pinto, L.C. and A. Andriolo. 2005. Camera traps used on the mastofaunal survey of Araras Biological Reserve, IEF-RJ. Rev. bra. Zooci. Juiz de fora. 7: 231-246.</w:t>
      </w:r>
    </w:p>
    <w:p>
      <w:pPr>
        <w:pStyle w:val="BodyText"/>
        <w:spacing w:line="480" w:lineRule="auto" w:before="10"/>
        <w:ind w:left="821" w:right="236" w:hanging="720"/>
      </w:pPr>
      <w:r>
        <w:rPr/>
        <w:t>Reyna-Hurtado, R. and G.W. Tanner. 2007. Ungulate relative abundance in hunted and non-hunted sites in Calakmul Forest (Southern Mexico). Biodiv. Conserv. 16: 743- 757.</w:t>
      </w:r>
    </w:p>
    <w:p>
      <w:pPr>
        <w:pStyle w:val="BodyText"/>
        <w:spacing w:line="480" w:lineRule="auto" w:before="10"/>
        <w:ind w:left="821" w:right="414" w:hanging="720"/>
      </w:pPr>
      <w:r>
        <w:rPr/>
        <w:t>Roberts, C.W., B.L. Pierce, A.W. Braden, R.R. López, N.J. Silvy, P.A. Frank and D. Ransom. 2006. Comparison of camera and road survey estimates for white-tailed deer. J. Wildl. Manage. 70: 263-267.</w:t>
      </w:r>
    </w:p>
    <w:p>
      <w:pPr>
        <w:pStyle w:val="BodyText"/>
        <w:spacing w:line="480" w:lineRule="auto" w:before="10"/>
        <w:ind w:left="821" w:right="410" w:hanging="720"/>
      </w:pPr>
      <w:r>
        <w:rPr/>
        <w:t>Rowcliffe, J.M., J. Field, S.T. Turvey and C. Carbone. 2008. Estimating animal density using cameras traps without the need for individual recognition. J. appl. Ecol. 45. 1228-1236.</w:t>
      </w:r>
    </w:p>
    <w:p>
      <w:pPr>
        <w:pStyle w:val="BodyText"/>
        <w:spacing w:line="480" w:lineRule="auto" w:before="10"/>
        <w:ind w:left="821" w:right="473" w:hanging="720"/>
      </w:pPr>
      <w:r>
        <w:rPr/>
        <w:t>Sánchez, O., J. Ramírez-Púlido, U. Aguilera-Reyes and O. Monroy-Vilchis. 2002. Felid record from the state of Mexico. Mammalia 66: 289-294.</w:t>
      </w:r>
    </w:p>
    <w:p>
      <w:pPr>
        <w:pStyle w:val="BodyText"/>
        <w:spacing w:line="480" w:lineRule="auto" w:before="11"/>
        <w:ind w:left="821" w:right="101" w:hanging="720"/>
      </w:pPr>
      <w:r>
        <w:rPr/>
        <w:t>Sánchez-Rojas, G., C. Aguilar-Miguel and E. Hernández-Cid. 2009. Estudio poblacional y uso de hábitat por el venado cola blanca (</w:t>
      </w:r>
      <w:r>
        <w:rPr>
          <w:i/>
        </w:rPr>
        <w:t>Odocoileus virginianus</w:t>
      </w:r>
      <w:r>
        <w:rPr/>
        <w:t>) en un bosque templado de la Sierra de Pachuca, Hidalgo, México. Trop. Conserv. Sci. 2: 204-214.</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148" w:hanging="720"/>
      </w:pPr>
      <w:r>
        <w:rPr/>
        <w:t>Silver, S.C., L.E.T. Ostro, L.K. Marsh, L. Maffei, A.J. Noss, M.J. Kelly, R.B. Wallace, H. Gómez and G. Ayala. 2004. The use of camera traps for estimating jaguar </w:t>
      </w:r>
      <w:r>
        <w:rPr>
          <w:i/>
        </w:rPr>
        <w:t>Panthera </w:t>
      </w:r>
      <w:r>
        <w:rPr>
          <w:i/>
        </w:rPr>
        <w:t>onca </w:t>
      </w:r>
      <w:r>
        <w:rPr/>
        <w:t>abundance and density using capture/recapture analysis. Oryx 38: 148–154.</w:t>
      </w:r>
    </w:p>
    <w:p>
      <w:pPr>
        <w:pStyle w:val="BodyText"/>
        <w:spacing w:line="480" w:lineRule="auto" w:before="10"/>
        <w:ind w:left="821" w:right="120" w:hanging="720"/>
      </w:pPr>
      <w:r>
        <w:rPr/>
        <w:t>Smallwood, K.S. and E.L. Fitzhugh. 1995. A track count for estimating mountain lion </w:t>
      </w:r>
      <w:r>
        <w:rPr>
          <w:i/>
        </w:rPr>
        <w:t>Felis </w:t>
      </w:r>
      <w:r>
        <w:rPr>
          <w:i/>
        </w:rPr>
        <w:t>concolor californica </w:t>
      </w:r>
      <w:r>
        <w:rPr/>
        <w:t>population trend. Biol. Conserv. 71: 251-259.</w:t>
      </w:r>
    </w:p>
    <w:p>
      <w:pPr>
        <w:pStyle w:val="BodyText"/>
        <w:spacing w:line="480" w:lineRule="auto" w:before="10"/>
        <w:ind w:left="821" w:right="173" w:hanging="720"/>
      </w:pPr>
      <w:r>
        <w:rPr/>
        <w:t>Soisalo, K. and M.C. Cavalcanti. 2006. Estimating the density of a jaguar population in the Brazilian Pantanal using camera-traps and capture–recapture sampling in combination with GPS radio-telemetry. Biol. Conserv. 129: 487-496.</w:t>
      </w:r>
    </w:p>
    <w:p>
      <w:pPr>
        <w:pStyle w:val="BodyText"/>
        <w:spacing w:line="480" w:lineRule="auto" w:before="10"/>
        <w:ind w:left="821" w:right="320" w:hanging="720"/>
      </w:pPr>
      <w:r>
        <w:rPr/>
        <w:t>Soria-Díaz, L., O. Monroy-Vilchis, C. Rodríguez-Soto, M. Zarco-González and V. Urios. 2010. Variation of the abundance and density of </w:t>
      </w:r>
      <w:r>
        <w:rPr>
          <w:i/>
        </w:rPr>
        <w:t>Puma concolor </w:t>
      </w:r>
      <w:r>
        <w:rPr/>
        <w:t>in zones of high and low concentration of cameras traps in Central Mexico. Anim. Biol. 60: 361- 371.</w:t>
      </w:r>
    </w:p>
    <w:p>
      <w:pPr>
        <w:pStyle w:val="BodyText"/>
        <w:spacing w:line="480" w:lineRule="auto" w:before="10"/>
        <w:ind w:left="821" w:right="194" w:hanging="720"/>
      </w:pPr>
      <w:r>
        <w:rPr/>
        <w:t>Tobler, M.W., S.E. Carrillo-Percastegui and G. Powell. 2009. Habitat use, activity patterns and use of mineral licks by five species of ungulate in south-eastern Peru. J. trop.</w:t>
      </w:r>
    </w:p>
    <w:p>
      <w:pPr>
        <w:pStyle w:val="BodyText"/>
        <w:spacing w:before="10"/>
        <w:ind w:left="821"/>
      </w:pPr>
      <w:r>
        <w:rPr/>
        <w:t>Ecol. 25: 261-270.</w:t>
      </w:r>
    </w:p>
    <w:p>
      <w:pPr>
        <w:pStyle w:val="BodyText"/>
      </w:pPr>
    </w:p>
    <w:p>
      <w:pPr>
        <w:pStyle w:val="BodyText"/>
        <w:spacing w:line="480" w:lineRule="auto"/>
        <w:ind w:left="821" w:right="234" w:hanging="720"/>
      </w:pPr>
      <w:r>
        <w:rPr/>
        <w:t>Trolle, M. and M. Kéry. 2003. Estimation of Ocelot density in the Pantanal using capture– recapture analysis of camera-trapping data. J. Mammal. 84: 607–614.</w:t>
      </w:r>
    </w:p>
    <w:p>
      <w:pPr>
        <w:pStyle w:val="BodyText"/>
        <w:spacing w:line="480" w:lineRule="auto" w:before="10"/>
        <w:ind w:left="821" w:right="193" w:hanging="720"/>
      </w:pPr>
      <w:r>
        <w:rPr/>
        <w:t>Trolle, M., A.J. Noss, J.L. Passos and L.F.B. Oliveira. 2008. Brazilian Tapir Density in the Pantanal: A comparison of systematic camera-trapping and line-transect surveys.</w:t>
      </w:r>
    </w:p>
    <w:p>
      <w:pPr>
        <w:pStyle w:val="BodyText"/>
        <w:spacing w:before="11"/>
        <w:ind w:left="821"/>
      </w:pPr>
      <w:r>
        <w:rPr/>
        <w:t>Biotropica 40: 211–217.</w:t>
      </w:r>
    </w:p>
    <w:p>
      <w:pPr>
        <w:pStyle w:val="BodyText"/>
      </w:pPr>
    </w:p>
    <w:p>
      <w:pPr>
        <w:pStyle w:val="BodyText"/>
        <w:spacing w:line="480" w:lineRule="auto"/>
        <w:ind w:left="821" w:hanging="720"/>
      </w:pPr>
      <w:r>
        <w:rPr/>
        <w:t>Valenzuela, D. 1994. Estimación de la densidad y distribución de la población del venado cola blanca en el Bosque la Primavera, Jalisco, México. In: (C. Vaughan, and M. Rodríguez, eds.) Ecología y manejo del venado cola blanca en México y Costa Rica. EUNA, Heredia, Costa Rica. pp. 247-262.</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21" w:right="194" w:hanging="720"/>
      </w:pPr>
      <w:r>
        <w:rPr/>
        <w:t>Van-Schaik, C.P. and M. Griffiths. 1996. Activity periods of Indonesian rain forest mammals. Biotropica 28: 105-112.</w:t>
      </w:r>
    </w:p>
    <w:p>
      <w:pPr>
        <w:pStyle w:val="BodyText"/>
        <w:spacing w:before="10"/>
        <w:ind w:left="102" w:right="194"/>
      </w:pPr>
      <w:r>
        <w:rPr/>
        <w:t>Weimer, R.C. 2007. Estadística. First Spanish language edition. Patría, México. pp. 839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r>
        <w:rPr/>
        <w:drawing>
          <wp:anchor distT="0" distB="0" distL="0" distR="0" allowOverlap="1" layoutInCell="1" locked="0" behindDoc="0" simplePos="0" relativeHeight="1144">
            <wp:simplePos x="0" y="0"/>
            <wp:positionH relativeFrom="page">
              <wp:posOffset>1099185</wp:posOffset>
            </wp:positionH>
            <wp:positionV relativeFrom="paragraph">
              <wp:posOffset>180797</wp:posOffset>
            </wp:positionV>
            <wp:extent cx="5615368" cy="4238529"/>
            <wp:effectExtent l="0" t="0" r="0" b="0"/>
            <wp:wrapTopAndBottom/>
            <wp:docPr id="27" name="image16.jpeg" descr=""/>
            <wp:cNvGraphicFramePr>
              <a:graphicFrameLocks noChangeAspect="1"/>
            </wp:cNvGraphicFramePr>
            <a:graphic>
              <a:graphicData uri="http://schemas.openxmlformats.org/drawingml/2006/picture">
                <pic:pic>
                  <pic:nvPicPr>
                    <pic:cNvPr id="28" name="image16.jpeg"/>
                    <pic:cNvPicPr/>
                  </pic:nvPicPr>
                  <pic:blipFill>
                    <a:blip r:embed="rId25" cstate="print"/>
                    <a:stretch>
                      <a:fillRect/>
                    </a:stretch>
                  </pic:blipFill>
                  <pic:spPr>
                    <a:xfrm>
                      <a:off x="0" y="0"/>
                      <a:ext cx="5615368" cy="4238529"/>
                    </a:xfrm>
                    <a:prstGeom prst="rect">
                      <a:avLst/>
                    </a:prstGeom>
                  </pic:spPr>
                </pic:pic>
              </a:graphicData>
            </a:graphic>
          </wp:anchor>
        </w:drawing>
      </w:r>
    </w:p>
    <w:p>
      <w:pPr>
        <w:pStyle w:val="BodyText"/>
      </w:pPr>
    </w:p>
    <w:p>
      <w:pPr>
        <w:pStyle w:val="BodyText"/>
        <w:spacing w:line="477" w:lineRule="auto" w:before="163"/>
        <w:ind w:left="102" w:right="194"/>
      </w:pPr>
      <w:bookmarkStart w:name="_bookmark19" w:id="23"/>
      <w:bookmarkEnd w:id="23"/>
      <w:r>
        <w:rPr/>
      </w:r>
      <w:r>
        <w:rPr>
          <w:b/>
        </w:rPr>
        <w:t>Figure 3.1 </w:t>
      </w:r>
      <w:r>
        <w:rPr/>
        <w:t>Geographical location of Sierra Nanchititla Natural Reserve (southwestern state of Mexico), core protected zone and camera traps.</w:t>
      </w:r>
    </w:p>
    <w:p>
      <w:pPr>
        <w:spacing w:after="0" w:line="477" w:lineRule="auto"/>
        <w:sectPr>
          <w:pgSz w:w="12240" w:h="15840"/>
          <w:pgMar w:header="740" w:footer="779" w:top="960" w:bottom="960" w:left="1600" w:right="15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p>
    <w:p>
      <w:pPr>
        <w:pStyle w:val="BodyText"/>
        <w:ind w:left="131"/>
        <w:rPr>
          <w:sz w:val="20"/>
        </w:rPr>
      </w:pPr>
      <w:r>
        <w:rPr>
          <w:sz w:val="20"/>
        </w:rPr>
        <w:drawing>
          <wp:inline distT="0" distB="0" distL="0" distR="0">
            <wp:extent cx="5650829" cy="3903535"/>
            <wp:effectExtent l="0" t="0" r="0" b="0"/>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26" cstate="print"/>
                    <a:stretch>
                      <a:fillRect/>
                    </a:stretch>
                  </pic:blipFill>
                  <pic:spPr>
                    <a:xfrm>
                      <a:off x="0" y="0"/>
                      <a:ext cx="5650829" cy="3903535"/>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2"/>
        <w:rPr>
          <w:sz w:val="19"/>
        </w:rPr>
      </w:pPr>
    </w:p>
    <w:p>
      <w:pPr>
        <w:pStyle w:val="BodyText"/>
        <w:spacing w:line="480" w:lineRule="auto" w:before="69"/>
        <w:ind w:left="102" w:right="273"/>
      </w:pPr>
      <w:bookmarkStart w:name="_bookmark20" w:id="24"/>
      <w:bookmarkEnd w:id="24"/>
      <w:r>
        <w:rPr/>
      </w:r>
      <w:r>
        <w:rPr>
          <w:b/>
        </w:rPr>
        <w:t>Figure 3.2 </w:t>
      </w:r>
      <w:r>
        <w:rPr/>
        <w:t>Some features for the identification of individual white tailed deer (</w:t>
      </w:r>
      <w:r>
        <w:rPr>
          <w:i/>
        </w:rPr>
        <w:t>Odocoileus </w:t>
      </w:r>
      <w:r>
        <w:rPr>
          <w:i/>
        </w:rPr>
        <w:t>virginianus</w:t>
      </w:r>
      <w:r>
        <w:rPr/>
        <w:t>); scars A), spots B) and antlers. Photographs C) and D) show the same male photographed at different times in the same sampling site.</w:t>
      </w:r>
    </w:p>
    <w:p>
      <w:pPr>
        <w:spacing w:after="0" w:line="480" w:lineRule="auto"/>
        <w:sectPr>
          <w:pgSz w:w="12240" w:h="15840"/>
          <w:pgMar w:header="740" w:footer="779" w:top="960" w:bottom="960" w:left="1600" w:right="1560"/>
        </w:sectPr>
      </w:pPr>
    </w:p>
    <w:p>
      <w:pPr>
        <w:pStyle w:val="BodyText"/>
        <w:rPr>
          <w:sz w:val="20"/>
        </w:rPr>
      </w:pPr>
    </w:p>
    <w:p>
      <w:pPr>
        <w:pStyle w:val="BodyText"/>
        <w:spacing w:before="7"/>
        <w:rPr>
          <w:sz w:val="19"/>
        </w:rPr>
      </w:pPr>
    </w:p>
    <w:p>
      <w:pPr>
        <w:pStyle w:val="BodyText"/>
        <w:ind w:left="131"/>
        <w:rPr>
          <w:sz w:val="20"/>
        </w:rPr>
      </w:pPr>
      <w:r>
        <w:rPr>
          <w:sz w:val="20"/>
        </w:rPr>
        <w:drawing>
          <wp:inline distT="0" distB="0" distL="0" distR="0">
            <wp:extent cx="5646420" cy="2720340"/>
            <wp:effectExtent l="0" t="0" r="0" b="0"/>
            <wp:docPr id="31" name="image18.jpeg" descr=""/>
            <wp:cNvGraphicFramePr>
              <a:graphicFrameLocks noChangeAspect="1"/>
            </wp:cNvGraphicFramePr>
            <a:graphic>
              <a:graphicData uri="http://schemas.openxmlformats.org/drawingml/2006/picture">
                <pic:pic>
                  <pic:nvPicPr>
                    <pic:cNvPr id="32" name="image18.jpeg"/>
                    <pic:cNvPicPr/>
                  </pic:nvPicPr>
                  <pic:blipFill>
                    <a:blip r:embed="rId27" cstate="print"/>
                    <a:stretch>
                      <a:fillRect/>
                    </a:stretch>
                  </pic:blipFill>
                  <pic:spPr>
                    <a:xfrm>
                      <a:off x="0" y="0"/>
                      <a:ext cx="5646420" cy="2720340"/>
                    </a:xfrm>
                    <a:prstGeom prst="rect">
                      <a:avLst/>
                    </a:prstGeom>
                  </pic:spPr>
                </pic:pic>
              </a:graphicData>
            </a:graphic>
          </wp:inline>
        </w:drawing>
      </w:r>
      <w:r>
        <w:rPr>
          <w:sz w:val="20"/>
        </w:rPr>
      </w:r>
    </w:p>
    <w:p>
      <w:pPr>
        <w:pStyle w:val="BodyText"/>
        <w:rPr>
          <w:sz w:val="20"/>
        </w:rPr>
      </w:pPr>
    </w:p>
    <w:p>
      <w:pPr>
        <w:pStyle w:val="BodyText"/>
        <w:spacing w:before="9"/>
        <w:rPr>
          <w:sz w:val="20"/>
        </w:rPr>
      </w:pPr>
    </w:p>
    <w:p>
      <w:pPr>
        <w:spacing w:line="480" w:lineRule="auto" w:before="0"/>
        <w:ind w:left="102" w:right="613" w:firstLine="0"/>
        <w:jc w:val="left"/>
        <w:rPr>
          <w:sz w:val="24"/>
        </w:rPr>
      </w:pPr>
      <w:bookmarkStart w:name="_bookmark21" w:id="25"/>
      <w:bookmarkEnd w:id="25"/>
      <w:r>
        <w:rPr/>
      </w:r>
      <w:r>
        <w:rPr>
          <w:b/>
          <w:sz w:val="24"/>
        </w:rPr>
        <w:t>Figure 3.3 </w:t>
      </w:r>
      <w:r>
        <w:rPr>
          <w:sz w:val="24"/>
        </w:rPr>
        <w:t>Daily activity pattern of white tailed deer (</w:t>
      </w:r>
      <w:r>
        <w:rPr>
          <w:i/>
          <w:sz w:val="24"/>
        </w:rPr>
        <w:t>Odocoileus virginianus</w:t>
      </w:r>
      <w:r>
        <w:rPr>
          <w:sz w:val="24"/>
        </w:rPr>
        <w:t>) in Sierra Nanchititla Natural Reserve (southwestern state of Mexico).</w:t>
      </w:r>
    </w:p>
    <w:p>
      <w:pPr>
        <w:spacing w:after="0" w:line="480" w:lineRule="auto"/>
        <w:jc w:val="left"/>
        <w:rPr>
          <w:sz w:val="24"/>
        </w:rPr>
        <w:sectPr>
          <w:pgSz w:w="12240" w:h="15840"/>
          <w:pgMar w:header="740" w:footer="779" w:top="960" w:bottom="960" w:left="160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1"/>
        <w:spacing w:before="22"/>
        <w:ind w:left="114" w:right="227"/>
        <w:jc w:val="center"/>
      </w:pPr>
      <w:bookmarkStart w:name="_bookmark22" w:id="26"/>
      <w:bookmarkEnd w:id="26"/>
      <w:r>
        <w:rPr>
          <w:b w:val="0"/>
        </w:rPr>
      </w:r>
      <w:r>
        <w:rPr/>
        <w:t>CAPÍTULO IV</w:t>
      </w:r>
    </w:p>
    <w:p>
      <w:pPr>
        <w:spacing w:after="0"/>
        <w:jc w:val="center"/>
        <w:sectPr>
          <w:pgSz w:w="12240" w:h="15840"/>
          <w:pgMar w:header="740" w:footer="779" w:top="960" w:bottom="960" w:left="1720" w:right="1600"/>
        </w:sectPr>
      </w:pPr>
    </w:p>
    <w:p>
      <w:pPr>
        <w:pStyle w:val="BodyText"/>
        <w:spacing w:before="13"/>
        <w:rPr>
          <w:rFonts w:ascii="Palatino Linotype"/>
          <w:b/>
          <w:sz w:val="27"/>
        </w:rPr>
      </w:pPr>
    </w:p>
    <w:p>
      <w:pPr>
        <w:pStyle w:val="BodyText"/>
        <w:spacing w:line="480" w:lineRule="auto" w:before="69"/>
        <w:ind w:left="110" w:right="145"/>
        <w:jc w:val="center"/>
      </w:pPr>
      <w:r>
        <w:rPr/>
        <w:t>CAPÍTULO III. Artículo científico enviado a la revista internacional “Wildlife Biology” la cual se encuentra reconocida por el Journal Citation Report. Este artículo se encuentra en estatus de enviado.</w:t>
      </w:r>
    </w:p>
    <w:p>
      <w:pPr>
        <w:pStyle w:val="BodyText"/>
        <w:rPr>
          <w:sz w:val="20"/>
        </w:rPr>
      </w:pPr>
    </w:p>
    <w:p>
      <w:pPr>
        <w:pStyle w:val="BodyText"/>
        <w:spacing w:before="2"/>
        <w:rPr>
          <w:sz w:val="26"/>
        </w:rPr>
      </w:pPr>
      <w:r>
        <w:rPr/>
        <w:drawing>
          <wp:anchor distT="0" distB="0" distL="0" distR="0" allowOverlap="1" layoutInCell="1" locked="0" behindDoc="0" simplePos="0" relativeHeight="1168">
            <wp:simplePos x="0" y="0"/>
            <wp:positionH relativeFrom="page">
              <wp:posOffset>1543050</wp:posOffset>
            </wp:positionH>
            <wp:positionV relativeFrom="paragraph">
              <wp:posOffset>216359</wp:posOffset>
            </wp:positionV>
            <wp:extent cx="4651433" cy="6035040"/>
            <wp:effectExtent l="0" t="0" r="0" b="0"/>
            <wp:wrapTopAndBottom/>
            <wp:docPr id="33" name="image19.jpeg" descr=""/>
            <wp:cNvGraphicFramePr>
              <a:graphicFrameLocks noChangeAspect="1"/>
            </wp:cNvGraphicFramePr>
            <a:graphic>
              <a:graphicData uri="http://schemas.openxmlformats.org/drawingml/2006/picture">
                <pic:pic>
                  <pic:nvPicPr>
                    <pic:cNvPr id="34" name="image19.jpeg"/>
                    <pic:cNvPicPr/>
                  </pic:nvPicPr>
                  <pic:blipFill>
                    <a:blip r:embed="rId28" cstate="print"/>
                    <a:stretch>
                      <a:fillRect/>
                    </a:stretch>
                  </pic:blipFill>
                  <pic:spPr>
                    <a:xfrm>
                      <a:off x="0" y="0"/>
                      <a:ext cx="4651433" cy="6035040"/>
                    </a:xfrm>
                    <a:prstGeom prst="rect">
                      <a:avLst/>
                    </a:prstGeom>
                  </pic:spPr>
                </pic:pic>
              </a:graphicData>
            </a:graphic>
          </wp:anchor>
        </w:drawing>
      </w:r>
    </w:p>
    <w:p>
      <w:pPr>
        <w:spacing w:after="0"/>
        <w:rPr>
          <w:sz w:val="26"/>
        </w:rPr>
        <w:sectPr>
          <w:pgSz w:w="12240" w:h="15840"/>
          <w:pgMar w:header="740" w:footer="779" w:top="960" w:bottom="960" w:left="1640" w:right="1600"/>
        </w:sect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Heading2"/>
        <w:numPr>
          <w:ilvl w:val="0"/>
          <w:numId w:val="4"/>
        </w:numPr>
        <w:tabs>
          <w:tab w:pos="489" w:val="left" w:leader="none"/>
        </w:tabs>
        <w:spacing w:line="240" w:lineRule="auto" w:before="0" w:after="0"/>
        <w:ind w:left="488" w:right="0" w:hanging="386"/>
        <w:jc w:val="left"/>
      </w:pPr>
      <w:bookmarkStart w:name="_bookmark23" w:id="27"/>
      <w:bookmarkEnd w:id="27"/>
      <w:r>
        <w:rPr>
          <w:b w:val="0"/>
        </w:rPr>
      </w:r>
      <w:bookmarkStart w:name="_bookmark23" w:id="28"/>
      <w:bookmarkEnd w:id="28"/>
      <w:r>
        <w:rPr/>
        <w:t>F</w:t>
      </w:r>
      <w:r>
        <w:rPr/>
        <w:t>unctional response of </w:t>
      </w:r>
      <w:r>
        <w:rPr>
          <w:i/>
        </w:rPr>
        <w:t>Puma concolor </w:t>
      </w:r>
      <w:r>
        <w:rPr/>
        <w:t>to its three main prey in Central</w:t>
      </w:r>
      <w:r>
        <w:rPr>
          <w:spacing w:val="-17"/>
        </w:rPr>
        <w:t> </w:t>
      </w:r>
      <w:r>
        <w:rPr/>
        <w:t>Mexico</w:t>
      </w:r>
    </w:p>
    <w:p>
      <w:pPr>
        <w:pStyle w:val="BodyText"/>
        <w:rPr>
          <w:b/>
        </w:rPr>
      </w:pPr>
    </w:p>
    <w:p>
      <w:pPr>
        <w:pStyle w:val="BodyText"/>
        <w:spacing w:before="9"/>
        <w:rPr>
          <w:b/>
          <w:sz w:val="28"/>
        </w:rPr>
      </w:pPr>
    </w:p>
    <w:p>
      <w:pPr>
        <w:spacing w:before="1"/>
        <w:ind w:left="102" w:right="197" w:firstLine="0"/>
        <w:jc w:val="left"/>
        <w:rPr>
          <w:b/>
          <w:sz w:val="16"/>
        </w:rPr>
      </w:pPr>
      <w:r>
        <w:rPr>
          <w:b/>
          <w:sz w:val="24"/>
        </w:rPr>
        <w:t>Leroy Soria-Díaz</w:t>
      </w:r>
      <w:r>
        <w:rPr>
          <w:b/>
          <w:position w:val="11"/>
          <w:sz w:val="16"/>
        </w:rPr>
        <w:t>A</w:t>
      </w:r>
      <w:r>
        <w:rPr>
          <w:b/>
          <w:sz w:val="24"/>
        </w:rPr>
        <w:t>, Octavio Monroy-Vilchis</w:t>
      </w:r>
      <w:r>
        <w:rPr>
          <w:b/>
          <w:position w:val="11"/>
          <w:sz w:val="16"/>
        </w:rPr>
        <w:t>A</w:t>
      </w:r>
      <w:r>
        <w:rPr>
          <w:b/>
          <w:sz w:val="24"/>
        </w:rPr>
        <w:t>, and Daniel Oro</w:t>
      </w:r>
      <w:r>
        <w:rPr>
          <w:b/>
          <w:position w:val="11"/>
          <w:sz w:val="16"/>
        </w:rPr>
        <w:t>B</w:t>
      </w:r>
    </w:p>
    <w:p>
      <w:pPr>
        <w:pStyle w:val="BodyText"/>
        <w:rPr>
          <w:b/>
          <w:sz w:val="28"/>
        </w:rPr>
      </w:pPr>
    </w:p>
    <w:p>
      <w:pPr>
        <w:pStyle w:val="BodyText"/>
        <w:spacing w:before="5"/>
        <w:rPr>
          <w:b/>
          <w:sz w:val="40"/>
        </w:rPr>
      </w:pPr>
    </w:p>
    <w:p>
      <w:pPr>
        <w:pStyle w:val="BodyText"/>
        <w:spacing w:line="480" w:lineRule="auto" w:before="1"/>
        <w:ind w:left="102" w:right="404"/>
      </w:pPr>
      <w:r>
        <w:rPr>
          <w:position w:val="11"/>
          <w:sz w:val="16"/>
        </w:rPr>
        <w:t>A</w:t>
      </w:r>
      <w:r>
        <w:rPr/>
        <w:t>Estación Biológica Sierra Nanchititla, Facultad de Ciencias, Universidad Autónoma del Estado de México, Instituto Literario 100, Centro, 50000 Toluca, México. </w:t>
      </w:r>
      <w:hyperlink r:id="rId29">
        <w:r>
          <w:rPr>
            <w:color w:val="0000FF"/>
            <w:u w:val="single" w:color="0000FF"/>
          </w:rPr>
          <w:t>leroysoriadiaz@gmail.com</w:t>
        </w:r>
      </w:hyperlink>
      <w:r>
        <w:rPr/>
        <w:t>, </w:t>
      </w:r>
      <w:hyperlink r:id="rId24">
        <w:r>
          <w:rPr/>
          <w:t>tavomonroyvilchis@gmail.com</w:t>
        </w:r>
      </w:hyperlink>
    </w:p>
    <w:p>
      <w:pPr>
        <w:pStyle w:val="BodyText"/>
        <w:spacing w:before="10"/>
        <w:ind w:left="102" w:right="197"/>
      </w:pPr>
      <w:r>
        <w:rPr/>
        <w:t>Tel: +01 722 2 96 55 53</w:t>
      </w:r>
    </w:p>
    <w:p>
      <w:pPr>
        <w:pStyle w:val="BodyText"/>
        <w:spacing w:before="10"/>
        <w:rPr>
          <w:sz w:val="20"/>
        </w:rPr>
      </w:pPr>
    </w:p>
    <w:p>
      <w:pPr>
        <w:pStyle w:val="BodyText"/>
        <w:spacing w:line="480" w:lineRule="auto"/>
        <w:ind w:left="102" w:right="197"/>
      </w:pPr>
      <w:r>
        <w:rPr>
          <w:position w:val="11"/>
          <w:sz w:val="16"/>
        </w:rPr>
        <w:t>B</w:t>
      </w:r>
      <w:r>
        <w:rPr/>
        <w:t>Instituto Mediterraneo de Estudios Avanzados IMEDEA, CSIC-UIB, 07190 Esporles, España.</w:t>
      </w:r>
    </w:p>
    <w:p>
      <w:pPr>
        <w:pStyle w:val="BodyText"/>
        <w:spacing w:before="10"/>
        <w:ind w:left="102" w:right="6695"/>
      </w:pPr>
      <w:hyperlink r:id="rId30">
        <w:r>
          <w:rPr/>
          <w:t>d.oro@uib.es</w:t>
        </w:r>
      </w:hyperlink>
    </w:p>
    <w:p>
      <w:pPr>
        <w:pStyle w:val="BodyText"/>
      </w:pPr>
    </w:p>
    <w:p>
      <w:pPr>
        <w:pStyle w:val="BodyText"/>
        <w:ind w:left="102" w:right="6695"/>
      </w:pPr>
      <w:r>
        <w:rPr/>
        <w:t>Tel: +34 971611731</w:t>
      </w:r>
    </w:p>
    <w:p>
      <w:pPr>
        <w:pStyle w:val="BodyText"/>
      </w:pPr>
    </w:p>
    <w:p>
      <w:pPr>
        <w:pStyle w:val="BodyText"/>
      </w:pPr>
    </w:p>
    <w:p>
      <w:pPr>
        <w:pStyle w:val="BodyText"/>
      </w:pPr>
    </w:p>
    <w:p>
      <w:pPr>
        <w:pStyle w:val="BodyText"/>
      </w:pPr>
    </w:p>
    <w:p>
      <w:pPr>
        <w:pStyle w:val="BodyText"/>
      </w:pPr>
    </w:p>
    <w:p>
      <w:pPr>
        <w:pStyle w:val="BodyText"/>
        <w:spacing w:before="183"/>
        <w:ind w:left="102" w:right="197"/>
      </w:pPr>
      <w:r>
        <w:rPr/>
        <w:t>Corresponding author: Octavio Monroy Vilchis, E-mail: </w:t>
      </w:r>
      <w:hyperlink r:id="rId24">
        <w:r>
          <w:rPr/>
          <w:t>tavomonroyvilchis@gmail.com</w:t>
        </w:r>
      </w:hyperlink>
    </w:p>
    <w:p>
      <w:pPr>
        <w:pStyle w:val="BodyText"/>
      </w:pPr>
    </w:p>
    <w:p>
      <w:pPr>
        <w:pStyle w:val="BodyText"/>
      </w:pPr>
    </w:p>
    <w:p>
      <w:pPr>
        <w:pStyle w:val="BodyText"/>
        <w:spacing w:before="6"/>
        <w:rPr>
          <w:sz w:val="32"/>
        </w:rPr>
      </w:pPr>
    </w:p>
    <w:p>
      <w:pPr>
        <w:pStyle w:val="Heading2"/>
        <w:ind w:right="6695"/>
      </w:pPr>
      <w:r>
        <w:rPr/>
        <w:t>Abstract</w:t>
      </w:r>
    </w:p>
    <w:p>
      <w:pPr>
        <w:pStyle w:val="BodyText"/>
        <w:spacing w:before="6"/>
        <w:rPr>
          <w:b/>
          <w:sz w:val="23"/>
        </w:rPr>
      </w:pPr>
    </w:p>
    <w:p>
      <w:pPr>
        <w:pStyle w:val="BodyText"/>
        <w:spacing w:line="480" w:lineRule="auto"/>
        <w:ind w:left="102" w:right="116" w:firstLine="707"/>
        <w:jc w:val="both"/>
      </w:pPr>
      <w:r>
        <w:rPr/>
        <w:t>The study of predator-prey interactions have been often analyzed by means of functional responses in order to understanding predation patterns and the impact they have on prey populations. However little is still known about predator-prey systems with multiple prey species. Here we studied the functional response of cougars in Sierra Nanchititla (Central Mexico), in relation to their main prey: armadillo, coati and white- tailed deer. Since 2003 to 2009, we collected scats of cougars along five selected  </w:t>
      </w:r>
      <w:r>
        <w:rPr>
          <w:spacing w:val="32"/>
        </w:rPr>
        <w:t> </w:t>
      </w:r>
      <w:r>
        <w:rPr/>
        <w:t>transects</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7"/>
        <w:jc w:val="both"/>
      </w:pPr>
      <w:r>
        <w:rPr/>
        <w:t>and we estimated the relative prey abundance by setting up 18 camera traps. We used regression models for determining the type of functional response of cougars, considering the relative biomass consumed (dependent variable) and the index of abundance of each prey (explanatory variable). Cougars showed a type III functional response only for armadillos, their main prey, but not for the other prey. The decrease of cougar predation  rate at low abundance of armadillos may be explained by a switching or change to predate on alternative prey. Consumption of alternative prey by cougars confirms a high foraging plasticity of a generalist carnivore that probably reduces interference competition with jaguar at the study site, despite the large overlap of their</w:t>
      </w:r>
      <w:r>
        <w:rPr>
          <w:spacing w:val="-11"/>
        </w:rPr>
        <w:t> </w:t>
      </w:r>
      <w:r>
        <w:rPr/>
        <w:t>diets.</w:t>
      </w:r>
    </w:p>
    <w:p>
      <w:pPr>
        <w:pStyle w:val="BodyText"/>
      </w:pPr>
    </w:p>
    <w:p>
      <w:pPr>
        <w:pStyle w:val="BodyText"/>
        <w:spacing w:before="10"/>
      </w:pPr>
    </w:p>
    <w:p>
      <w:pPr>
        <w:spacing w:before="0"/>
        <w:ind w:left="162" w:right="0" w:firstLine="0"/>
        <w:jc w:val="both"/>
        <w:rPr>
          <w:i/>
          <w:sz w:val="24"/>
        </w:rPr>
      </w:pPr>
      <w:r>
        <w:rPr>
          <w:i/>
          <w:sz w:val="24"/>
        </w:rPr>
        <w:t>Keywords: cougar, camera trap, multiple prey, predator-prey, switch.</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5"/>
        <w:rPr>
          <w:i/>
        </w:rPr>
      </w:pPr>
    </w:p>
    <w:p>
      <w:pPr>
        <w:pStyle w:val="Heading2"/>
        <w:jc w:val="both"/>
      </w:pPr>
      <w:r>
        <w:rPr/>
        <w:t>Introduction</w:t>
      </w:r>
    </w:p>
    <w:p>
      <w:pPr>
        <w:pStyle w:val="BodyText"/>
        <w:spacing w:before="6"/>
        <w:rPr>
          <w:b/>
          <w:sz w:val="23"/>
        </w:rPr>
      </w:pPr>
    </w:p>
    <w:p>
      <w:pPr>
        <w:pStyle w:val="BodyText"/>
        <w:spacing w:line="480" w:lineRule="auto"/>
        <w:ind w:left="102" w:right="119"/>
        <w:jc w:val="both"/>
      </w:pPr>
      <w:r>
        <w:rPr/>
        <w:t>For most obligate carnivores, changes in prey availability can be one of the main drivers influencing their behavior and population dynamics, since that availability influences their main demographic parameters (fertility, survival and dispersal). Thus, a crucial aspect in  the ecology of carnivores is the understanding of the interactions with their prey (Gittleman et al. 2001, Bowyer et al. 2005, Boitani &amp; Powell 2012). Predators also have a</w:t>
      </w:r>
      <w:r>
        <w:rPr>
          <w:spacing w:val="31"/>
        </w:rPr>
        <w:t> </w:t>
      </w:r>
      <w:r>
        <w:rPr/>
        <w:t>fundamental</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20"/>
      </w:pPr>
      <w:r>
        <w:rPr/>
        <w:t>role in the diversity of ecosystems by affecting the population dynamics of their prey (Ruth &amp; Murphy 2010).</w:t>
      </w:r>
    </w:p>
    <w:p>
      <w:pPr>
        <w:pStyle w:val="BodyText"/>
        <w:spacing w:line="480" w:lineRule="auto" w:before="10"/>
        <w:ind w:left="102" w:right="109" w:firstLine="707"/>
        <w:jc w:val="both"/>
      </w:pPr>
      <w:r>
        <w:rPr/>
        <w:t>Predator-prey interactions have been commonly analyzed by means of functional responses, which describe the predator consumption rate depending on varying prey densities (Ricklefs &amp; Miller 2000). These responses have been used to understand  predation patterns and the effect they have on prey populations (Joly &amp; Patterson 2003). Models to determine the functional response of predators were initially applied in invertebrates, and they have supplied sufficient information to understand the response </w:t>
      </w:r>
      <w:r>
        <w:rPr>
          <w:spacing w:val="4"/>
        </w:rPr>
        <w:t>of </w:t>
      </w:r>
      <w:r>
        <w:rPr/>
        <w:t>other animal groups, including large carnivores (Bowyer et al. 2005). Holling (1959) described and quantified the concepts initially formulated by Solomon (1949) about the components of the predation process and the types of functional response shaped </w:t>
      </w:r>
      <w:r>
        <w:rPr>
          <w:spacing w:val="4"/>
        </w:rPr>
        <w:t>by </w:t>
      </w:r>
      <w:r>
        <w:rPr/>
        <w:t>predators. In type I functional response there is a linear association with a positive or zero slope between predator consumption rate and prey density at a constant rate, although this relation is seldom recorded in natural ecosystems. The type II response describes a logarithmic or linear negative relationship in the predator consumption rate with increasing prey density, a response typical of specialist predators (feeding mainly on a single prey), such as wolves and lynxes in some parts of their distribution range (Dale et al. 1994, O´Donoghue et al. 1998). In type III response, an asymptote of consumption rate is reached at low or intermediate prey densities and then it can decrease to take a quadratic shape. In this type of response predators experience a “switching” or change to consume alternative preys when their main prey decrease their densities, as described in generalist species or facultative predators such as coyotes, genets and foxes (Keith et al. 1977, Delibes-Mateos  et al. 2008, Ferreras et al.</w:t>
      </w:r>
      <w:r>
        <w:rPr>
          <w:spacing w:val="-5"/>
        </w:rPr>
        <w:t> </w:t>
      </w:r>
      <w:r>
        <w:rPr/>
        <w:t>2011).</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4" w:firstLine="707"/>
        <w:jc w:val="both"/>
      </w:pPr>
      <w:r>
        <w:rPr/>
        <w:t>Several studies have analyzed the functional response in simple predator-prey systems, from parasites and hosts (Morales et al. 2001, Flores et al. 2010) to vertebrate species such as nocturnal birds (Boutin 1995), feral cats (Harper 2005), Asiatic lions (Sundararaj et al. 2012), lynxes, coyotes and wolves (Dale et al. 1994, O´Donoghue et al. 1998). In general, systems with multiple prey species have seldom been studied, unlike single prey systems (Ruth &amp; Murphy 2010). Here we study the functional response of the cougar (</w:t>
      </w:r>
      <w:r>
        <w:rPr>
          <w:i/>
        </w:rPr>
        <w:t>Puma concolor</w:t>
      </w:r>
      <w:r>
        <w:rPr/>
        <w:t>) in an area with high diversity of potential prey including high densities of armadillo, coati and white-tailed deer (Monroy-Vilchis et al. 2009, Gómez- Ortiz et al. 2011). The objective of the present was to determine the sort the functional response that cougar show in SNNR, Mexico, in a multiple prey species system (armadillo, coati and white-tailed deer).</w:t>
      </w:r>
    </w:p>
    <w:p>
      <w:pPr>
        <w:pStyle w:val="BodyText"/>
      </w:pPr>
    </w:p>
    <w:p>
      <w:pPr>
        <w:pStyle w:val="BodyText"/>
      </w:pPr>
    </w:p>
    <w:p>
      <w:pPr>
        <w:pStyle w:val="BodyText"/>
      </w:pPr>
    </w:p>
    <w:p>
      <w:pPr>
        <w:pStyle w:val="BodyText"/>
        <w:spacing w:before="4"/>
        <w:rPr>
          <w:sz w:val="25"/>
        </w:rPr>
      </w:pPr>
    </w:p>
    <w:p>
      <w:pPr>
        <w:pStyle w:val="Heading2"/>
        <w:spacing w:line="480" w:lineRule="auto"/>
        <w:ind w:right="6611"/>
      </w:pPr>
      <w:r>
        <w:rPr/>
        <w:t>Material and methods Study area and species</w:t>
      </w:r>
    </w:p>
    <w:p>
      <w:pPr>
        <w:pStyle w:val="BodyText"/>
        <w:spacing w:line="472" w:lineRule="auto" w:before="5"/>
        <w:ind w:left="102" w:right="115"/>
        <w:jc w:val="both"/>
      </w:pPr>
      <w:r>
        <w:rPr/>
        <w:t>The study was conducted at Sierra Nanchititla Natural Reserve (SNNR), located in the center of Mexico, in the physiographic region of the Balsas River basin (Fig. 4.1). Mountains have altitudes from 410 to 2080 masl, with a surface of 664 km</w:t>
      </w:r>
      <w:r>
        <w:rPr>
          <w:position w:val="11"/>
          <w:sz w:val="16"/>
        </w:rPr>
        <w:t>2</w:t>
      </w:r>
      <w:r>
        <w:rPr/>
        <w:t>. Here, the Nearctic and Neotropical regions converge, which results in a high diversity of habitats, such as deciduous forests (37% from total surface), oak forests (30%), pine-oak forests</w:t>
      </w:r>
    </w:p>
    <w:p>
      <w:pPr>
        <w:pStyle w:val="BodyText"/>
        <w:spacing w:line="480" w:lineRule="auto" w:before="18"/>
        <w:ind w:left="102" w:right="115"/>
        <w:jc w:val="both"/>
      </w:pPr>
      <w:r>
        <w:rPr/>
        <w:t>(18%), grasslands (8%) and cultivation fields (7%, see Monroy-Vilchis et al. 2008a, Zepeda et al. 2008). Diversity of mammals is also high: more than 53 species have been recorded, which represents 10% of the Mexican mastofauna (Monroy-Vilchis et al. 2011); among that fauna it is outstanding the presence of 5 feline species out of the six distributed in   Mexico:</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spacing w:line="470" w:lineRule="auto" w:before="0"/>
        <w:ind w:left="102" w:right="116" w:firstLine="0"/>
        <w:jc w:val="both"/>
        <w:rPr>
          <w:sz w:val="24"/>
        </w:rPr>
      </w:pPr>
      <w:r>
        <w:rPr>
          <w:sz w:val="24"/>
        </w:rPr>
        <w:t>jaguar (</w:t>
      </w:r>
      <w:r>
        <w:rPr>
          <w:i/>
          <w:sz w:val="24"/>
        </w:rPr>
        <w:t>Panthera onca</w:t>
      </w:r>
      <w:r>
        <w:rPr>
          <w:sz w:val="24"/>
        </w:rPr>
        <w:t>)</w:t>
      </w:r>
      <w:r>
        <w:rPr>
          <w:i/>
          <w:sz w:val="24"/>
        </w:rPr>
        <w:t>, </w:t>
      </w:r>
      <w:r>
        <w:rPr>
          <w:sz w:val="24"/>
        </w:rPr>
        <w:t>margay (</w:t>
      </w:r>
      <w:r>
        <w:rPr>
          <w:i/>
          <w:sz w:val="24"/>
        </w:rPr>
        <w:t>Leopardus wiedii</w:t>
      </w:r>
      <w:r>
        <w:rPr>
          <w:sz w:val="24"/>
        </w:rPr>
        <w:t>)</w:t>
      </w:r>
      <w:r>
        <w:rPr>
          <w:i/>
          <w:sz w:val="24"/>
        </w:rPr>
        <w:t>, </w:t>
      </w:r>
      <w:r>
        <w:rPr>
          <w:sz w:val="24"/>
        </w:rPr>
        <w:t>ocelot (</w:t>
      </w:r>
      <w:r>
        <w:rPr>
          <w:i/>
          <w:sz w:val="24"/>
        </w:rPr>
        <w:t>L. pardalis</w:t>
      </w:r>
      <w:r>
        <w:rPr>
          <w:sz w:val="24"/>
        </w:rPr>
        <w:t>)</w:t>
      </w:r>
      <w:r>
        <w:rPr>
          <w:i/>
          <w:sz w:val="24"/>
        </w:rPr>
        <w:t>, </w:t>
      </w:r>
      <w:r>
        <w:rPr>
          <w:sz w:val="24"/>
        </w:rPr>
        <w:t>jaguarundi (</w:t>
      </w:r>
      <w:r>
        <w:rPr>
          <w:i/>
          <w:sz w:val="24"/>
        </w:rPr>
        <w:t>Puma </w:t>
      </w:r>
      <w:r>
        <w:rPr>
          <w:i/>
          <w:sz w:val="24"/>
        </w:rPr>
        <w:t>yagouaroundi</w:t>
      </w:r>
      <w:r>
        <w:rPr>
          <w:sz w:val="24"/>
        </w:rPr>
        <w:t>) and cougar (</w:t>
      </w:r>
      <w:r>
        <w:rPr>
          <w:i/>
          <w:sz w:val="24"/>
        </w:rPr>
        <w:t>P. concolor</w:t>
      </w:r>
      <w:r>
        <w:rPr>
          <w:sz w:val="24"/>
        </w:rPr>
        <w:t>) (Sánchez et al. 2002, Monroy-Vilchis et al. 2008b). Cougars have high densities, ranging from 1.21 to 6.86 individuals/100 km</w:t>
      </w:r>
      <w:r>
        <w:rPr>
          <w:position w:val="11"/>
          <w:sz w:val="16"/>
        </w:rPr>
        <w:t>2 </w:t>
      </w:r>
      <w:r>
        <w:rPr>
          <w:sz w:val="24"/>
        </w:rPr>
        <w:t>(see Soria-Díaz et al.</w:t>
      </w:r>
      <w:r>
        <w:rPr>
          <w:spacing w:val="-6"/>
          <w:sz w:val="24"/>
        </w:rPr>
        <w:t> </w:t>
      </w:r>
      <w:r>
        <w:rPr>
          <w:sz w:val="24"/>
        </w:rPr>
        <w:t>2010).</w:t>
      </w:r>
    </w:p>
    <w:p>
      <w:pPr>
        <w:pStyle w:val="BodyText"/>
        <w:spacing w:line="480" w:lineRule="auto" w:before="21"/>
        <w:ind w:left="102" w:right="117" w:firstLine="707"/>
        <w:jc w:val="both"/>
      </w:pPr>
      <w:r>
        <w:rPr/>
        <w:t>Cougar is considered an opportunistic predator consuming a wide variety of vertebrate species, such as reptiles, birds and mammals of different sizes (Currier 1983, Altendorf et al. 2001, Logan &amp; Sweanor 2001), though it may also behave as a facultative specialist (Glasser 1982). In the study area, cougars feed on 21 mammal species, mainly on armadillo (</w:t>
      </w:r>
      <w:r>
        <w:rPr>
          <w:i/>
        </w:rPr>
        <w:t>Dasypus novemcinctus</w:t>
      </w:r>
      <w:r>
        <w:rPr/>
        <w:t>) (54% of occurrence), followed by coati (</w:t>
      </w:r>
      <w:r>
        <w:rPr>
          <w:i/>
        </w:rPr>
        <w:t>Nasua narica</w:t>
      </w:r>
      <w:r>
        <w:rPr/>
        <w:t>, 16% of occurrence) and white-tailed deer </w:t>
      </w:r>
      <w:r>
        <w:rPr>
          <w:i/>
        </w:rPr>
        <w:t>(Odocoileus virginianus</w:t>
      </w:r>
      <w:r>
        <w:rPr/>
        <w:t>; 8% of occurrence) (Monroy-Vilchis et al. 2009, Gómez-Ortíz et al. 2011). We only considered these three main preys in our</w:t>
      </w:r>
      <w:r>
        <w:rPr>
          <w:spacing w:val="-5"/>
        </w:rPr>
        <w:t> </w:t>
      </w:r>
      <w:r>
        <w:rPr/>
        <w:t>analysis.</w:t>
      </w:r>
    </w:p>
    <w:p>
      <w:pPr>
        <w:pStyle w:val="Heading2"/>
        <w:spacing w:before="15"/>
        <w:ind w:left="3532" w:right="197"/>
      </w:pPr>
      <w:r>
        <w:rPr/>
        <w:t>(POSITION FIGURE 4.1)</w:t>
      </w:r>
    </w:p>
    <w:p>
      <w:pPr>
        <w:pStyle w:val="BodyText"/>
        <w:rPr>
          <w:b/>
        </w:rPr>
      </w:pPr>
    </w:p>
    <w:p>
      <w:pPr>
        <w:pStyle w:val="BodyText"/>
        <w:rPr>
          <w:b/>
        </w:rPr>
      </w:pPr>
    </w:p>
    <w:p>
      <w:pPr>
        <w:pStyle w:val="BodyText"/>
        <w:rPr>
          <w:b/>
        </w:rPr>
      </w:pPr>
    </w:p>
    <w:p>
      <w:pPr>
        <w:spacing w:before="0"/>
        <w:ind w:left="102" w:right="0" w:firstLine="0"/>
        <w:jc w:val="both"/>
        <w:rPr>
          <w:b/>
          <w:sz w:val="24"/>
        </w:rPr>
      </w:pPr>
      <w:r>
        <w:rPr>
          <w:b/>
          <w:sz w:val="24"/>
        </w:rPr>
        <w:t>Scat analysis</w:t>
      </w:r>
    </w:p>
    <w:p>
      <w:pPr>
        <w:pStyle w:val="BodyText"/>
        <w:spacing w:before="6"/>
        <w:rPr>
          <w:b/>
          <w:sz w:val="23"/>
        </w:rPr>
      </w:pPr>
    </w:p>
    <w:p>
      <w:pPr>
        <w:pStyle w:val="BodyText"/>
        <w:spacing w:line="480" w:lineRule="auto"/>
        <w:ind w:left="102" w:right="116"/>
        <w:jc w:val="both"/>
      </w:pPr>
      <w:r>
        <w:rPr/>
        <w:t>Monthly field trips were carried out from December 2003 to January 2008 and from October 2008 to September 2009; scats were collected along 5 trails established in SNNR. The identification of scats was carried out using several criteria: (a) morphological (Aranda 2000), on traces associated (</w:t>
      </w:r>
      <w:r>
        <w:rPr>
          <w:i/>
        </w:rPr>
        <w:t>i.e. </w:t>
      </w:r>
      <w:r>
        <w:rPr/>
        <w:t>footprints); (b) using photographs taken by camera traps (see below), and (c) making use of bile acids (Monroy-Vilchis et al. 2009, Gómez-Ortiz et al. 2011). Scats were processed following the method proposed by Monroy-Vilchis et al. (2009). Prey identification was carried out using bones and teeth structures, which were compared with samples from the collection available at SNNR Biological Station; fur was identified following Monroy-Vilchis &amp; Rubio-Rodríguez (2003). After the taxonomic  prey</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6"/>
        <w:jc w:val="both"/>
      </w:pPr>
      <w:r>
        <w:rPr/>
        <w:t>identification, we estimated a proportion of biomass consumed for each prey species; this proportion was considered the consumption rate per prey (Harper 2005), which was calculated from the frequency of occurrence in scats, the correction factor of Ackerman et al. (1984), and the average weight of each prey. Since some cougar scats were missed during fieldwork, an error of prey consumption was calculated, using the prey appearing in camera traps (see below) and the presence of that prey in at least a single scat. A value of</w:t>
      </w:r>
    </w:p>
    <w:p>
      <w:pPr>
        <w:pStyle w:val="BodyText"/>
        <w:spacing w:line="480" w:lineRule="auto" w:before="10"/>
        <w:ind w:left="102" w:right="119"/>
        <w:jc w:val="both"/>
      </w:pPr>
      <w:r>
        <w:rPr/>
        <w:t>0.10 was added to the value of the relative consumed biomass proportion of all the three prey considered.</w:t>
      </w:r>
    </w:p>
    <w:p>
      <w:pPr>
        <w:pStyle w:val="BodyText"/>
      </w:pPr>
    </w:p>
    <w:p>
      <w:pPr>
        <w:pStyle w:val="BodyText"/>
        <w:spacing w:before="3"/>
        <w:rPr>
          <w:sz w:val="25"/>
        </w:rPr>
      </w:pPr>
    </w:p>
    <w:p>
      <w:pPr>
        <w:pStyle w:val="Heading2"/>
        <w:jc w:val="both"/>
      </w:pPr>
      <w:r>
        <w:rPr/>
        <w:t>Relative abundance index of prey</w:t>
      </w:r>
    </w:p>
    <w:p>
      <w:pPr>
        <w:pStyle w:val="BodyText"/>
        <w:spacing w:before="6"/>
        <w:rPr>
          <w:b/>
          <w:sz w:val="23"/>
        </w:rPr>
      </w:pPr>
    </w:p>
    <w:p>
      <w:pPr>
        <w:pStyle w:val="BodyText"/>
        <w:spacing w:line="480" w:lineRule="auto"/>
        <w:ind w:left="102" w:right="117"/>
        <w:jc w:val="both"/>
      </w:pPr>
      <w:r>
        <w:rPr/>
        <w:t>In order to determine a relative abundance index of prey, 18 camera traps were set while we were searching for scats; cameras were placed at a distance from 0.5 to 3.2 km each other, on wide roads, droves, gorges and near water bodies, for increasing the probability to photograph the study species (Harmsen et al. 2009). The camera traps were fixed to tree trunks at 20-40 cm above the ground and were programmed to work 24 hours non-stop and to print the date and time in each photograph; they were checked once a month to assess their functioning and batteries.</w:t>
      </w:r>
    </w:p>
    <w:p>
      <w:pPr>
        <w:pStyle w:val="BodyText"/>
        <w:spacing w:line="480" w:lineRule="auto" w:before="10"/>
        <w:ind w:left="102" w:right="115" w:firstLine="707"/>
        <w:jc w:val="both"/>
      </w:pPr>
      <w:r>
        <w:rPr/>
        <w:t>A relative abundance index (RAI) was calculated for each prey (armadillo</w:t>
      </w:r>
      <w:r>
        <w:rPr>
          <w:i/>
        </w:rPr>
        <w:t>, </w:t>
      </w:r>
      <w:r>
        <w:rPr/>
        <w:t>coati and white-tailed deer), defined as the number of independent photographs of each species per 100 camera-trap days (O´Brien et al. 2003); sampling effort was calculated as the sum of trap-days each camera was active plus the records of photographs. Only the following cases were considered in the analysis: (1) consecutive photographs of different individuals; (2) consecutive photographs of the same species taken with a difference of 24 hours or longer and (3) non consecutive photographs (Monroy-Vilchis et al. 2011). A margin of minimal</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23"/>
        <w:jc w:val="both"/>
      </w:pPr>
      <w:r>
        <w:rPr/>
        <w:t>error (0.16) was added to each relative abundance value in months in which there were no photographic records of the prey species, assuming that there would be at least one record, and dividing it by the highest sampling effort done during the study.</w:t>
      </w:r>
    </w:p>
    <w:p>
      <w:pPr>
        <w:pStyle w:val="BodyText"/>
      </w:pPr>
    </w:p>
    <w:p>
      <w:pPr>
        <w:pStyle w:val="BodyText"/>
        <w:spacing w:before="3"/>
        <w:rPr>
          <w:sz w:val="25"/>
        </w:rPr>
      </w:pPr>
    </w:p>
    <w:p>
      <w:pPr>
        <w:pStyle w:val="Heading2"/>
        <w:jc w:val="both"/>
      </w:pPr>
      <w:r>
        <w:rPr/>
        <w:t>Functional response</w:t>
      </w:r>
    </w:p>
    <w:p>
      <w:pPr>
        <w:pStyle w:val="BodyText"/>
        <w:spacing w:before="6"/>
        <w:rPr>
          <w:b/>
          <w:sz w:val="23"/>
        </w:rPr>
      </w:pPr>
    </w:p>
    <w:p>
      <w:pPr>
        <w:pStyle w:val="BodyText"/>
        <w:spacing w:line="480" w:lineRule="auto"/>
        <w:ind w:left="102" w:right="115"/>
        <w:jc w:val="both"/>
      </w:pPr>
      <w:r>
        <w:rPr/>
        <w:t>To determine the sort of functional response by cougars, both the proportion of consumed biomass and the relative abundance obtained monthly for each prey were grouped in quarterly blocks (Table 4.1).</w:t>
      </w:r>
    </w:p>
    <w:p>
      <w:pPr>
        <w:pStyle w:val="BodyText"/>
        <w:spacing w:line="472" w:lineRule="auto" w:before="10"/>
        <w:ind w:left="102" w:right="117" w:firstLine="707"/>
        <w:jc w:val="both"/>
      </w:pPr>
      <w:r>
        <w:rPr/>
        <w:t>For testing which functional response (I, II and III) fitted with cougar prey consumption, different regression models (linear, logarithmic, quadratic and logistic) were used considering the proportion of consumed biomass as a dependent variable and the relative abundance of each prey as an explanatory variable. The best model was selected considering the </w:t>
      </w:r>
      <w:r>
        <w:rPr>
          <w:i/>
        </w:rPr>
        <w:t>r</w:t>
      </w:r>
      <w:r>
        <w:rPr>
          <w:position w:val="11"/>
          <w:sz w:val="16"/>
        </w:rPr>
        <w:t>2  </w:t>
      </w:r>
      <w:r>
        <w:rPr/>
        <w:t>value with a significance level (</w:t>
      </w:r>
      <w:r>
        <w:rPr>
          <w:i/>
        </w:rPr>
        <w:t>p</w:t>
      </w:r>
      <w:r>
        <w:rPr/>
        <w:t>) below 0.05 using SPSS v.15.</w:t>
      </w:r>
    </w:p>
    <w:p>
      <w:pPr>
        <w:pStyle w:val="BodyText"/>
        <w:rPr>
          <w:sz w:val="28"/>
        </w:rPr>
      </w:pPr>
    </w:p>
    <w:p>
      <w:pPr>
        <w:pStyle w:val="Heading2"/>
        <w:spacing w:before="216"/>
        <w:jc w:val="both"/>
      </w:pPr>
      <w:r>
        <w:rPr/>
        <w:t>Results</w:t>
      </w:r>
    </w:p>
    <w:p>
      <w:pPr>
        <w:pStyle w:val="BodyText"/>
        <w:spacing w:before="6"/>
        <w:rPr>
          <w:b/>
          <w:sz w:val="23"/>
        </w:rPr>
      </w:pPr>
    </w:p>
    <w:p>
      <w:pPr>
        <w:pStyle w:val="BodyText"/>
        <w:spacing w:line="480" w:lineRule="auto"/>
        <w:ind w:left="102" w:right="120"/>
        <w:jc w:val="both"/>
      </w:pPr>
      <w:r>
        <w:rPr/>
        <w:t>One hundred and fifty cougar scats were collected over 1980 km of transects covered on  the trails at SNNR. Armadillo was the main prey (55% of occurrence), followed by coati and white-tailed deer (17% and 8% of occurrence respectively). The proportion of consumed biomass showed a seasonal variation for all prey: from 0.10 to 1.09 for armadillo, from 0.10 to 0.49 for coati, and from 0.10 to 0.45 for white-tailed deer (see  Table</w:t>
      </w:r>
      <w:r>
        <w:rPr>
          <w:spacing w:val="-5"/>
        </w:rPr>
        <w:t> </w:t>
      </w:r>
      <w:r>
        <w:rPr/>
        <w:t>1.2).</w:t>
      </w:r>
    </w:p>
    <w:p>
      <w:pPr>
        <w:pStyle w:val="BodyText"/>
        <w:spacing w:line="480" w:lineRule="auto" w:before="10"/>
        <w:ind w:left="102" w:right="117" w:firstLine="707"/>
        <w:jc w:val="both"/>
      </w:pPr>
      <w:r>
        <w:rPr/>
        <w:t>With a total sampling effort of 11,516 trap-days, 793 photographs were obtained corresponding to coatis (78% of cases), white-tailed deer (19%) and armadillos  (3%). Coatis  showed  the  highest  relative  abundance  with  a  temporary variation  from  1.23</w:t>
      </w:r>
      <w:r>
        <w:rPr>
          <w:spacing w:val="-21"/>
        </w:rPr>
        <w:t> </w:t>
      </w:r>
      <w:r>
        <w:rPr/>
        <w:t>to</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7"/>
        <w:jc w:val="both"/>
      </w:pPr>
      <w:r>
        <w:rPr/>
        <w:t>10.95, then white-tailed deer from 0.61 to 4.40, and finally armadillo from 0.16 to 1.19 individuals/100 trap days (see Table 4.1).</w:t>
      </w:r>
    </w:p>
    <w:p>
      <w:pPr>
        <w:pStyle w:val="Heading2"/>
        <w:spacing w:before="15"/>
        <w:ind w:left="3592" w:right="197"/>
      </w:pPr>
      <w:r>
        <w:rPr/>
        <w:t>(POSITION TABLE 4.1)</w:t>
      </w:r>
    </w:p>
    <w:p>
      <w:pPr>
        <w:pStyle w:val="BodyText"/>
        <w:spacing w:before="6"/>
        <w:rPr>
          <w:b/>
          <w:sz w:val="23"/>
        </w:rPr>
      </w:pPr>
    </w:p>
    <w:p>
      <w:pPr>
        <w:pStyle w:val="BodyText"/>
        <w:spacing w:line="468" w:lineRule="auto"/>
        <w:ind w:left="102" w:right="114" w:firstLine="707"/>
        <w:jc w:val="both"/>
      </w:pPr>
      <w:r>
        <w:rPr/>
        <w:t>For armadillo, the main prey in cougar diet, a statistically significant type III functional response was found. The quadratic model showed the best fit (</w:t>
      </w:r>
      <w:r>
        <w:rPr>
          <w:i/>
        </w:rPr>
        <w:t>r</w:t>
      </w:r>
      <w:r>
        <w:rPr>
          <w:position w:val="11"/>
          <w:sz w:val="16"/>
        </w:rPr>
        <w:t>2</w:t>
      </w:r>
      <w:r>
        <w:rPr/>
        <w:t>=0.62, </w:t>
      </w:r>
      <w:r>
        <w:rPr>
          <w:i/>
        </w:rPr>
        <w:t>F</w:t>
      </w:r>
      <w:r>
        <w:rPr>
          <w:position w:val="-2"/>
          <w:sz w:val="16"/>
        </w:rPr>
        <w:t>2, 15 </w:t>
      </w:r>
      <w:r>
        <w:rPr/>
        <w:t>= 12.43, </w:t>
      </w:r>
      <w:r>
        <w:rPr>
          <w:i/>
        </w:rPr>
        <w:t>p</w:t>
      </w:r>
      <w:r>
        <w:rPr/>
        <w:t>=0.01), whereas linear, logarithmic and logistic models showed lower and non- significant regression coefficients (</w:t>
      </w:r>
      <w:r>
        <w:rPr>
          <w:i/>
        </w:rPr>
        <w:t>r</w:t>
      </w:r>
      <w:r>
        <w:rPr>
          <w:position w:val="11"/>
          <w:sz w:val="16"/>
        </w:rPr>
        <w:t>2 </w:t>
      </w:r>
      <w:r>
        <w:rPr/>
        <w:t>= 0.19, 0.23 and 0.12 respectively). The proportion of biomass consumed by puma was lowest when the number of armadillos was low, then it increased to reach a maximum at intermediate abundances and then decreases at high densities of armadillos (Fig. 4.2, see also Ricklefs &amp; Miller (2000)).</w:t>
      </w:r>
    </w:p>
    <w:p>
      <w:pPr>
        <w:pStyle w:val="Heading2"/>
        <w:spacing w:before="28"/>
        <w:ind w:left="3532" w:right="197"/>
      </w:pPr>
      <w:r>
        <w:rPr/>
        <w:t>(POSITION FIGURE 4.2)</w:t>
      </w:r>
    </w:p>
    <w:p>
      <w:pPr>
        <w:pStyle w:val="BodyText"/>
        <w:spacing w:before="6"/>
        <w:rPr>
          <w:b/>
          <w:sz w:val="23"/>
        </w:rPr>
      </w:pPr>
    </w:p>
    <w:p>
      <w:pPr>
        <w:pStyle w:val="BodyText"/>
        <w:spacing w:line="470" w:lineRule="auto"/>
        <w:ind w:left="102" w:right="119" w:firstLine="707"/>
        <w:jc w:val="both"/>
      </w:pPr>
      <w:r>
        <w:rPr/>
        <w:t>For coati and white-tailed deer, no clear functional response was found for any of the tested models and the statistical associations between consumed biomass and relative abundance of prey were low even for quadratic models, which showed the best fit (coati </w:t>
      </w:r>
      <w:r>
        <w:rPr>
          <w:i/>
        </w:rPr>
        <w:t>r</w:t>
      </w:r>
      <w:r>
        <w:rPr>
          <w:position w:val="11"/>
          <w:sz w:val="16"/>
        </w:rPr>
        <w:t>2</w:t>
      </w:r>
      <w:r>
        <w:rPr/>
        <w:t>=0.09, </w:t>
      </w:r>
      <w:r>
        <w:rPr>
          <w:i/>
        </w:rPr>
        <w:t>F</w:t>
      </w:r>
      <w:r>
        <w:rPr>
          <w:position w:val="-2"/>
          <w:sz w:val="16"/>
        </w:rPr>
        <w:t>2, 15 </w:t>
      </w:r>
      <w:r>
        <w:rPr/>
        <w:t>= 0.78, </w:t>
      </w:r>
      <w:r>
        <w:rPr>
          <w:i/>
        </w:rPr>
        <w:t>p</w:t>
      </w:r>
      <w:r>
        <w:rPr/>
        <w:t>=0.47 and white-tailed deer </w:t>
      </w:r>
      <w:r>
        <w:rPr>
          <w:i/>
        </w:rPr>
        <w:t>r</w:t>
      </w:r>
      <w:r>
        <w:rPr>
          <w:position w:val="11"/>
          <w:sz w:val="16"/>
        </w:rPr>
        <w:t>2</w:t>
      </w:r>
      <w:r>
        <w:rPr/>
        <w:t>=0.06, </w:t>
      </w:r>
      <w:r>
        <w:rPr>
          <w:i/>
        </w:rPr>
        <w:t>F</w:t>
      </w:r>
      <w:r>
        <w:rPr>
          <w:position w:val="-2"/>
          <w:sz w:val="16"/>
        </w:rPr>
        <w:t>2, 15 </w:t>
      </w:r>
      <w:r>
        <w:rPr/>
        <w:t>= 0.54,</w:t>
      </w:r>
      <w:r>
        <w:rPr>
          <w:spacing w:val="28"/>
        </w:rPr>
        <w:t> </w:t>
      </w:r>
      <w:r>
        <w:rPr>
          <w:i/>
        </w:rPr>
        <w:t>p</w:t>
      </w:r>
      <w:r>
        <w:rPr/>
        <w:t>=0.59).</w:t>
      </w:r>
    </w:p>
    <w:p>
      <w:pPr>
        <w:pStyle w:val="BodyText"/>
        <w:spacing w:before="9"/>
        <w:rPr>
          <w:sz w:val="44"/>
        </w:rPr>
      </w:pPr>
    </w:p>
    <w:p>
      <w:pPr>
        <w:pStyle w:val="Heading2"/>
        <w:jc w:val="both"/>
      </w:pPr>
      <w:r>
        <w:rPr/>
        <w:t>Discussion</w:t>
      </w:r>
    </w:p>
    <w:p>
      <w:pPr>
        <w:pStyle w:val="BodyText"/>
        <w:spacing w:before="6"/>
        <w:rPr>
          <w:b/>
          <w:sz w:val="23"/>
        </w:rPr>
      </w:pPr>
    </w:p>
    <w:p>
      <w:pPr>
        <w:pStyle w:val="BodyText"/>
        <w:spacing w:line="480" w:lineRule="auto"/>
        <w:ind w:left="102" w:right="115"/>
        <w:jc w:val="both"/>
      </w:pPr>
      <w:r>
        <w:rPr/>
        <w:t>To our knowledge, this is the first study carried out in Mexico and South America determining the functional response of cougar by assessing its diet and the abundance of its prey over several years. Functional response has been more studied for single-prey systems with predators such as lynx and wolf (Stenseth et al. 1997, O´Donoghue et al. 1998, Ruth &amp; Murphy 2010), whereas systems with multiple prey species such as the one presented here have received little attention (Dale et al. 1994, Novaro et al. 2000). Cougars in SNNR show a type III functional response only for armadillo but not for the other two main preys.    The</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5"/>
        <w:jc w:val="both"/>
      </w:pPr>
      <w:r>
        <w:rPr/>
        <w:t>quadratic relationship is similar to the sigmoid curve that has been found for other species also as a type III functional response for fox (</w:t>
      </w:r>
      <w:r>
        <w:rPr>
          <w:i/>
        </w:rPr>
        <w:t>Vulpes vulpes</w:t>
      </w:r>
      <w:r>
        <w:rPr/>
        <w:t>), coyote (</w:t>
      </w:r>
      <w:r>
        <w:rPr>
          <w:i/>
        </w:rPr>
        <w:t>Canis latrans</w:t>
      </w:r>
      <w:r>
        <w:rPr/>
        <w:t>) and genet (</w:t>
      </w:r>
      <w:r>
        <w:rPr>
          <w:i/>
        </w:rPr>
        <w:t>Genetta genetta</w:t>
      </w:r>
      <w:r>
        <w:rPr/>
        <w:t>, Keith et al. 1977, Ferreras et al. 2011). In our study, coati and white-tailed deer probably are rather secondary prey and seem to not play an important role for the diet of cougar.</w:t>
      </w:r>
    </w:p>
    <w:p>
      <w:pPr>
        <w:pStyle w:val="BodyText"/>
        <w:spacing w:line="480" w:lineRule="auto" w:before="10"/>
        <w:ind w:left="102" w:right="118" w:firstLine="707"/>
        <w:jc w:val="both"/>
      </w:pPr>
      <w:r>
        <w:rPr/>
        <w:t>The decrease of cougar predation rate at low densities of armadillos may be explained by a switching to predate on alternative prey (see also Sweitzer et al. 1997, Wittmer et al. 2005a, b). At intermediate armadillo densities predation by cougar increased to reach its maximum rate, probably responding positively to an increase of optimal prey availability. A striking decrease in the consumption of armadillo at their highest densities was likely explained by a period of low energy requirement of cougars in SNNR; Laundré (2005), describes that female cougars with no young have lower energy requirements than those with cubs and during that period no cubs were photographed during our study (Soria- Díaz et al. 2010). It is known that cougars in SNNR can switch to the consumption of alternative preys under particular environmental conditions. In May 2003 a wildfire took place in the study area and cougars shifted from preying mainly on mid-sized prey less than 6kg (</w:t>
      </w:r>
      <w:r>
        <w:rPr>
          <w:i/>
        </w:rPr>
        <w:t>N</w:t>
      </w:r>
      <w:r>
        <w:rPr/>
        <w:t>=5 (prey)), to a diet including both a larger number of prey (</w:t>
      </w:r>
      <w:r>
        <w:rPr>
          <w:i/>
        </w:rPr>
        <w:t>N</w:t>
      </w:r>
      <w:r>
        <w:rPr/>
        <w:t>=19) and larger prey such as livestock (Monroy-Vilchis et al. 2009).</w:t>
      </w:r>
    </w:p>
    <w:p>
      <w:pPr>
        <w:pStyle w:val="BodyText"/>
        <w:spacing w:line="480" w:lineRule="auto" w:before="10"/>
        <w:ind w:left="102" w:right="117" w:firstLine="707"/>
        <w:jc w:val="both"/>
      </w:pPr>
      <w:r>
        <w:rPr/>
        <w:t>The previous studies carried out in North America have found that cougars show a type III functional response (Ruth &amp; Murphy 2010), similar to our findings with armadillo, the main prey in our study area. In British Columbia, Canada, cougars can switch to alternative prey when its main prey, in this case caribou (</w:t>
      </w:r>
      <w:r>
        <w:rPr>
          <w:i/>
        </w:rPr>
        <w:t>Rangifer tarandus caribou</w:t>
      </w:r>
      <w:r>
        <w:rPr/>
        <w:t>) occurs in low densities (Wittmer et al. 2005a, b); in the Great Basin Desert (U.S.A.) the population decline of mule deer (</w:t>
      </w:r>
      <w:r>
        <w:rPr>
          <w:i/>
        </w:rPr>
        <w:t>O. hemionus</w:t>
      </w:r>
      <w:r>
        <w:rPr/>
        <w:t>) following a long drought forced cougars to switch on</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3"/>
        <w:jc w:val="both"/>
      </w:pPr>
      <w:r>
        <w:rPr/>
        <w:t>porcupine (</w:t>
      </w:r>
      <w:r>
        <w:rPr>
          <w:i/>
        </w:rPr>
        <w:t>Erethizon dorsatum, </w:t>
      </w:r>
      <w:r>
        <w:rPr/>
        <w:t>Sweitzer et al. 1997). </w:t>
      </w:r>
      <w:r>
        <w:rPr>
          <w:spacing w:val="-3"/>
        </w:rPr>
        <w:t>In </w:t>
      </w:r>
      <w:r>
        <w:rPr/>
        <w:t>Patagonia, Novaro et al. (2000) found that guanacos (</w:t>
      </w:r>
      <w:r>
        <w:rPr>
          <w:i/>
        </w:rPr>
        <w:t>Lama guanicoe</w:t>
      </w:r>
      <w:r>
        <w:rPr/>
        <w:t>) were the main prey of cougars but they could also prey on exotic species such as red deer and hares (</w:t>
      </w:r>
      <w:r>
        <w:rPr>
          <w:i/>
        </w:rPr>
        <w:t>Cervus elaphus </w:t>
      </w:r>
      <w:r>
        <w:rPr/>
        <w:t>and </w:t>
      </w:r>
      <w:r>
        <w:rPr>
          <w:i/>
        </w:rPr>
        <w:t>Lepus europaeus</w:t>
      </w:r>
      <w:r>
        <w:rPr/>
        <w:t>). All these results show the ability of cougars to predate on secondary prey when availability of their main prey decreases. This behavior can help cougars to coexist with other competing predators, as well as to maintain its populations relatively stable (Ruth &amp; Murphy</w:t>
      </w:r>
      <w:r>
        <w:rPr>
          <w:spacing w:val="-2"/>
        </w:rPr>
        <w:t> </w:t>
      </w:r>
      <w:r>
        <w:rPr/>
        <w:t>2010).</w:t>
      </w:r>
    </w:p>
    <w:p>
      <w:pPr>
        <w:pStyle w:val="BodyText"/>
        <w:spacing w:line="480" w:lineRule="auto" w:before="11"/>
        <w:ind w:left="102" w:right="113" w:firstLine="707"/>
        <w:jc w:val="both"/>
      </w:pPr>
      <w:r>
        <w:rPr/>
        <w:t>It is unknown whether cougars regulates or limits the populations of their prey. In most of the studies carried out by now, it is argued that predation by cougar is a limiting factor for prey populations, not a regulating driver (Beck et al. 2005, Ruth &amp; Murphy 2010). Factors other than predation (such as diseases or climatic variations) may also play an important role at influencing the population dynamics of cougar prey (Ruth &amp; Murphy 2010). For instance it is likely that predation on armadillos, coatis and white-tailed deer by jaguar (38%, 15% and 8% by occurrence respectively; Gómez-Ortíz &amp; Monroy-Vilchis in press) is also influencing prey dynamics. Humans also have a crucial role in prey mortality at SNNR; armadillo, coati and white-tailed deer are the species most hunted by locals with alimentary, medicinal or ornamental purposes (Monroy-Vilchis et al.</w:t>
      </w:r>
      <w:r>
        <w:rPr>
          <w:spacing w:val="-9"/>
        </w:rPr>
        <w:t> </w:t>
      </w:r>
      <w:r>
        <w:rPr/>
        <w:t>2008a).</w:t>
      </w:r>
    </w:p>
    <w:p>
      <w:pPr>
        <w:pStyle w:val="BodyText"/>
        <w:spacing w:line="480" w:lineRule="auto" w:before="10"/>
        <w:ind w:left="102" w:right="115" w:firstLine="707"/>
        <w:jc w:val="both"/>
      </w:pPr>
      <w:r>
        <w:rPr/>
        <w:t>The importance each prey has in the cougar diet has remained rather constant over the different studies performed in SNNR (Monroy-Vilchis et al. 2009, Gómez-Ortíz et al. 2011) including the period of sampling of this study. This confirms that armadillo is an important prey for cougar, despite it is not the most abundant; this is probably due to its energy profitability (2,399 kcal/kg), followed by coati (2,225 kcal/kg) and white-tailed deer (2,166 kcal/kg, Gómez-Ortíz et al. 2011). It is also likely that the easiness of hunting and</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8"/>
        <w:jc w:val="both"/>
      </w:pPr>
      <w:r>
        <w:rPr/>
        <w:t>the coincidence of activity patterns between cougar and armadillo influence its high predation rates.</w:t>
      </w:r>
    </w:p>
    <w:p>
      <w:pPr>
        <w:pStyle w:val="BodyText"/>
      </w:pPr>
    </w:p>
    <w:p>
      <w:pPr>
        <w:pStyle w:val="BodyText"/>
        <w:spacing w:before="3"/>
        <w:rPr>
          <w:sz w:val="25"/>
        </w:rPr>
      </w:pPr>
    </w:p>
    <w:p>
      <w:pPr>
        <w:pStyle w:val="Heading2"/>
        <w:jc w:val="both"/>
      </w:pPr>
      <w:r>
        <w:rPr/>
        <w:t>Management implications</w:t>
      </w:r>
    </w:p>
    <w:p>
      <w:pPr>
        <w:pStyle w:val="BodyText"/>
        <w:spacing w:before="6"/>
        <w:rPr>
          <w:b/>
          <w:sz w:val="23"/>
        </w:rPr>
      </w:pPr>
    </w:p>
    <w:p>
      <w:pPr>
        <w:pStyle w:val="BodyText"/>
        <w:spacing w:line="480" w:lineRule="auto"/>
        <w:ind w:left="102" w:right="116"/>
        <w:jc w:val="both"/>
      </w:pPr>
      <w:r>
        <w:rPr/>
        <w:t>Studying the predator-prey systems together with the environmental and human factors is essential to formulate strategies for the preservation of endangered and threatened species (Bowyer et al. 2005). The ability of cougar to switch to alternative prey can buffer its population dynamics at SNNR; however at least 40 cougars have been hunted here in the last 15  years  (Zarco-González  et al. 2012). Females with cubs as  well  as solitary    males</w:t>
      </w:r>
    </w:p>
    <w:p>
      <w:pPr>
        <w:pStyle w:val="BodyText"/>
        <w:spacing w:line="286" w:lineRule="exact"/>
        <w:ind w:left="102"/>
        <w:jc w:val="both"/>
      </w:pPr>
      <w:r>
        <w:rPr/>
        <w:t>have been photographed and densities up to 6.86 individuals/100km</w:t>
      </w:r>
      <w:r>
        <w:rPr>
          <w:position w:val="11"/>
          <w:sz w:val="16"/>
        </w:rPr>
        <w:t>2  </w:t>
      </w:r>
      <w:r>
        <w:rPr/>
        <w:t>have been    estimated</w:t>
      </w:r>
    </w:p>
    <w:p>
      <w:pPr>
        <w:pStyle w:val="BodyText"/>
      </w:pPr>
    </w:p>
    <w:p>
      <w:pPr>
        <w:pStyle w:val="BodyText"/>
        <w:spacing w:line="472" w:lineRule="auto"/>
        <w:ind w:left="102" w:right="117"/>
        <w:jc w:val="both"/>
      </w:pPr>
      <w:r>
        <w:rPr/>
        <w:t>(Soria-Díaz et al. 2010), similar to data obtained in Belize and Bolivia, where cougar densities ranged from 0.5 to 8 individuals/100km</w:t>
      </w:r>
      <w:r>
        <w:rPr>
          <w:position w:val="11"/>
          <w:sz w:val="16"/>
        </w:rPr>
        <w:t>2 </w:t>
      </w:r>
      <w:r>
        <w:rPr/>
        <w:t>(Kelly et al. 2008). At the same time, feeding on alternative prey probably allows cougar and jaguar to coexist in SNNR despite the large overlap of their diets (Pianka 0.83, Gómez-Ortíz &amp; Monroy-Vilchis in press). Another advantage of switching is that cougars may have a heavier effect upon the dynamic</w:t>
      </w:r>
    </w:p>
    <w:p>
      <w:pPr>
        <w:pStyle w:val="BodyText"/>
        <w:spacing w:line="480" w:lineRule="auto" w:before="18"/>
        <w:ind w:left="102" w:right="121"/>
        <w:jc w:val="both"/>
      </w:pPr>
      <w:r>
        <w:rPr/>
        <w:t>of the populations in which their preys are sympatric. In this case, predation by cougar might maintain the balance of the ecosystems regulating populations of  primary prey, which can be very abundant or overabundant and as a consequence the pressure of foraging in certain habitats can be alleviated (Hasell 2000). In some studies it has been made evident that ecosystems are altered by overabundance of ungulates, in the absence of carnivores (Ripple &amp; Beschta 2006).</w:t>
      </w:r>
    </w:p>
    <w:p>
      <w:pPr>
        <w:pStyle w:val="BodyText"/>
        <w:spacing w:line="480" w:lineRule="auto" w:before="10"/>
        <w:ind w:left="102" w:right="117" w:firstLine="707"/>
        <w:jc w:val="both"/>
      </w:pPr>
      <w:r>
        <w:rPr/>
        <w:t>Finally, it is important to consider that armadillo seems to be a key species in the study area for cougars and jaguars, while it is the third most hunted mammal by the local human  populations,  after  eastern  cottontail  (</w:t>
      </w:r>
      <w:r>
        <w:rPr>
          <w:i/>
        </w:rPr>
        <w:t>Sylvilagus  floridanus</w:t>
      </w:r>
      <w:r>
        <w:rPr/>
        <w:t>) and white-tailed deer</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115"/>
        <w:jc w:val="both"/>
      </w:pPr>
      <w:r>
        <w:rPr/>
        <w:t>(Monroy-Vilchis et al. 2008a). This fact underscores the importance of carrying out a study to monitor the populations of armadillo and determine their long-term viability.</w:t>
      </w:r>
    </w:p>
    <w:p>
      <w:pPr>
        <w:pStyle w:val="BodyText"/>
      </w:pPr>
    </w:p>
    <w:p>
      <w:pPr>
        <w:pStyle w:val="BodyText"/>
        <w:spacing w:before="10"/>
      </w:pPr>
    </w:p>
    <w:p>
      <w:pPr>
        <w:pStyle w:val="BodyText"/>
        <w:spacing w:line="480" w:lineRule="auto"/>
        <w:ind w:left="102" w:right="117"/>
        <w:jc w:val="both"/>
      </w:pPr>
      <w:r>
        <w:rPr>
          <w:i/>
        </w:rPr>
        <w:t>Acknowledgments- </w:t>
      </w:r>
      <w:r>
        <w:rPr/>
        <w:t>We thank the Mexican people for funding the project through the CONACYT (101254) and for the scholarship (LSD) 214042. Alejandro Martínez Abraín, Javier Manjarrez and Víctor Fajardo kindly provided helpful comments to previous drafts. We are also grateful to all students from Nanchititla Sierra Biological Station for helping us with fieldwork.</w:t>
      </w:r>
    </w:p>
    <w:p>
      <w:pPr>
        <w:pStyle w:val="BodyText"/>
      </w:pPr>
    </w:p>
    <w:p>
      <w:pPr>
        <w:pStyle w:val="BodyText"/>
        <w:spacing w:before="3"/>
        <w:rPr>
          <w:sz w:val="25"/>
        </w:rPr>
      </w:pPr>
    </w:p>
    <w:p>
      <w:pPr>
        <w:pStyle w:val="Heading2"/>
        <w:ind w:right="6695"/>
      </w:pPr>
      <w:r>
        <w:rPr/>
        <w:t>References</w:t>
      </w:r>
    </w:p>
    <w:p>
      <w:pPr>
        <w:pStyle w:val="BodyText"/>
        <w:spacing w:before="6"/>
        <w:rPr>
          <w:b/>
          <w:sz w:val="23"/>
        </w:rPr>
      </w:pPr>
    </w:p>
    <w:p>
      <w:pPr>
        <w:pStyle w:val="BodyText"/>
        <w:spacing w:line="480" w:lineRule="auto"/>
        <w:ind w:left="1167" w:right="119" w:hanging="1066"/>
        <w:jc w:val="both"/>
      </w:pPr>
      <w:r>
        <w:rPr/>
        <w:t>Ackerman, B.B., Lindzey, F.G. &amp; Hemker, T.P. 1984: Cougar food habits in Southern Utah. - Journal of Wildlife Management 48:</w:t>
      </w:r>
      <w:r>
        <w:rPr>
          <w:spacing w:val="-7"/>
        </w:rPr>
        <w:t> </w:t>
      </w:r>
      <w:r>
        <w:rPr/>
        <w:t>147-155.</w:t>
      </w:r>
    </w:p>
    <w:p>
      <w:pPr>
        <w:pStyle w:val="BodyText"/>
        <w:spacing w:line="480" w:lineRule="auto" w:before="10"/>
        <w:ind w:left="1167" w:right="114" w:hanging="1066"/>
        <w:jc w:val="both"/>
      </w:pPr>
      <w:r>
        <w:rPr/>
        <w:t>Altendorf, K.B., Laundre, J.W., Gonzalez, C.A.L. &amp; Brown, J.S. 2001: Assessing effects of predation risk on the foraging behavior of mule deer. - Journal of Mammalogy 82: 430–439.</w:t>
      </w:r>
    </w:p>
    <w:p>
      <w:pPr>
        <w:pStyle w:val="BodyText"/>
        <w:spacing w:line="480" w:lineRule="auto" w:before="10"/>
        <w:ind w:left="1167" w:right="122" w:hanging="1066"/>
        <w:jc w:val="both"/>
      </w:pPr>
      <w:r>
        <w:rPr/>
        <w:t>Aranda, M. 2000: ʻHuellas y otros rastros de los mamíferos grandes y medianos de Méxicoʼ. - Instituto de Ecología A. C, Mexico, 212 pp. (In spanish).</w:t>
      </w:r>
    </w:p>
    <w:p>
      <w:pPr>
        <w:pStyle w:val="BodyText"/>
        <w:spacing w:line="480" w:lineRule="auto" w:before="10"/>
        <w:ind w:left="1167" w:right="118" w:hanging="1006"/>
        <w:jc w:val="both"/>
      </w:pPr>
      <w:r>
        <w:rPr/>
        <w:t>Beck, T., Beecham, J., Beier, P., Hofstra, T., Hornocker, M., Lindzey, F., Logan, K., Pierce, B., Quigley, H., Ross, I., Shaw, H., Sparrowe, R. &amp; Torres, S. 2005: ʻCougar Management Guidelines Working Groupʼ. - Wildfutures Bainbridge Island, Washington, 137 pp.</w:t>
      </w:r>
    </w:p>
    <w:p>
      <w:pPr>
        <w:pStyle w:val="BodyText"/>
        <w:spacing w:line="480" w:lineRule="auto" w:before="10"/>
        <w:ind w:left="1167" w:right="115" w:hanging="1066"/>
        <w:jc w:val="both"/>
      </w:pPr>
      <w:r>
        <w:rPr/>
        <w:t>Boitani, L. &amp; Powell, R.A. 2012: </w:t>
      </w:r>
      <w:r>
        <w:rPr>
          <w:b/>
          <w:i/>
        </w:rPr>
        <w:t>ʻ</w:t>
      </w:r>
      <w:r>
        <w:rPr/>
        <w:t>Carnivore ecology and conservation</w:t>
      </w:r>
      <w:r>
        <w:rPr>
          <w:b/>
          <w:i/>
        </w:rPr>
        <w:t>ʼ</w:t>
      </w:r>
      <w:r>
        <w:rPr/>
        <w:t>. - Oxford University Press, Oxford, 490 pp.</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20" w:hanging="1066"/>
        <w:jc w:val="both"/>
      </w:pPr>
      <w:r>
        <w:rPr/>
        <w:t>Boutin, S. 1995: Testing predator-prey theory by studying fluctuating populations of small mammals. - Wildlife Research 22: 89-100.</w:t>
      </w:r>
    </w:p>
    <w:p>
      <w:pPr>
        <w:pStyle w:val="BodyText"/>
        <w:spacing w:line="480" w:lineRule="auto" w:before="10"/>
        <w:ind w:left="1167" w:right="117" w:hanging="1066"/>
        <w:jc w:val="both"/>
      </w:pPr>
      <w:r>
        <w:rPr/>
        <w:t>Bowyer, R.T., Person, D.K. &amp; Pierse, B.M. 2005: Detecting Top-Down versus Bottom-Up Regulation of Ungulates by Large Carnivores: Implications for Conservation of Biodiversity</w:t>
      </w:r>
      <w:r>
        <w:rPr>
          <w:i/>
        </w:rPr>
        <w:t>. – </w:t>
      </w:r>
      <w:r>
        <w:rPr/>
        <w:t>In: Ray J.C., Redford, R.S., Steneck, R.S &amp; Berger, J. (Eds); In </w:t>
      </w:r>
      <w:r>
        <w:rPr>
          <w:b/>
          <w:i/>
        </w:rPr>
        <w:t>ʻ</w:t>
      </w:r>
      <w:r>
        <w:rPr/>
        <w:t>Large carnivores and the conservation of biodiversity</w:t>
      </w:r>
      <w:r>
        <w:rPr>
          <w:b/>
          <w:i/>
        </w:rPr>
        <w:t>ʼ. - </w:t>
      </w:r>
      <w:r>
        <w:rPr/>
        <w:t>Island Press: Washington, Covedo and London, pp. 342-361.</w:t>
      </w:r>
    </w:p>
    <w:p>
      <w:pPr>
        <w:spacing w:before="11"/>
        <w:ind w:left="102" w:right="197" w:firstLine="0"/>
        <w:jc w:val="left"/>
        <w:rPr>
          <w:sz w:val="24"/>
        </w:rPr>
      </w:pPr>
      <w:r>
        <w:rPr>
          <w:sz w:val="24"/>
        </w:rPr>
        <w:t>Currier, M.J.P. 1983: </w:t>
      </w:r>
      <w:r>
        <w:rPr>
          <w:i/>
          <w:sz w:val="24"/>
        </w:rPr>
        <w:t>Felis concolor</w:t>
      </w:r>
      <w:r>
        <w:rPr>
          <w:sz w:val="24"/>
        </w:rPr>
        <w:t>. - Mammalian Species 200: 1-7.</w:t>
      </w:r>
    </w:p>
    <w:p>
      <w:pPr>
        <w:pStyle w:val="BodyText"/>
      </w:pPr>
    </w:p>
    <w:p>
      <w:pPr>
        <w:pStyle w:val="BodyText"/>
        <w:spacing w:line="480" w:lineRule="auto"/>
        <w:ind w:left="1167" w:right="117" w:hanging="1066"/>
        <w:jc w:val="both"/>
      </w:pPr>
      <w:r>
        <w:rPr/>
        <w:t>Dale, B.W., Adams, L.G. &amp; Bowyer, R.T. 1994: Functional response of wolves preying on barren-ground caribou in a multiple-prey ecosystem. - Journal of Animal Ecology 63: 644-652.</w:t>
      </w:r>
    </w:p>
    <w:p>
      <w:pPr>
        <w:pStyle w:val="BodyText"/>
        <w:spacing w:line="480" w:lineRule="auto" w:before="10"/>
        <w:ind w:left="1167" w:right="115" w:hanging="1066"/>
        <w:jc w:val="both"/>
      </w:pPr>
      <w:r>
        <w:rPr/>
        <w:t>Delibes-Mateos, M., Fernández de Simón, J., Villafuerte, R. &amp; Ferreras, P. 2008: Feeding responses of the red fox (</w:t>
      </w:r>
      <w:r>
        <w:rPr>
          <w:i/>
        </w:rPr>
        <w:t>Vulpes vulpes</w:t>
      </w:r>
      <w:r>
        <w:rPr/>
        <w:t>) to different wild rabbit (</w:t>
      </w:r>
      <w:r>
        <w:rPr>
          <w:i/>
        </w:rPr>
        <w:t>Oryctolagus </w:t>
      </w:r>
      <w:r>
        <w:rPr>
          <w:i/>
        </w:rPr>
        <w:t>cuniculus</w:t>
      </w:r>
      <w:r>
        <w:rPr/>
        <w:t>) densities: a regional approach. - European Journal Wildlife Research 54: 71–78.</w:t>
      </w:r>
    </w:p>
    <w:p>
      <w:pPr>
        <w:pStyle w:val="BodyText"/>
        <w:spacing w:line="480" w:lineRule="auto" w:before="10"/>
        <w:ind w:left="1167" w:right="114" w:hanging="1066"/>
        <w:jc w:val="both"/>
      </w:pPr>
      <w:r>
        <w:rPr/>
        <w:t>Flores, M.A., Rodríguez, S.N., Ramos-Espinosa, M.G. &amp; Payán, F.Z. 2010: Estudio de </w:t>
      </w:r>
      <w:r>
        <w:rPr>
          <w:i/>
        </w:rPr>
        <w:t>Harmonia axirydis </w:t>
      </w:r>
      <w:r>
        <w:rPr/>
        <w:t>pallas (Coleoptera: Coccinelidae) como bioagente de control de </w:t>
      </w:r>
      <w:r>
        <w:rPr>
          <w:i/>
        </w:rPr>
        <w:t>Aphis gossypii </w:t>
      </w:r>
      <w:r>
        <w:rPr/>
        <w:t>Glover (Hemiptera: Aphididae). - Interciencia 35: 506-509.</w:t>
      </w:r>
    </w:p>
    <w:p>
      <w:pPr>
        <w:pStyle w:val="BodyText"/>
        <w:spacing w:line="480" w:lineRule="auto" w:before="10"/>
        <w:ind w:left="1167" w:right="116" w:hanging="1066"/>
        <w:jc w:val="both"/>
      </w:pPr>
      <w:r>
        <w:rPr/>
        <w:t>Ferreras, P., Travaini, A., Zapata, S.C. &amp; Delibes, M. 2011: Short-term response of mammals carnivores to a sudden collapse of rabbits in Mediterranean Spain. - Basic &amp; Applied Ecology 12: 116-124.</w:t>
      </w:r>
    </w:p>
    <w:p>
      <w:pPr>
        <w:pStyle w:val="BodyText"/>
        <w:spacing w:line="480" w:lineRule="auto" w:before="10"/>
        <w:ind w:left="1167" w:right="116" w:hanging="1066"/>
        <w:jc w:val="both"/>
      </w:pPr>
      <w:r>
        <w:rPr/>
        <w:t>Gittleman, J.L., Funk, S.M., Macdonald, D. &amp; Wayne, R.K. 2001: </w:t>
      </w:r>
      <w:r>
        <w:rPr>
          <w:b/>
          <w:i/>
        </w:rPr>
        <w:t>ʻ</w:t>
      </w:r>
      <w:r>
        <w:rPr/>
        <w:t>Carnivore Conservation</w:t>
      </w:r>
      <w:r>
        <w:rPr>
          <w:b/>
          <w:i/>
        </w:rPr>
        <w:t>ʼ</w:t>
      </w:r>
      <w:r>
        <w:rPr/>
        <w:t>. - Cambridge University Press, London, 675 pp.</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4" w:hanging="1066"/>
        <w:jc w:val="both"/>
      </w:pPr>
      <w:r>
        <w:rPr/>
        <w:t>Glasser, W.J. 1982: A theory of trophic strategies: the evolution of facultative specialist. - The American Naturalist 119: 250-262.</w:t>
      </w:r>
    </w:p>
    <w:p>
      <w:pPr>
        <w:pStyle w:val="BodyText"/>
        <w:spacing w:line="480" w:lineRule="auto" w:before="10"/>
        <w:ind w:left="1167" w:right="116" w:hanging="1066"/>
        <w:jc w:val="both"/>
      </w:pPr>
      <w:r>
        <w:rPr/>
        <w:t>Gomez-Ortíz, Y., Monroy-Vilchis, O., Fajardo, V., Mendoza, G.D. &amp; Urios, V. 2011: Is food quality important for carnivores? The case of </w:t>
      </w:r>
      <w:r>
        <w:rPr>
          <w:i/>
        </w:rPr>
        <w:t>Puma concolor</w:t>
      </w:r>
      <w:r>
        <w:rPr/>
        <w:t>. - Animal Biology 61: 277-288.</w:t>
      </w:r>
    </w:p>
    <w:p>
      <w:pPr>
        <w:pStyle w:val="BodyText"/>
        <w:spacing w:line="480" w:lineRule="auto" w:before="10"/>
        <w:ind w:left="1167" w:right="118" w:hanging="1066"/>
        <w:jc w:val="both"/>
      </w:pPr>
      <w:r>
        <w:rPr/>
        <w:t>Harmsen, B.J., Foster, R.J., Silver, S., Ostro, L. &amp; Doncaster, P. 2009: Differential use of trails by forest mammals and the implications for camera-trap studies: a case study from Belize. - Biotropica 42: 1-8.</w:t>
      </w:r>
    </w:p>
    <w:p>
      <w:pPr>
        <w:pStyle w:val="BodyText"/>
        <w:spacing w:line="480" w:lineRule="auto" w:before="10"/>
        <w:ind w:left="1167" w:right="115" w:hanging="1066"/>
        <w:jc w:val="both"/>
      </w:pPr>
      <w:r>
        <w:rPr/>
        <w:t>Harper, G A. 2005: Numerical and functional response of feral cats (</w:t>
      </w:r>
      <w:r>
        <w:rPr>
          <w:i/>
        </w:rPr>
        <w:t>Felis catus</w:t>
      </w:r>
      <w:r>
        <w:rPr/>
        <w:t>) to variations in abundance of primary prey on Stewart Island (Rakiura), New Zealand. - Wildlife Research 32: 597-604.</w:t>
      </w:r>
    </w:p>
    <w:p>
      <w:pPr>
        <w:pStyle w:val="BodyText"/>
        <w:spacing w:before="10"/>
        <w:ind w:left="102" w:right="20"/>
      </w:pPr>
      <w:r>
        <w:rPr/>
        <w:t>Hasell,  M.P. 2000:  </w:t>
      </w:r>
      <w:r>
        <w:rPr>
          <w:b/>
          <w:i/>
        </w:rPr>
        <w:t>ʻ</w:t>
      </w:r>
      <w:r>
        <w:rPr/>
        <w:t>The  spatial  and  temporal  dynamics  of host  parasitoid interactions</w:t>
      </w:r>
      <w:r>
        <w:rPr>
          <w:b/>
          <w:i/>
        </w:rPr>
        <w:t>ʼ</w:t>
      </w:r>
      <w:r>
        <w:rPr/>
        <w:t>.</w:t>
      </w:r>
    </w:p>
    <w:p>
      <w:pPr>
        <w:pStyle w:val="BodyText"/>
      </w:pPr>
    </w:p>
    <w:p>
      <w:pPr>
        <w:pStyle w:val="BodyText"/>
        <w:ind w:left="1167"/>
        <w:jc w:val="both"/>
      </w:pPr>
      <w:r>
        <w:rPr/>
        <w:t>Oxford University Press, Oxford, 200 pp.</w:t>
      </w:r>
    </w:p>
    <w:p>
      <w:pPr>
        <w:pStyle w:val="BodyText"/>
      </w:pPr>
    </w:p>
    <w:p>
      <w:pPr>
        <w:pStyle w:val="BodyText"/>
        <w:spacing w:line="480" w:lineRule="auto"/>
        <w:ind w:left="1167" w:right="115" w:hanging="1066"/>
        <w:jc w:val="both"/>
      </w:pPr>
      <w:r>
        <w:rPr/>
        <w:t>Holling, C.S. 1959: The components of predation as revealed by a study of small-mammals predation of the European pine sawfly. - Canadian Entomologist 91: 293-320.</w:t>
      </w:r>
    </w:p>
    <w:p>
      <w:pPr>
        <w:pStyle w:val="BodyText"/>
        <w:spacing w:line="480" w:lineRule="auto" w:before="10"/>
        <w:ind w:left="1167" w:right="122" w:hanging="1066"/>
        <w:jc w:val="both"/>
      </w:pPr>
      <w:r>
        <w:rPr/>
        <w:t>Joly, D.O. &amp; Patterson, B.R. 2003: Use of selection indices to model the functional response of predators. - Ecology 84:</w:t>
      </w:r>
      <w:r>
        <w:rPr>
          <w:spacing w:val="-8"/>
        </w:rPr>
        <w:t> </w:t>
      </w:r>
      <w:r>
        <w:rPr/>
        <w:t>1635-1639.</w:t>
      </w:r>
    </w:p>
    <w:p>
      <w:pPr>
        <w:pStyle w:val="BodyText"/>
        <w:spacing w:line="480" w:lineRule="auto" w:before="10"/>
        <w:ind w:left="1167" w:right="118" w:hanging="1066"/>
        <w:jc w:val="both"/>
      </w:pPr>
      <w:r>
        <w:rPr/>
        <w:t>Keith, L.B., Todd, A.W., Brand, C.J., Adamcik, R.S. &amp; Rusch, D.H. 1977: An analysis of predation during a cyclic fluctuation of snowshoe hares. - Proceedings of the International Congress of Game Biologists 13: 151-175.</w:t>
      </w:r>
    </w:p>
    <w:p>
      <w:pPr>
        <w:pStyle w:val="BodyText"/>
        <w:spacing w:before="10"/>
        <w:ind w:left="102" w:right="197"/>
      </w:pPr>
      <w:r>
        <w:rPr/>
        <w:t>Kelly, M.J., Noss, A.J., Dibetti, M.S.D., Maffei, L., Arispe, R.L., Paviolo, A., Angelo,</w:t>
      </w:r>
    </w:p>
    <w:p>
      <w:pPr>
        <w:pStyle w:val="BodyText"/>
      </w:pPr>
    </w:p>
    <w:p>
      <w:pPr>
        <w:pStyle w:val="BodyText"/>
        <w:spacing w:line="480" w:lineRule="auto"/>
        <w:ind w:left="1167" w:right="117"/>
        <w:jc w:val="both"/>
      </w:pPr>
      <w:r>
        <w:rPr/>
        <w:t>C.D.D. &amp; Blanco, Y.E.D. 2008: Estimating Puma densities from camera  trapping across three study sites: Bolivia, Argentina, and Belize. - Journal of Mammalogy 89:</w:t>
      </w:r>
      <w:r>
        <w:rPr>
          <w:spacing w:val="-1"/>
        </w:rPr>
        <w:t> </w:t>
      </w:r>
      <w:r>
        <w:rPr/>
        <w:t>408–418.</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8" w:hanging="1066"/>
        <w:jc w:val="both"/>
      </w:pPr>
      <w:r>
        <w:rPr/>
        <w:t>Laundre, J.W. 2005: Puma energetic: a recalculation. - Journal of Wildlife Management 69: 723-732.</w:t>
      </w:r>
    </w:p>
    <w:p>
      <w:pPr>
        <w:pStyle w:val="BodyText"/>
        <w:spacing w:line="480" w:lineRule="auto" w:before="10"/>
        <w:ind w:left="1167" w:right="122" w:hanging="1066"/>
        <w:jc w:val="both"/>
      </w:pPr>
      <w:r>
        <w:rPr/>
        <w:t>Logan, K. &amp; Sweanor, L. 2001: </w:t>
      </w:r>
      <w:r>
        <w:rPr>
          <w:b/>
          <w:i/>
        </w:rPr>
        <w:t>ʻ</w:t>
      </w:r>
      <w:r>
        <w:rPr/>
        <w:t>Desert puma evolutionary ecology and conservation of an enduring carnivore</w:t>
      </w:r>
      <w:r>
        <w:rPr>
          <w:b/>
          <w:i/>
        </w:rPr>
        <w:t>ʼ</w:t>
      </w:r>
      <w:r>
        <w:rPr/>
        <w:t>. - Island Press, Washington, 463 pp.</w:t>
      </w:r>
    </w:p>
    <w:p>
      <w:pPr>
        <w:pStyle w:val="BodyText"/>
        <w:spacing w:line="480" w:lineRule="auto" w:before="10"/>
        <w:ind w:left="1167" w:right="117" w:hanging="1066"/>
        <w:jc w:val="both"/>
      </w:pPr>
      <w:r>
        <w:rPr/>
        <w:t>Monroy-Vilchis, O. &amp; Rubio-Rodríguez, R. 2003: </w:t>
      </w:r>
      <w:r>
        <w:rPr>
          <w:b/>
          <w:i/>
        </w:rPr>
        <w:t>ʻ</w:t>
      </w:r>
      <w:r>
        <w:rPr/>
        <w:t>Guía de identificación de mamíferos terrestres del Estado de México, a través del pelo de guardia</w:t>
      </w:r>
      <w:r>
        <w:rPr>
          <w:b/>
          <w:i/>
        </w:rPr>
        <w:t>ʼ</w:t>
      </w:r>
      <w:r>
        <w:rPr/>
        <w:t>. - Universidad Autónoma del Estado de México, México, 155 pp. (In Spanish).</w:t>
      </w:r>
    </w:p>
    <w:p>
      <w:pPr>
        <w:pStyle w:val="BodyText"/>
        <w:spacing w:line="480" w:lineRule="auto" w:before="11"/>
        <w:ind w:left="821" w:right="115" w:hanging="720"/>
        <w:jc w:val="both"/>
      </w:pPr>
      <w:r>
        <w:rPr/>
        <w:t>Monroy-Vilchis, O., Cabrera, L., Suárez, P., Zarco-González, M.M., Rodríguez-Soto, C., &amp; Urios, V. 2008a: Uso tradicional de vertebrados silvestres en la Sierra Nanchititla, México. - Interciencia 33: 308–313.</w:t>
      </w:r>
    </w:p>
    <w:p>
      <w:pPr>
        <w:pStyle w:val="BodyText"/>
        <w:spacing w:line="480" w:lineRule="auto" w:before="10"/>
        <w:ind w:left="821" w:right="119" w:hanging="720"/>
        <w:jc w:val="both"/>
      </w:pPr>
      <w:r>
        <w:rPr/>
        <w:t>Monroy-Vilchis, O., Sánchez, O., Aguilera, U., Suárez, P. &amp; Urios, V. 2008b: Jaguar (</w:t>
      </w:r>
      <w:r>
        <w:rPr>
          <w:i/>
        </w:rPr>
        <w:t>Panthera onca </w:t>
      </w:r>
      <w:r>
        <w:rPr/>
        <w:t>) in the State of Mexico. - Southwestern Naturalist 53: 533-537.</w:t>
      </w:r>
    </w:p>
    <w:p>
      <w:pPr>
        <w:pStyle w:val="BodyText"/>
        <w:spacing w:line="480" w:lineRule="auto" w:before="10"/>
        <w:ind w:left="821" w:right="117" w:hanging="720"/>
        <w:jc w:val="both"/>
      </w:pPr>
      <w:r>
        <w:rPr/>
        <w:t>Monroy-Vilchis, O., Gómez, Y., Janczur, M., &amp; Urios, V. 2009: Food niche of </w:t>
      </w:r>
      <w:r>
        <w:rPr>
          <w:i/>
        </w:rPr>
        <w:t>Puma </w:t>
      </w:r>
      <w:r>
        <w:rPr>
          <w:i/>
        </w:rPr>
        <w:t>concolor </w:t>
      </w:r>
      <w:r>
        <w:rPr/>
        <w:t>in central Mexico. - Wildlife Biology 15: 97-105.</w:t>
      </w:r>
    </w:p>
    <w:p>
      <w:pPr>
        <w:pStyle w:val="BodyText"/>
        <w:spacing w:before="10"/>
        <w:ind w:left="102" w:right="20"/>
      </w:pPr>
      <w:r>
        <w:rPr/>
        <w:t>Monroy-Vilchis, O., Zarco-González, M.M., Rodríguez-Soto, C., Soria-Díaz, </w:t>
      </w:r>
      <w:r>
        <w:rPr>
          <w:spacing w:val="-3"/>
        </w:rPr>
        <w:t>L.  </w:t>
      </w:r>
      <w:r>
        <w:rPr/>
        <w:t>&amp;  </w:t>
      </w:r>
      <w:r>
        <w:rPr>
          <w:spacing w:val="52"/>
        </w:rPr>
        <w:t> </w:t>
      </w:r>
      <w:r>
        <w:rPr/>
        <w:t>Urios,</w:t>
      </w:r>
    </w:p>
    <w:p>
      <w:pPr>
        <w:pStyle w:val="BodyText"/>
      </w:pPr>
    </w:p>
    <w:p>
      <w:pPr>
        <w:pStyle w:val="ListParagraph"/>
        <w:numPr>
          <w:ilvl w:val="0"/>
          <w:numId w:val="4"/>
        </w:numPr>
        <w:tabs>
          <w:tab w:pos="1141" w:val="left" w:leader="none"/>
        </w:tabs>
        <w:spacing w:line="480" w:lineRule="auto" w:before="0" w:after="0"/>
        <w:ind w:left="822" w:right="126" w:firstLine="0"/>
        <w:jc w:val="left"/>
        <w:rPr>
          <w:rFonts w:ascii="Times New Roman" w:hAnsi="Times New Roman"/>
          <w:sz w:val="24"/>
        </w:rPr>
      </w:pPr>
      <w:r>
        <w:rPr>
          <w:rFonts w:ascii="Times New Roman" w:hAnsi="Times New Roman"/>
          <w:sz w:val="24"/>
        </w:rPr>
        <w:t>2011: Fototrampeo de mamíferos en la Sierra Nanchititla, México; abundancia relativa y patrón de actividad. - Revista de Biología Tropical 59:</w:t>
      </w:r>
      <w:r>
        <w:rPr>
          <w:rFonts w:ascii="Times New Roman" w:hAnsi="Times New Roman"/>
          <w:spacing w:val="-13"/>
          <w:sz w:val="24"/>
        </w:rPr>
        <w:t> </w:t>
      </w:r>
      <w:r>
        <w:rPr>
          <w:rFonts w:ascii="Times New Roman" w:hAnsi="Times New Roman"/>
          <w:sz w:val="24"/>
        </w:rPr>
        <w:t>373-383.</w:t>
      </w:r>
    </w:p>
    <w:p>
      <w:pPr>
        <w:pStyle w:val="BodyText"/>
        <w:spacing w:line="480" w:lineRule="auto" w:before="10"/>
        <w:ind w:left="1167" w:right="115" w:hanging="1066"/>
        <w:jc w:val="both"/>
      </w:pPr>
      <w:r>
        <w:rPr/>
        <w:t>Morales, J.S., Gallardo, J.S.V., Vasquez, C. &amp; Rios, Y. 2001: Respuesta Funcional de </w:t>
      </w:r>
      <w:r>
        <w:rPr>
          <w:i/>
        </w:rPr>
        <w:t>Telenomus remus </w:t>
      </w:r>
      <w:r>
        <w:rPr/>
        <w:t>(Hymenoptera: Scelionidae) a los huevos de </w:t>
      </w:r>
      <w:r>
        <w:rPr>
          <w:i/>
        </w:rPr>
        <w:t>Spodoptera </w:t>
      </w:r>
      <w:r>
        <w:rPr>
          <w:i/>
        </w:rPr>
        <w:t>frugiperda </w:t>
      </w:r>
      <w:r>
        <w:rPr/>
        <w:t>(Lepidoptera: Noctuidae). - Bioagro 13: 49-55.</w:t>
      </w:r>
    </w:p>
    <w:p>
      <w:pPr>
        <w:pStyle w:val="BodyText"/>
        <w:spacing w:line="480" w:lineRule="auto" w:before="10"/>
        <w:ind w:left="1167" w:right="115" w:hanging="1066"/>
        <w:jc w:val="both"/>
      </w:pPr>
      <w:r>
        <w:rPr/>
        <w:t>Novaro, A.J., Funes, M.C. &amp; Walker, R.S. 2000: Ecological extinction of native prey of a carnivore assemblage in Argentine Patagonia. - Biological Conservation 92: 25– 33.</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6" w:hanging="1066"/>
        <w:jc w:val="both"/>
      </w:pPr>
      <w:r>
        <w:rPr/>
        <w:t>O’Brien, T.G., Kinnaird, M.F. &amp; Wibisono, H.T. 2003: Crouching tigers, hidden prey: Sumatran tiger and prey populations in a tropical forest landscape. - Animal Conservation 6: 131–139.</w:t>
      </w:r>
    </w:p>
    <w:p>
      <w:pPr>
        <w:pStyle w:val="BodyText"/>
        <w:spacing w:line="480" w:lineRule="auto" w:before="10"/>
        <w:ind w:left="1167" w:right="113" w:hanging="1066"/>
        <w:jc w:val="both"/>
      </w:pPr>
      <w:r>
        <w:rPr/>
        <w:t>O´Donoghue, M.O., Boutin, S., Krebs, C.J., Zuleta, G., Murray, D.L. &amp; Hofer, E.J. 1998: Functional response of coyotes and lynx to the snowshoe hare cycle. - Ecology 79: 1193-1208.</w:t>
      </w:r>
    </w:p>
    <w:p>
      <w:pPr>
        <w:pStyle w:val="BodyText"/>
        <w:spacing w:line="286" w:lineRule="exact"/>
        <w:ind w:left="102" w:right="197"/>
      </w:pPr>
      <w:r>
        <w:rPr/>
        <w:t>Ricklefs, R.E. &amp; Miller, G.L. 2000: </w:t>
      </w:r>
      <w:r>
        <w:rPr>
          <w:b/>
          <w:i/>
        </w:rPr>
        <w:t>ʻ</w:t>
      </w:r>
      <w:r>
        <w:rPr/>
        <w:t>Ecology</w:t>
      </w:r>
      <w:r>
        <w:rPr>
          <w:b/>
          <w:i/>
        </w:rPr>
        <w:t>ʼ</w:t>
      </w:r>
      <w:r>
        <w:rPr/>
        <w:t>. 4</w:t>
      </w:r>
      <w:r>
        <w:rPr>
          <w:position w:val="11"/>
          <w:sz w:val="16"/>
        </w:rPr>
        <w:t>th  </w:t>
      </w:r>
      <w:r>
        <w:rPr/>
        <w:t>ed. Freman Editorial, New York, 447-</w:t>
      </w:r>
    </w:p>
    <w:p>
      <w:pPr>
        <w:pStyle w:val="BodyText"/>
      </w:pPr>
    </w:p>
    <w:p>
      <w:pPr>
        <w:pStyle w:val="BodyText"/>
        <w:ind w:left="1167"/>
        <w:jc w:val="both"/>
      </w:pPr>
      <w:r>
        <w:rPr/>
        <w:t>778 pp.</w:t>
      </w:r>
    </w:p>
    <w:p>
      <w:pPr>
        <w:pStyle w:val="BodyText"/>
      </w:pPr>
    </w:p>
    <w:p>
      <w:pPr>
        <w:pStyle w:val="BodyText"/>
        <w:spacing w:line="480" w:lineRule="auto"/>
        <w:ind w:left="1167" w:right="115" w:hanging="1066"/>
        <w:jc w:val="both"/>
      </w:pPr>
      <w:r>
        <w:rPr/>
        <w:t>Ripple, W.J. &amp; Beschta, R.L. 2006: Linking a cougar decline, trophic cascade and catastrophic regime shift in Zion National Park. - Biological Conservation 133: 397–408.</w:t>
      </w:r>
    </w:p>
    <w:p>
      <w:pPr>
        <w:pStyle w:val="BodyText"/>
        <w:spacing w:line="480" w:lineRule="auto" w:before="10"/>
        <w:ind w:left="1167" w:right="117" w:hanging="1066"/>
        <w:jc w:val="both"/>
      </w:pPr>
      <w:r>
        <w:rPr/>
        <w:t>Ruth, T.K. &amp; Murphy, K. 2010: Cougar-prey relationships. - In: Hornocker, M. &amp; Negri, S. (Eds.); Cougar ecology and conservation. - The University of Chicago Press, Chicago and London, 138-162 pp.</w:t>
      </w:r>
    </w:p>
    <w:p>
      <w:pPr>
        <w:pStyle w:val="BodyText"/>
        <w:spacing w:line="480" w:lineRule="auto" w:before="10"/>
        <w:ind w:left="1167" w:right="115" w:hanging="1066"/>
        <w:jc w:val="both"/>
      </w:pPr>
      <w:r>
        <w:rPr/>
        <w:t>Sánchez, O., Ramírez-Púlido, J., Aguilera-Reyes, U. &amp; Monroy-Vilchis, O. 2002: Felid record from the state of Mexico. - Mammalia 66: 289-294.</w:t>
      </w:r>
    </w:p>
    <w:p>
      <w:pPr>
        <w:pStyle w:val="BodyText"/>
        <w:spacing w:line="480" w:lineRule="auto" w:before="10"/>
        <w:ind w:left="1167" w:right="119" w:hanging="1066"/>
        <w:jc w:val="both"/>
      </w:pPr>
      <w:r>
        <w:rPr/>
        <w:t>Solomon, M.E. 1949: The natural control of animal population. - Journal of Animal Ecology 18:</w:t>
      </w:r>
      <w:r>
        <w:rPr>
          <w:spacing w:val="-5"/>
        </w:rPr>
        <w:t> </w:t>
      </w:r>
      <w:r>
        <w:rPr/>
        <w:t>1-35.</w:t>
      </w:r>
    </w:p>
    <w:p>
      <w:pPr>
        <w:pStyle w:val="BodyText"/>
        <w:spacing w:before="10"/>
        <w:ind w:left="102" w:right="20"/>
      </w:pPr>
      <w:r>
        <w:rPr/>
        <w:t>Soria-Díaz, L., Monroy-Vilchis, O., Rodríguez-Soto, C., Zarco-González, M.M.    &amp; Urios,</w:t>
      </w:r>
    </w:p>
    <w:p>
      <w:pPr>
        <w:pStyle w:val="BodyText"/>
      </w:pPr>
    </w:p>
    <w:p>
      <w:pPr>
        <w:pStyle w:val="BodyText"/>
        <w:spacing w:line="480" w:lineRule="auto"/>
        <w:ind w:left="1167" w:right="118"/>
        <w:jc w:val="both"/>
      </w:pPr>
      <w:r>
        <w:rPr/>
        <w:t>V. 2010: Variation of abundance and density of </w:t>
      </w:r>
      <w:r>
        <w:rPr>
          <w:i/>
        </w:rPr>
        <w:t>Puma concolor </w:t>
      </w:r>
      <w:r>
        <w:rPr/>
        <w:t>in zones of high and low concentration of camera trap in Central Mexico. - Animal Biology 60: 361-371.</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7" w:hanging="1066"/>
        <w:jc w:val="both"/>
      </w:pPr>
      <w:r>
        <w:rPr/>
        <w:t>Stenseth, N.C., Falck, W., Bjornstad, O.N. &amp; Krebs, C. 1997: Population regulation in snowshoe hare and Canadian lynx: Asymmetric food web configurations between hare and lynx. - Proc. Natl. Acad. Sci. USA 94: 5147-5152.</w:t>
      </w:r>
    </w:p>
    <w:p>
      <w:pPr>
        <w:pStyle w:val="BodyText"/>
        <w:spacing w:line="480" w:lineRule="auto" w:before="10"/>
        <w:ind w:left="1167" w:right="114" w:hanging="1066"/>
        <w:jc w:val="both"/>
      </w:pPr>
      <w:r>
        <w:rPr/>
        <w:t>Sundararaj, V., McLaren, B.E., Morris, D.W. &amp; Goyal, S.P. 2012: Can rare positive interactions become common when large carnivores consume livestock? - Ecology 93: 272–280.</w:t>
      </w:r>
    </w:p>
    <w:p>
      <w:pPr>
        <w:pStyle w:val="BodyText"/>
        <w:spacing w:line="480" w:lineRule="auto" w:before="10"/>
        <w:ind w:left="1167" w:right="116" w:hanging="1066"/>
        <w:jc w:val="both"/>
      </w:pPr>
      <w:r>
        <w:rPr/>
        <w:t>Sweitzer, R.A., Jenkins, S.H. &amp; Berger, J. 1997: Near extinction of porcupines by mountain lions and consequences for ecosystem change in the Great Basin Desert. - Conservation Biology 11: 1407–1417.</w:t>
      </w:r>
    </w:p>
    <w:p>
      <w:pPr>
        <w:pStyle w:val="BodyText"/>
        <w:spacing w:line="480" w:lineRule="auto" w:before="10"/>
        <w:ind w:left="1167" w:right="118" w:hanging="1066"/>
        <w:jc w:val="both"/>
      </w:pPr>
      <w:r>
        <w:rPr/>
        <w:t>Wittmer, H.U., McLellan, B.N., Seip, D.R., Young, J.A., Kinley, T.A., Watts, G.S. &amp; Hamilton D. 2005a: Population dynamics of the endangered mountain ecotype  of woodland caribou (</w:t>
      </w:r>
      <w:r>
        <w:rPr>
          <w:i/>
        </w:rPr>
        <w:t>Rangifer tarandus caribou</w:t>
      </w:r>
      <w:r>
        <w:rPr/>
        <w:t>) in British Columbia,  </w:t>
      </w:r>
      <w:r>
        <w:rPr>
          <w:spacing w:val="5"/>
        </w:rPr>
        <w:t> </w:t>
      </w:r>
      <w:r>
        <w:rPr/>
        <w:t>Canada.</w:t>
      </w:r>
    </w:p>
    <w:p>
      <w:pPr>
        <w:pStyle w:val="BodyText"/>
        <w:spacing w:before="10"/>
        <w:ind w:left="1167" w:right="197"/>
      </w:pPr>
      <w:r>
        <w:rPr/>
        <w:t>- Canadian Journal of Zoology 83: 407–418.</w:t>
      </w:r>
    </w:p>
    <w:p>
      <w:pPr>
        <w:pStyle w:val="BodyText"/>
      </w:pPr>
    </w:p>
    <w:p>
      <w:pPr>
        <w:pStyle w:val="BodyText"/>
        <w:spacing w:line="480" w:lineRule="auto"/>
        <w:ind w:left="1167" w:right="122" w:hanging="1066"/>
        <w:jc w:val="both"/>
      </w:pPr>
      <w:r>
        <w:rPr/>
        <w:t>Wittmer, H.U., Sinclair, A.R.E., &amp; McLellan, B.N. 2005b: The role of predation in the decline and extirpation of Woodland caribou. - Oecologia 144: 257–267.</w:t>
      </w:r>
    </w:p>
    <w:p>
      <w:pPr>
        <w:pStyle w:val="BodyText"/>
        <w:spacing w:line="480" w:lineRule="auto" w:before="10"/>
        <w:ind w:left="1167" w:right="116" w:hanging="1066"/>
        <w:jc w:val="both"/>
      </w:pPr>
      <w:r>
        <w:rPr/>
        <w:t>Zarco-González, M.M., Monroy-Vilchis, O., Rodríguez-Soto, C. &amp; Urios, V. 2012: Spatial factors and management associated with livestock predations by </w:t>
      </w:r>
      <w:r>
        <w:rPr>
          <w:i/>
        </w:rPr>
        <w:t>Puma concolor </w:t>
      </w:r>
      <w:r>
        <w:rPr/>
        <w:t>in Central Mexico. - Human Ecology 40: 631-638.</w:t>
      </w:r>
    </w:p>
    <w:p>
      <w:pPr>
        <w:pStyle w:val="BodyText"/>
        <w:spacing w:line="480" w:lineRule="auto" w:before="10"/>
        <w:ind w:left="1167" w:right="114" w:hanging="1066"/>
        <w:jc w:val="both"/>
      </w:pPr>
      <w:r>
        <w:rPr/>
        <w:t>Zepeda, C., Monroy-Vilchis, O., Velázquez-Montes, E. &amp; Rodríguez-Soto C. 2008: Primer registro de </w:t>
      </w:r>
      <w:r>
        <w:rPr>
          <w:i/>
        </w:rPr>
        <w:t>Cyathea fulva </w:t>
      </w:r>
      <w:r>
        <w:rPr/>
        <w:t>(Cyatheaceae, Polypodiopsida) en el Estado de México. - Boletín de la Sociedad Botánica Mexicana 83:</w:t>
      </w:r>
      <w:r>
        <w:rPr>
          <w:spacing w:val="-10"/>
        </w:rPr>
        <w:t> </w:t>
      </w:r>
      <w:r>
        <w:rPr/>
        <w:t>93-96.</w:t>
      </w:r>
    </w:p>
    <w:p>
      <w:pPr>
        <w:spacing w:after="0" w:line="480" w:lineRule="auto"/>
        <w:jc w:val="both"/>
        <w:sectPr>
          <w:footerReference w:type="default" r:id="rId31"/>
          <w:pgSz w:w="12240" w:h="15840"/>
          <w:pgMar w:footer="779" w:header="740" w:top="960" w:bottom="960" w:left="1600" w:right="1580"/>
        </w:sectPr>
      </w:pPr>
    </w:p>
    <w:p>
      <w:pPr>
        <w:pStyle w:val="BodyText"/>
        <w:rPr>
          <w:sz w:val="20"/>
        </w:rPr>
      </w:pPr>
    </w:p>
    <w:p>
      <w:pPr>
        <w:pStyle w:val="BodyText"/>
        <w:rPr>
          <w:sz w:val="19"/>
        </w:rPr>
      </w:pPr>
    </w:p>
    <w:p>
      <w:pPr>
        <w:pStyle w:val="BodyText"/>
        <w:spacing w:line="480" w:lineRule="auto"/>
        <w:ind w:left="114" w:right="235"/>
        <w:jc w:val="center"/>
      </w:pPr>
      <w:bookmarkStart w:name="_bookmark24" w:id="29"/>
      <w:bookmarkEnd w:id="29"/>
      <w:r>
        <w:rPr/>
      </w:r>
      <w:r>
        <w:rPr/>
        <w:t>Table 4.1 Quarterly blocks of consumed biomass proportion (BP) and relative abundance index (RIA), once added the value of minimal errors, 0.10 and 0.16 respectively of the main prey in the cougar diet.</w:t>
      </w:r>
    </w:p>
    <w:p>
      <w:pPr>
        <w:pStyle w:val="BodyText"/>
        <w:rPr>
          <w:sz w:val="20"/>
        </w:rPr>
      </w:pPr>
    </w:p>
    <w:p>
      <w:pPr>
        <w:pStyle w:val="BodyText"/>
        <w:spacing w:before="6" w:after="1"/>
        <w:rPr>
          <w:sz w:val="29"/>
        </w:rPr>
      </w:pPr>
    </w:p>
    <w:tbl>
      <w:tblPr>
        <w:tblW w:w="0" w:type="auto"/>
        <w:jc w:val="left"/>
        <w:tblInd w:w="2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05"/>
        <w:gridCol w:w="946"/>
        <w:gridCol w:w="1023"/>
        <w:gridCol w:w="1610"/>
        <w:gridCol w:w="1643"/>
        <w:gridCol w:w="1052"/>
        <w:gridCol w:w="1021"/>
      </w:tblGrid>
      <w:tr>
        <w:trPr>
          <w:trHeight w:val="1402" w:hRule="exact"/>
        </w:trPr>
        <w:tc>
          <w:tcPr>
            <w:tcW w:w="1005" w:type="dxa"/>
            <w:tcBorders>
              <w:left w:val="nil"/>
              <w:right w:val="nil"/>
            </w:tcBorders>
          </w:tcPr>
          <w:p>
            <w:pPr>
              <w:pStyle w:val="TableParagraph"/>
              <w:spacing w:line="477" w:lineRule="auto"/>
              <w:ind w:left="230" w:hanging="120"/>
              <w:jc w:val="left"/>
              <w:rPr>
                <w:sz w:val="20"/>
              </w:rPr>
            </w:pPr>
            <w:r>
              <w:rPr>
                <w:w w:val="95"/>
                <w:sz w:val="20"/>
              </w:rPr>
              <w:t>Sampling </w:t>
            </w:r>
            <w:r>
              <w:rPr>
                <w:sz w:val="20"/>
              </w:rPr>
              <w:t>blocks</w:t>
            </w:r>
          </w:p>
        </w:tc>
        <w:tc>
          <w:tcPr>
            <w:tcW w:w="946" w:type="dxa"/>
            <w:tcBorders>
              <w:left w:val="nil"/>
              <w:right w:val="nil"/>
            </w:tcBorders>
          </w:tcPr>
          <w:p>
            <w:pPr>
              <w:pStyle w:val="TableParagraph"/>
              <w:spacing w:line="226" w:lineRule="exact"/>
              <w:ind w:left="111" w:right="111"/>
              <w:rPr>
                <w:sz w:val="20"/>
              </w:rPr>
            </w:pPr>
            <w:r>
              <w:rPr>
                <w:sz w:val="20"/>
              </w:rPr>
              <w:t>BP coati</w:t>
            </w:r>
          </w:p>
        </w:tc>
        <w:tc>
          <w:tcPr>
            <w:tcW w:w="1023" w:type="dxa"/>
            <w:tcBorders>
              <w:left w:val="nil"/>
              <w:right w:val="nil"/>
            </w:tcBorders>
          </w:tcPr>
          <w:p>
            <w:pPr>
              <w:pStyle w:val="TableParagraph"/>
              <w:spacing w:line="226" w:lineRule="exact"/>
              <w:ind w:left="110" w:right="89"/>
              <w:rPr>
                <w:sz w:val="20"/>
              </w:rPr>
            </w:pPr>
            <w:r>
              <w:rPr>
                <w:sz w:val="20"/>
              </w:rPr>
              <w:t>RIA coati</w:t>
            </w:r>
          </w:p>
        </w:tc>
        <w:tc>
          <w:tcPr>
            <w:tcW w:w="1610" w:type="dxa"/>
            <w:tcBorders>
              <w:left w:val="nil"/>
              <w:right w:val="nil"/>
            </w:tcBorders>
          </w:tcPr>
          <w:p>
            <w:pPr>
              <w:pStyle w:val="TableParagraph"/>
              <w:spacing w:line="226" w:lineRule="exact"/>
              <w:ind w:left="89" w:right="127"/>
              <w:rPr>
                <w:sz w:val="20"/>
              </w:rPr>
            </w:pPr>
            <w:r>
              <w:rPr>
                <w:sz w:val="20"/>
              </w:rPr>
              <w:t>BP</w:t>
            </w:r>
          </w:p>
          <w:p>
            <w:pPr>
              <w:pStyle w:val="TableParagraph"/>
              <w:spacing w:before="9"/>
              <w:jc w:val="left"/>
              <w:rPr>
                <w:sz w:val="19"/>
              </w:rPr>
            </w:pPr>
          </w:p>
          <w:p>
            <w:pPr>
              <w:pStyle w:val="TableParagraph"/>
              <w:spacing w:before="1"/>
              <w:ind w:left="89" w:right="131"/>
              <w:rPr>
                <w:sz w:val="20"/>
              </w:rPr>
            </w:pPr>
            <w:r>
              <w:rPr>
                <w:sz w:val="20"/>
              </w:rPr>
              <w:t>white-tailed deer</w:t>
            </w:r>
          </w:p>
        </w:tc>
        <w:tc>
          <w:tcPr>
            <w:tcW w:w="1643" w:type="dxa"/>
            <w:tcBorders>
              <w:left w:val="nil"/>
              <w:right w:val="nil"/>
            </w:tcBorders>
          </w:tcPr>
          <w:p>
            <w:pPr>
              <w:pStyle w:val="TableParagraph"/>
              <w:spacing w:line="477" w:lineRule="auto"/>
              <w:ind w:left="657" w:right="120" w:hanging="504"/>
              <w:jc w:val="left"/>
              <w:rPr>
                <w:sz w:val="20"/>
              </w:rPr>
            </w:pPr>
            <w:r>
              <w:rPr>
                <w:sz w:val="20"/>
              </w:rPr>
              <w:t>RIA white-tailed deer</w:t>
            </w:r>
          </w:p>
        </w:tc>
        <w:tc>
          <w:tcPr>
            <w:tcW w:w="1052" w:type="dxa"/>
            <w:tcBorders>
              <w:left w:val="nil"/>
              <w:right w:val="nil"/>
            </w:tcBorders>
          </w:tcPr>
          <w:p>
            <w:pPr>
              <w:pStyle w:val="TableParagraph"/>
              <w:spacing w:line="226" w:lineRule="exact"/>
              <w:ind w:left="121" w:right="122"/>
              <w:rPr>
                <w:sz w:val="20"/>
              </w:rPr>
            </w:pPr>
            <w:r>
              <w:rPr>
                <w:sz w:val="20"/>
              </w:rPr>
              <w:t>BP</w:t>
            </w:r>
          </w:p>
          <w:p>
            <w:pPr>
              <w:pStyle w:val="TableParagraph"/>
              <w:spacing w:before="9"/>
              <w:jc w:val="left"/>
              <w:rPr>
                <w:sz w:val="19"/>
              </w:rPr>
            </w:pPr>
          </w:p>
          <w:p>
            <w:pPr>
              <w:pStyle w:val="TableParagraph"/>
              <w:spacing w:before="1"/>
              <w:ind w:left="122" w:right="122"/>
              <w:rPr>
                <w:sz w:val="20"/>
              </w:rPr>
            </w:pPr>
            <w:r>
              <w:rPr>
                <w:sz w:val="20"/>
              </w:rPr>
              <w:t>armadillo</w:t>
            </w:r>
          </w:p>
        </w:tc>
        <w:tc>
          <w:tcPr>
            <w:tcW w:w="1021" w:type="dxa"/>
            <w:tcBorders>
              <w:left w:val="nil"/>
              <w:right w:val="nil"/>
            </w:tcBorders>
          </w:tcPr>
          <w:p>
            <w:pPr>
              <w:pStyle w:val="TableParagraph"/>
              <w:spacing w:line="226" w:lineRule="exact"/>
              <w:ind w:left="123" w:right="87"/>
              <w:rPr>
                <w:sz w:val="20"/>
              </w:rPr>
            </w:pPr>
            <w:r>
              <w:rPr>
                <w:sz w:val="20"/>
              </w:rPr>
              <w:t>RIA</w:t>
            </w:r>
          </w:p>
          <w:p>
            <w:pPr>
              <w:pStyle w:val="TableParagraph"/>
              <w:spacing w:before="9"/>
              <w:jc w:val="left"/>
              <w:rPr>
                <w:sz w:val="19"/>
              </w:rPr>
            </w:pPr>
          </w:p>
          <w:p>
            <w:pPr>
              <w:pStyle w:val="TableParagraph"/>
              <w:spacing w:before="1"/>
              <w:ind w:left="123" w:right="90"/>
              <w:rPr>
                <w:sz w:val="20"/>
              </w:rPr>
            </w:pPr>
            <w:r>
              <w:rPr>
                <w:sz w:val="20"/>
              </w:rPr>
              <w:t>armadillo</w:t>
            </w:r>
          </w:p>
        </w:tc>
      </w:tr>
      <w:tr>
        <w:trPr>
          <w:trHeight w:val="360" w:hRule="exact"/>
        </w:trPr>
        <w:tc>
          <w:tcPr>
            <w:tcW w:w="1005" w:type="dxa"/>
            <w:tcBorders>
              <w:left w:val="nil"/>
              <w:bottom w:val="nil"/>
              <w:right w:val="nil"/>
            </w:tcBorders>
          </w:tcPr>
          <w:p>
            <w:pPr>
              <w:pStyle w:val="TableParagraph"/>
              <w:spacing w:line="224" w:lineRule="exact"/>
              <w:ind w:right="19"/>
              <w:rPr>
                <w:sz w:val="20"/>
              </w:rPr>
            </w:pPr>
            <w:r>
              <w:rPr>
                <w:w w:val="99"/>
                <w:sz w:val="20"/>
              </w:rPr>
              <w:t>1</w:t>
            </w:r>
          </w:p>
        </w:tc>
        <w:tc>
          <w:tcPr>
            <w:tcW w:w="946" w:type="dxa"/>
            <w:tcBorders>
              <w:left w:val="nil"/>
              <w:bottom w:val="nil"/>
              <w:right w:val="nil"/>
            </w:tcBorders>
          </w:tcPr>
          <w:p>
            <w:pPr>
              <w:pStyle w:val="TableParagraph"/>
              <w:spacing w:line="224" w:lineRule="exact"/>
              <w:ind w:left="111" w:right="111"/>
              <w:rPr>
                <w:sz w:val="20"/>
              </w:rPr>
            </w:pPr>
            <w:r>
              <w:rPr>
                <w:sz w:val="20"/>
              </w:rPr>
              <w:t>0.20</w:t>
            </w:r>
          </w:p>
        </w:tc>
        <w:tc>
          <w:tcPr>
            <w:tcW w:w="1023" w:type="dxa"/>
            <w:tcBorders>
              <w:left w:val="nil"/>
              <w:bottom w:val="nil"/>
              <w:right w:val="nil"/>
            </w:tcBorders>
          </w:tcPr>
          <w:p>
            <w:pPr>
              <w:pStyle w:val="TableParagraph"/>
              <w:spacing w:line="224" w:lineRule="exact"/>
              <w:ind w:left="110" w:right="88"/>
              <w:rPr>
                <w:sz w:val="20"/>
              </w:rPr>
            </w:pPr>
            <w:r>
              <w:rPr>
                <w:sz w:val="20"/>
              </w:rPr>
              <w:t>6.35</w:t>
            </w:r>
          </w:p>
        </w:tc>
        <w:tc>
          <w:tcPr>
            <w:tcW w:w="1610" w:type="dxa"/>
            <w:tcBorders>
              <w:left w:val="nil"/>
              <w:bottom w:val="nil"/>
              <w:right w:val="nil"/>
            </w:tcBorders>
          </w:tcPr>
          <w:p>
            <w:pPr>
              <w:pStyle w:val="TableParagraph"/>
              <w:spacing w:line="224" w:lineRule="exact"/>
              <w:ind w:left="608"/>
              <w:jc w:val="left"/>
              <w:rPr>
                <w:sz w:val="20"/>
              </w:rPr>
            </w:pPr>
            <w:r>
              <w:rPr>
                <w:sz w:val="20"/>
              </w:rPr>
              <w:t>0.44</w:t>
            </w:r>
          </w:p>
        </w:tc>
        <w:tc>
          <w:tcPr>
            <w:tcW w:w="1643" w:type="dxa"/>
            <w:tcBorders>
              <w:left w:val="nil"/>
              <w:bottom w:val="nil"/>
              <w:right w:val="nil"/>
            </w:tcBorders>
          </w:tcPr>
          <w:p>
            <w:pPr>
              <w:pStyle w:val="TableParagraph"/>
              <w:spacing w:line="224" w:lineRule="exact"/>
              <w:ind w:left="586" w:right="666"/>
              <w:rPr>
                <w:sz w:val="20"/>
              </w:rPr>
            </w:pPr>
            <w:r>
              <w:rPr>
                <w:sz w:val="20"/>
              </w:rPr>
              <w:t>3.86</w:t>
            </w:r>
          </w:p>
        </w:tc>
        <w:tc>
          <w:tcPr>
            <w:tcW w:w="1052" w:type="dxa"/>
            <w:tcBorders>
              <w:left w:val="nil"/>
              <w:bottom w:val="nil"/>
              <w:right w:val="nil"/>
            </w:tcBorders>
          </w:tcPr>
          <w:p>
            <w:pPr>
              <w:pStyle w:val="TableParagraph"/>
              <w:spacing w:line="224" w:lineRule="exact"/>
              <w:ind w:left="122" w:right="121"/>
              <w:rPr>
                <w:sz w:val="20"/>
              </w:rPr>
            </w:pPr>
            <w:r>
              <w:rPr>
                <w:sz w:val="20"/>
              </w:rPr>
              <w:t>0.10</w:t>
            </w:r>
          </w:p>
        </w:tc>
        <w:tc>
          <w:tcPr>
            <w:tcW w:w="1021" w:type="dxa"/>
            <w:tcBorders>
              <w:left w:val="nil"/>
              <w:bottom w:val="nil"/>
              <w:right w:val="nil"/>
            </w:tcBorders>
          </w:tcPr>
          <w:p>
            <w:pPr>
              <w:pStyle w:val="TableParagraph"/>
              <w:spacing w:line="224" w:lineRule="exact"/>
              <w:ind w:left="123" w:right="86"/>
              <w:rPr>
                <w:sz w:val="20"/>
              </w:rPr>
            </w:pPr>
            <w:r>
              <w:rPr>
                <w:sz w:val="20"/>
              </w:rPr>
              <w:t>0.16</w:t>
            </w:r>
          </w:p>
        </w:tc>
      </w:tr>
      <w:tr>
        <w:trPr>
          <w:trHeight w:val="460" w:hRule="exact"/>
        </w:trPr>
        <w:tc>
          <w:tcPr>
            <w:tcW w:w="1005" w:type="dxa"/>
            <w:tcBorders>
              <w:top w:val="nil"/>
              <w:left w:val="nil"/>
              <w:bottom w:val="nil"/>
              <w:right w:val="nil"/>
            </w:tcBorders>
          </w:tcPr>
          <w:p>
            <w:pPr>
              <w:pStyle w:val="TableParagraph"/>
              <w:spacing w:before="104"/>
              <w:ind w:right="19"/>
              <w:rPr>
                <w:sz w:val="20"/>
              </w:rPr>
            </w:pPr>
            <w:r>
              <w:rPr>
                <w:w w:val="99"/>
                <w:sz w:val="20"/>
              </w:rPr>
              <w:t>2</w:t>
            </w:r>
          </w:p>
        </w:tc>
        <w:tc>
          <w:tcPr>
            <w:tcW w:w="946" w:type="dxa"/>
            <w:tcBorders>
              <w:top w:val="nil"/>
              <w:left w:val="nil"/>
              <w:bottom w:val="nil"/>
              <w:right w:val="nil"/>
            </w:tcBorders>
          </w:tcPr>
          <w:p>
            <w:pPr>
              <w:pStyle w:val="TableParagraph"/>
              <w:spacing w:before="104"/>
              <w:ind w:left="111" w:right="111"/>
              <w:rPr>
                <w:sz w:val="20"/>
              </w:rPr>
            </w:pPr>
            <w:r>
              <w:rPr>
                <w:sz w:val="20"/>
              </w:rPr>
              <w:t>0.30</w:t>
            </w:r>
          </w:p>
        </w:tc>
        <w:tc>
          <w:tcPr>
            <w:tcW w:w="1023" w:type="dxa"/>
            <w:tcBorders>
              <w:top w:val="nil"/>
              <w:left w:val="nil"/>
              <w:bottom w:val="nil"/>
              <w:right w:val="nil"/>
            </w:tcBorders>
          </w:tcPr>
          <w:p>
            <w:pPr>
              <w:pStyle w:val="TableParagraph"/>
              <w:spacing w:before="104"/>
              <w:ind w:left="110" w:right="88"/>
              <w:rPr>
                <w:sz w:val="20"/>
              </w:rPr>
            </w:pPr>
            <w:r>
              <w:rPr>
                <w:sz w:val="20"/>
              </w:rPr>
              <w:t>2.06</w:t>
            </w:r>
          </w:p>
        </w:tc>
        <w:tc>
          <w:tcPr>
            <w:tcW w:w="1610" w:type="dxa"/>
            <w:tcBorders>
              <w:top w:val="nil"/>
              <w:left w:val="nil"/>
              <w:bottom w:val="nil"/>
              <w:right w:val="nil"/>
            </w:tcBorders>
          </w:tcPr>
          <w:p>
            <w:pPr>
              <w:pStyle w:val="TableParagraph"/>
              <w:spacing w:before="104"/>
              <w:ind w:left="608"/>
              <w:jc w:val="left"/>
              <w:rPr>
                <w:sz w:val="20"/>
              </w:rPr>
            </w:pPr>
            <w:r>
              <w:rPr>
                <w:sz w:val="20"/>
              </w:rPr>
              <w:t>0.36</w:t>
            </w:r>
          </w:p>
        </w:tc>
        <w:tc>
          <w:tcPr>
            <w:tcW w:w="1643" w:type="dxa"/>
            <w:tcBorders>
              <w:top w:val="nil"/>
              <w:left w:val="nil"/>
              <w:bottom w:val="nil"/>
              <w:right w:val="nil"/>
            </w:tcBorders>
          </w:tcPr>
          <w:p>
            <w:pPr>
              <w:pStyle w:val="TableParagraph"/>
              <w:spacing w:before="104"/>
              <w:ind w:left="586" w:right="666"/>
              <w:rPr>
                <w:sz w:val="20"/>
              </w:rPr>
            </w:pPr>
            <w:r>
              <w:rPr>
                <w:sz w:val="20"/>
              </w:rPr>
              <w:t>0.16</w:t>
            </w:r>
          </w:p>
        </w:tc>
        <w:tc>
          <w:tcPr>
            <w:tcW w:w="1052" w:type="dxa"/>
            <w:tcBorders>
              <w:top w:val="nil"/>
              <w:left w:val="nil"/>
              <w:bottom w:val="nil"/>
              <w:right w:val="nil"/>
            </w:tcBorders>
          </w:tcPr>
          <w:p>
            <w:pPr>
              <w:pStyle w:val="TableParagraph"/>
              <w:spacing w:before="104"/>
              <w:ind w:left="122" w:right="121"/>
              <w:rPr>
                <w:sz w:val="20"/>
              </w:rPr>
            </w:pPr>
            <w:r>
              <w:rPr>
                <w:sz w:val="20"/>
              </w:rPr>
              <w:t>0.10</w:t>
            </w:r>
          </w:p>
        </w:tc>
        <w:tc>
          <w:tcPr>
            <w:tcW w:w="1021" w:type="dxa"/>
            <w:tcBorders>
              <w:top w:val="nil"/>
              <w:left w:val="nil"/>
              <w:bottom w:val="nil"/>
              <w:right w:val="nil"/>
            </w:tcBorders>
          </w:tcPr>
          <w:p>
            <w:pPr>
              <w:pStyle w:val="TableParagraph"/>
              <w:spacing w:before="104"/>
              <w:ind w:left="123" w:right="86"/>
              <w:rPr>
                <w:sz w:val="20"/>
              </w:rPr>
            </w:pPr>
            <w:r>
              <w:rPr>
                <w:sz w:val="20"/>
              </w:rPr>
              <w:t>0.16</w:t>
            </w:r>
          </w:p>
        </w:tc>
      </w:tr>
      <w:tr>
        <w:trPr>
          <w:trHeight w:val="460" w:hRule="exact"/>
        </w:trPr>
        <w:tc>
          <w:tcPr>
            <w:tcW w:w="1005" w:type="dxa"/>
            <w:tcBorders>
              <w:top w:val="nil"/>
              <w:left w:val="nil"/>
              <w:bottom w:val="nil"/>
              <w:right w:val="nil"/>
            </w:tcBorders>
          </w:tcPr>
          <w:p>
            <w:pPr>
              <w:pStyle w:val="TableParagraph"/>
              <w:spacing w:before="103"/>
              <w:ind w:right="19"/>
              <w:rPr>
                <w:sz w:val="20"/>
              </w:rPr>
            </w:pPr>
            <w:r>
              <w:rPr>
                <w:w w:val="99"/>
                <w:sz w:val="20"/>
              </w:rPr>
              <w:t>3</w:t>
            </w:r>
          </w:p>
        </w:tc>
        <w:tc>
          <w:tcPr>
            <w:tcW w:w="946" w:type="dxa"/>
            <w:tcBorders>
              <w:top w:val="nil"/>
              <w:left w:val="nil"/>
              <w:bottom w:val="nil"/>
              <w:right w:val="nil"/>
            </w:tcBorders>
          </w:tcPr>
          <w:p>
            <w:pPr>
              <w:pStyle w:val="TableParagraph"/>
              <w:spacing w:before="103"/>
              <w:ind w:left="111" w:right="111"/>
              <w:rPr>
                <w:sz w:val="20"/>
              </w:rPr>
            </w:pPr>
            <w:r>
              <w:rPr>
                <w:sz w:val="20"/>
              </w:rPr>
              <w:t>0.16</w:t>
            </w:r>
          </w:p>
        </w:tc>
        <w:tc>
          <w:tcPr>
            <w:tcW w:w="1023" w:type="dxa"/>
            <w:tcBorders>
              <w:top w:val="nil"/>
              <w:left w:val="nil"/>
              <w:bottom w:val="nil"/>
              <w:right w:val="nil"/>
            </w:tcBorders>
          </w:tcPr>
          <w:p>
            <w:pPr>
              <w:pStyle w:val="TableParagraph"/>
              <w:spacing w:before="103"/>
              <w:ind w:left="110" w:right="88"/>
              <w:rPr>
                <w:sz w:val="20"/>
              </w:rPr>
            </w:pPr>
            <w:r>
              <w:rPr>
                <w:sz w:val="20"/>
              </w:rPr>
              <w:t>3.20</w:t>
            </w:r>
          </w:p>
        </w:tc>
        <w:tc>
          <w:tcPr>
            <w:tcW w:w="1610" w:type="dxa"/>
            <w:tcBorders>
              <w:top w:val="nil"/>
              <w:left w:val="nil"/>
              <w:bottom w:val="nil"/>
              <w:right w:val="nil"/>
            </w:tcBorders>
          </w:tcPr>
          <w:p>
            <w:pPr>
              <w:pStyle w:val="TableParagraph"/>
              <w:spacing w:before="103"/>
              <w:ind w:left="608"/>
              <w:jc w:val="left"/>
              <w:rPr>
                <w:sz w:val="20"/>
              </w:rPr>
            </w:pPr>
            <w:r>
              <w:rPr>
                <w:sz w:val="20"/>
              </w:rPr>
              <w:t>0.10</w:t>
            </w:r>
          </w:p>
        </w:tc>
        <w:tc>
          <w:tcPr>
            <w:tcW w:w="1643" w:type="dxa"/>
            <w:tcBorders>
              <w:top w:val="nil"/>
              <w:left w:val="nil"/>
              <w:bottom w:val="nil"/>
              <w:right w:val="nil"/>
            </w:tcBorders>
          </w:tcPr>
          <w:p>
            <w:pPr>
              <w:pStyle w:val="TableParagraph"/>
              <w:spacing w:before="103"/>
              <w:ind w:left="586" w:right="666"/>
              <w:rPr>
                <w:sz w:val="20"/>
              </w:rPr>
            </w:pPr>
            <w:r>
              <w:rPr>
                <w:sz w:val="20"/>
              </w:rPr>
              <w:t>1.53</w:t>
            </w:r>
          </w:p>
        </w:tc>
        <w:tc>
          <w:tcPr>
            <w:tcW w:w="1052" w:type="dxa"/>
            <w:tcBorders>
              <w:top w:val="nil"/>
              <w:left w:val="nil"/>
              <w:bottom w:val="nil"/>
              <w:right w:val="nil"/>
            </w:tcBorders>
          </w:tcPr>
          <w:p>
            <w:pPr>
              <w:pStyle w:val="TableParagraph"/>
              <w:spacing w:before="103"/>
              <w:ind w:left="122" w:right="121"/>
              <w:rPr>
                <w:sz w:val="20"/>
              </w:rPr>
            </w:pPr>
            <w:r>
              <w:rPr>
                <w:sz w:val="20"/>
              </w:rPr>
              <w:t>0.38</w:t>
            </w:r>
          </w:p>
        </w:tc>
        <w:tc>
          <w:tcPr>
            <w:tcW w:w="1021" w:type="dxa"/>
            <w:tcBorders>
              <w:top w:val="nil"/>
              <w:left w:val="nil"/>
              <w:bottom w:val="nil"/>
              <w:right w:val="nil"/>
            </w:tcBorders>
          </w:tcPr>
          <w:p>
            <w:pPr>
              <w:pStyle w:val="TableParagraph"/>
              <w:spacing w:before="103"/>
              <w:ind w:left="123" w:right="86"/>
              <w:rPr>
                <w:sz w:val="20"/>
              </w:rPr>
            </w:pPr>
            <w:r>
              <w:rPr>
                <w:sz w:val="20"/>
              </w:rPr>
              <w:t>0.38</w:t>
            </w:r>
          </w:p>
        </w:tc>
      </w:tr>
      <w:tr>
        <w:trPr>
          <w:trHeight w:val="461" w:hRule="exact"/>
        </w:trPr>
        <w:tc>
          <w:tcPr>
            <w:tcW w:w="1005" w:type="dxa"/>
            <w:tcBorders>
              <w:top w:val="nil"/>
              <w:left w:val="nil"/>
              <w:bottom w:val="nil"/>
              <w:right w:val="nil"/>
            </w:tcBorders>
          </w:tcPr>
          <w:p>
            <w:pPr>
              <w:pStyle w:val="TableParagraph"/>
              <w:spacing w:before="104"/>
              <w:ind w:right="19"/>
              <w:rPr>
                <w:sz w:val="20"/>
              </w:rPr>
            </w:pPr>
            <w:r>
              <w:rPr>
                <w:w w:val="99"/>
                <w:sz w:val="20"/>
              </w:rPr>
              <w:t>4</w:t>
            </w:r>
          </w:p>
        </w:tc>
        <w:tc>
          <w:tcPr>
            <w:tcW w:w="946" w:type="dxa"/>
            <w:tcBorders>
              <w:top w:val="nil"/>
              <w:left w:val="nil"/>
              <w:bottom w:val="nil"/>
              <w:right w:val="nil"/>
            </w:tcBorders>
          </w:tcPr>
          <w:p>
            <w:pPr>
              <w:pStyle w:val="TableParagraph"/>
              <w:spacing w:before="104"/>
              <w:ind w:left="111" w:right="111"/>
              <w:rPr>
                <w:sz w:val="20"/>
              </w:rPr>
            </w:pPr>
            <w:r>
              <w:rPr>
                <w:sz w:val="20"/>
              </w:rPr>
              <w:t>0.44</w:t>
            </w:r>
          </w:p>
        </w:tc>
        <w:tc>
          <w:tcPr>
            <w:tcW w:w="1023" w:type="dxa"/>
            <w:tcBorders>
              <w:top w:val="nil"/>
              <w:left w:val="nil"/>
              <w:bottom w:val="nil"/>
              <w:right w:val="nil"/>
            </w:tcBorders>
          </w:tcPr>
          <w:p>
            <w:pPr>
              <w:pStyle w:val="TableParagraph"/>
              <w:spacing w:before="104"/>
              <w:ind w:left="110" w:right="88"/>
              <w:rPr>
                <w:sz w:val="20"/>
              </w:rPr>
            </w:pPr>
            <w:r>
              <w:rPr>
                <w:sz w:val="20"/>
              </w:rPr>
              <w:t>10.95</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5"/>
              <w:rPr>
                <w:sz w:val="20"/>
              </w:rPr>
            </w:pPr>
            <w:r>
              <w:rPr>
                <w:sz w:val="20"/>
              </w:rPr>
              <w:t>4.40</w:t>
            </w:r>
          </w:p>
        </w:tc>
        <w:tc>
          <w:tcPr>
            <w:tcW w:w="1052" w:type="dxa"/>
            <w:tcBorders>
              <w:top w:val="nil"/>
              <w:left w:val="nil"/>
              <w:bottom w:val="nil"/>
              <w:right w:val="nil"/>
            </w:tcBorders>
          </w:tcPr>
          <w:p>
            <w:pPr>
              <w:pStyle w:val="TableParagraph"/>
              <w:spacing w:before="104"/>
              <w:ind w:left="122" w:right="121"/>
              <w:rPr>
                <w:sz w:val="20"/>
              </w:rPr>
            </w:pPr>
            <w:r>
              <w:rPr>
                <w:sz w:val="20"/>
              </w:rPr>
              <w:t>0.48</w:t>
            </w:r>
          </w:p>
        </w:tc>
        <w:tc>
          <w:tcPr>
            <w:tcW w:w="1021" w:type="dxa"/>
            <w:tcBorders>
              <w:top w:val="nil"/>
              <w:left w:val="nil"/>
              <w:bottom w:val="nil"/>
              <w:right w:val="nil"/>
            </w:tcBorders>
          </w:tcPr>
          <w:p>
            <w:pPr>
              <w:pStyle w:val="TableParagraph"/>
              <w:spacing w:before="104"/>
              <w:ind w:left="123" w:right="86"/>
              <w:rPr>
                <w:sz w:val="20"/>
              </w:rPr>
            </w:pPr>
            <w:r>
              <w:rPr>
                <w:sz w:val="20"/>
              </w:rPr>
              <w:t>0.16</w:t>
            </w:r>
          </w:p>
        </w:tc>
      </w:tr>
      <w:tr>
        <w:trPr>
          <w:trHeight w:val="460" w:hRule="exact"/>
        </w:trPr>
        <w:tc>
          <w:tcPr>
            <w:tcW w:w="1005" w:type="dxa"/>
            <w:tcBorders>
              <w:top w:val="nil"/>
              <w:left w:val="nil"/>
              <w:bottom w:val="nil"/>
              <w:right w:val="nil"/>
            </w:tcBorders>
          </w:tcPr>
          <w:p>
            <w:pPr>
              <w:pStyle w:val="TableParagraph"/>
              <w:spacing w:before="104"/>
              <w:ind w:right="19"/>
              <w:rPr>
                <w:sz w:val="20"/>
              </w:rPr>
            </w:pPr>
            <w:r>
              <w:rPr>
                <w:w w:val="99"/>
                <w:sz w:val="20"/>
              </w:rPr>
              <w:t>5</w:t>
            </w:r>
          </w:p>
        </w:tc>
        <w:tc>
          <w:tcPr>
            <w:tcW w:w="946" w:type="dxa"/>
            <w:tcBorders>
              <w:top w:val="nil"/>
              <w:left w:val="nil"/>
              <w:bottom w:val="nil"/>
              <w:right w:val="nil"/>
            </w:tcBorders>
          </w:tcPr>
          <w:p>
            <w:pPr>
              <w:pStyle w:val="TableParagraph"/>
              <w:spacing w:before="104"/>
              <w:ind w:left="111" w:right="111"/>
              <w:rPr>
                <w:sz w:val="20"/>
              </w:rPr>
            </w:pPr>
            <w:r>
              <w:rPr>
                <w:sz w:val="20"/>
              </w:rPr>
              <w:t>0.43</w:t>
            </w:r>
          </w:p>
        </w:tc>
        <w:tc>
          <w:tcPr>
            <w:tcW w:w="1023" w:type="dxa"/>
            <w:tcBorders>
              <w:top w:val="nil"/>
              <w:left w:val="nil"/>
              <w:bottom w:val="nil"/>
              <w:right w:val="nil"/>
            </w:tcBorders>
          </w:tcPr>
          <w:p>
            <w:pPr>
              <w:pStyle w:val="TableParagraph"/>
              <w:spacing w:before="104"/>
              <w:ind w:left="110" w:right="88"/>
              <w:rPr>
                <w:sz w:val="20"/>
              </w:rPr>
            </w:pPr>
            <w:r>
              <w:rPr>
                <w:sz w:val="20"/>
              </w:rPr>
              <w:t>4.20</w:t>
            </w:r>
          </w:p>
        </w:tc>
        <w:tc>
          <w:tcPr>
            <w:tcW w:w="1610" w:type="dxa"/>
            <w:tcBorders>
              <w:top w:val="nil"/>
              <w:left w:val="nil"/>
              <w:bottom w:val="nil"/>
              <w:right w:val="nil"/>
            </w:tcBorders>
          </w:tcPr>
          <w:p>
            <w:pPr>
              <w:pStyle w:val="TableParagraph"/>
              <w:spacing w:before="104"/>
              <w:ind w:left="608"/>
              <w:jc w:val="left"/>
              <w:rPr>
                <w:sz w:val="20"/>
              </w:rPr>
            </w:pPr>
            <w:r>
              <w:rPr>
                <w:sz w:val="20"/>
              </w:rPr>
              <w:t>0.45</w:t>
            </w:r>
          </w:p>
        </w:tc>
        <w:tc>
          <w:tcPr>
            <w:tcW w:w="1643" w:type="dxa"/>
            <w:tcBorders>
              <w:top w:val="nil"/>
              <w:left w:val="nil"/>
              <w:bottom w:val="nil"/>
              <w:right w:val="nil"/>
            </w:tcBorders>
          </w:tcPr>
          <w:p>
            <w:pPr>
              <w:pStyle w:val="TableParagraph"/>
              <w:spacing w:before="104"/>
              <w:ind w:left="586" w:right="666"/>
              <w:rPr>
                <w:sz w:val="20"/>
              </w:rPr>
            </w:pPr>
            <w:r>
              <w:rPr>
                <w:sz w:val="20"/>
              </w:rPr>
              <w:t>1.54</w:t>
            </w:r>
          </w:p>
        </w:tc>
        <w:tc>
          <w:tcPr>
            <w:tcW w:w="1052" w:type="dxa"/>
            <w:tcBorders>
              <w:top w:val="nil"/>
              <w:left w:val="nil"/>
              <w:bottom w:val="nil"/>
              <w:right w:val="nil"/>
            </w:tcBorders>
          </w:tcPr>
          <w:p>
            <w:pPr>
              <w:pStyle w:val="TableParagraph"/>
              <w:spacing w:before="104"/>
              <w:ind w:left="122" w:right="121"/>
              <w:rPr>
                <w:sz w:val="20"/>
              </w:rPr>
            </w:pPr>
            <w:r>
              <w:rPr>
                <w:sz w:val="20"/>
              </w:rPr>
              <w:t>0.43</w:t>
            </w:r>
          </w:p>
        </w:tc>
        <w:tc>
          <w:tcPr>
            <w:tcW w:w="1021" w:type="dxa"/>
            <w:tcBorders>
              <w:top w:val="nil"/>
              <w:left w:val="nil"/>
              <w:bottom w:val="nil"/>
              <w:right w:val="nil"/>
            </w:tcBorders>
          </w:tcPr>
          <w:p>
            <w:pPr>
              <w:pStyle w:val="TableParagraph"/>
              <w:spacing w:before="104"/>
              <w:ind w:left="123" w:right="86"/>
              <w:rPr>
                <w:sz w:val="20"/>
              </w:rPr>
            </w:pPr>
            <w:r>
              <w:rPr>
                <w:sz w:val="20"/>
              </w:rPr>
              <w:t>0.16</w:t>
            </w:r>
          </w:p>
        </w:tc>
      </w:tr>
      <w:tr>
        <w:trPr>
          <w:trHeight w:val="460" w:hRule="exact"/>
        </w:trPr>
        <w:tc>
          <w:tcPr>
            <w:tcW w:w="1005" w:type="dxa"/>
            <w:tcBorders>
              <w:top w:val="nil"/>
              <w:left w:val="nil"/>
              <w:bottom w:val="nil"/>
              <w:right w:val="nil"/>
            </w:tcBorders>
          </w:tcPr>
          <w:p>
            <w:pPr>
              <w:pStyle w:val="TableParagraph"/>
              <w:spacing w:before="103"/>
              <w:ind w:right="19"/>
              <w:rPr>
                <w:sz w:val="20"/>
              </w:rPr>
            </w:pPr>
            <w:r>
              <w:rPr>
                <w:w w:val="99"/>
                <w:sz w:val="20"/>
              </w:rPr>
              <w:t>6</w:t>
            </w:r>
          </w:p>
        </w:tc>
        <w:tc>
          <w:tcPr>
            <w:tcW w:w="946" w:type="dxa"/>
            <w:tcBorders>
              <w:top w:val="nil"/>
              <w:left w:val="nil"/>
              <w:bottom w:val="nil"/>
              <w:right w:val="nil"/>
            </w:tcBorders>
          </w:tcPr>
          <w:p>
            <w:pPr>
              <w:pStyle w:val="TableParagraph"/>
              <w:spacing w:before="103"/>
              <w:ind w:left="111" w:right="111"/>
              <w:rPr>
                <w:sz w:val="20"/>
              </w:rPr>
            </w:pPr>
            <w:r>
              <w:rPr>
                <w:sz w:val="20"/>
              </w:rPr>
              <w:t>0.27</w:t>
            </w:r>
          </w:p>
        </w:tc>
        <w:tc>
          <w:tcPr>
            <w:tcW w:w="1023" w:type="dxa"/>
            <w:tcBorders>
              <w:top w:val="nil"/>
              <w:left w:val="nil"/>
              <w:bottom w:val="nil"/>
              <w:right w:val="nil"/>
            </w:tcBorders>
          </w:tcPr>
          <w:p>
            <w:pPr>
              <w:pStyle w:val="TableParagraph"/>
              <w:spacing w:before="103"/>
              <w:ind w:left="110" w:right="88"/>
              <w:rPr>
                <w:sz w:val="20"/>
              </w:rPr>
            </w:pPr>
            <w:r>
              <w:rPr>
                <w:sz w:val="20"/>
              </w:rPr>
              <w:t>2.93</w:t>
            </w:r>
          </w:p>
        </w:tc>
        <w:tc>
          <w:tcPr>
            <w:tcW w:w="1610" w:type="dxa"/>
            <w:tcBorders>
              <w:top w:val="nil"/>
              <w:left w:val="nil"/>
              <w:bottom w:val="nil"/>
              <w:right w:val="nil"/>
            </w:tcBorders>
          </w:tcPr>
          <w:p>
            <w:pPr>
              <w:pStyle w:val="TableParagraph"/>
              <w:spacing w:before="103"/>
              <w:ind w:left="608"/>
              <w:jc w:val="left"/>
              <w:rPr>
                <w:sz w:val="20"/>
              </w:rPr>
            </w:pPr>
            <w:r>
              <w:rPr>
                <w:sz w:val="20"/>
              </w:rPr>
              <w:t>0.10</w:t>
            </w:r>
          </w:p>
        </w:tc>
        <w:tc>
          <w:tcPr>
            <w:tcW w:w="1643" w:type="dxa"/>
            <w:tcBorders>
              <w:top w:val="nil"/>
              <w:left w:val="nil"/>
              <w:bottom w:val="nil"/>
              <w:right w:val="nil"/>
            </w:tcBorders>
          </w:tcPr>
          <w:p>
            <w:pPr>
              <w:pStyle w:val="TableParagraph"/>
              <w:spacing w:before="103"/>
              <w:ind w:left="586" w:right="666"/>
              <w:rPr>
                <w:sz w:val="20"/>
              </w:rPr>
            </w:pPr>
            <w:r>
              <w:rPr>
                <w:sz w:val="20"/>
              </w:rPr>
              <w:t>0.16</w:t>
            </w:r>
          </w:p>
        </w:tc>
        <w:tc>
          <w:tcPr>
            <w:tcW w:w="1052" w:type="dxa"/>
            <w:tcBorders>
              <w:top w:val="nil"/>
              <w:left w:val="nil"/>
              <w:bottom w:val="nil"/>
              <w:right w:val="nil"/>
            </w:tcBorders>
          </w:tcPr>
          <w:p>
            <w:pPr>
              <w:pStyle w:val="TableParagraph"/>
              <w:spacing w:before="103"/>
              <w:ind w:left="122" w:right="121"/>
              <w:rPr>
                <w:sz w:val="20"/>
              </w:rPr>
            </w:pPr>
            <w:r>
              <w:rPr>
                <w:sz w:val="20"/>
              </w:rPr>
              <w:t>0.76</w:t>
            </w:r>
          </w:p>
        </w:tc>
        <w:tc>
          <w:tcPr>
            <w:tcW w:w="1021" w:type="dxa"/>
            <w:tcBorders>
              <w:top w:val="nil"/>
              <w:left w:val="nil"/>
              <w:bottom w:val="nil"/>
              <w:right w:val="nil"/>
            </w:tcBorders>
          </w:tcPr>
          <w:p>
            <w:pPr>
              <w:pStyle w:val="TableParagraph"/>
              <w:spacing w:before="103"/>
              <w:ind w:left="123" w:right="86"/>
              <w:rPr>
                <w:sz w:val="20"/>
              </w:rPr>
            </w:pPr>
            <w:r>
              <w:rPr>
                <w:sz w:val="20"/>
              </w:rPr>
              <w:t>0.50</w:t>
            </w:r>
          </w:p>
        </w:tc>
      </w:tr>
      <w:tr>
        <w:trPr>
          <w:trHeight w:val="461" w:hRule="exact"/>
        </w:trPr>
        <w:tc>
          <w:tcPr>
            <w:tcW w:w="1005" w:type="dxa"/>
            <w:tcBorders>
              <w:top w:val="nil"/>
              <w:left w:val="nil"/>
              <w:bottom w:val="nil"/>
              <w:right w:val="nil"/>
            </w:tcBorders>
          </w:tcPr>
          <w:p>
            <w:pPr>
              <w:pStyle w:val="TableParagraph"/>
              <w:spacing w:before="104"/>
              <w:ind w:right="19"/>
              <w:rPr>
                <w:sz w:val="20"/>
              </w:rPr>
            </w:pPr>
            <w:r>
              <w:rPr>
                <w:w w:val="99"/>
                <w:sz w:val="20"/>
              </w:rPr>
              <w:t>7</w:t>
            </w:r>
          </w:p>
        </w:tc>
        <w:tc>
          <w:tcPr>
            <w:tcW w:w="946" w:type="dxa"/>
            <w:tcBorders>
              <w:top w:val="nil"/>
              <w:left w:val="nil"/>
              <w:bottom w:val="nil"/>
              <w:right w:val="nil"/>
            </w:tcBorders>
          </w:tcPr>
          <w:p>
            <w:pPr>
              <w:pStyle w:val="TableParagraph"/>
              <w:spacing w:before="104"/>
              <w:ind w:left="111" w:right="111"/>
              <w:rPr>
                <w:sz w:val="20"/>
              </w:rPr>
            </w:pPr>
            <w:r>
              <w:rPr>
                <w:sz w:val="20"/>
              </w:rPr>
              <w:t>0.49</w:t>
            </w:r>
          </w:p>
        </w:tc>
        <w:tc>
          <w:tcPr>
            <w:tcW w:w="1023" w:type="dxa"/>
            <w:tcBorders>
              <w:top w:val="nil"/>
              <w:left w:val="nil"/>
              <w:bottom w:val="nil"/>
              <w:right w:val="nil"/>
            </w:tcBorders>
          </w:tcPr>
          <w:p>
            <w:pPr>
              <w:pStyle w:val="TableParagraph"/>
              <w:spacing w:before="104"/>
              <w:ind w:left="110" w:right="88"/>
              <w:rPr>
                <w:sz w:val="20"/>
              </w:rPr>
            </w:pPr>
            <w:r>
              <w:rPr>
                <w:sz w:val="20"/>
              </w:rPr>
              <w:t>1.23</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6"/>
              <w:rPr>
                <w:sz w:val="20"/>
              </w:rPr>
            </w:pPr>
            <w:r>
              <w:rPr>
                <w:sz w:val="20"/>
              </w:rPr>
              <w:t>1.53</w:t>
            </w:r>
          </w:p>
        </w:tc>
        <w:tc>
          <w:tcPr>
            <w:tcW w:w="1052" w:type="dxa"/>
            <w:tcBorders>
              <w:top w:val="nil"/>
              <w:left w:val="nil"/>
              <w:bottom w:val="nil"/>
              <w:right w:val="nil"/>
            </w:tcBorders>
          </w:tcPr>
          <w:p>
            <w:pPr>
              <w:pStyle w:val="TableParagraph"/>
              <w:spacing w:before="104"/>
              <w:ind w:left="122" w:right="121"/>
              <w:rPr>
                <w:sz w:val="20"/>
              </w:rPr>
            </w:pPr>
            <w:r>
              <w:rPr>
                <w:sz w:val="20"/>
              </w:rPr>
              <w:t>0.7</w:t>
            </w:r>
          </w:p>
        </w:tc>
        <w:tc>
          <w:tcPr>
            <w:tcW w:w="1021" w:type="dxa"/>
            <w:tcBorders>
              <w:top w:val="nil"/>
              <w:left w:val="nil"/>
              <w:bottom w:val="nil"/>
              <w:right w:val="nil"/>
            </w:tcBorders>
          </w:tcPr>
          <w:p>
            <w:pPr>
              <w:pStyle w:val="TableParagraph"/>
              <w:spacing w:before="104"/>
              <w:ind w:left="123" w:right="86"/>
              <w:rPr>
                <w:sz w:val="20"/>
              </w:rPr>
            </w:pPr>
            <w:r>
              <w:rPr>
                <w:sz w:val="20"/>
              </w:rPr>
              <w:t>0.50</w:t>
            </w:r>
          </w:p>
        </w:tc>
      </w:tr>
      <w:tr>
        <w:trPr>
          <w:trHeight w:val="460" w:hRule="exact"/>
        </w:trPr>
        <w:tc>
          <w:tcPr>
            <w:tcW w:w="1005" w:type="dxa"/>
            <w:tcBorders>
              <w:top w:val="nil"/>
              <w:left w:val="nil"/>
              <w:bottom w:val="nil"/>
              <w:right w:val="nil"/>
            </w:tcBorders>
          </w:tcPr>
          <w:p>
            <w:pPr>
              <w:pStyle w:val="TableParagraph"/>
              <w:spacing w:before="104"/>
              <w:ind w:right="19"/>
              <w:rPr>
                <w:sz w:val="20"/>
              </w:rPr>
            </w:pPr>
            <w:r>
              <w:rPr>
                <w:w w:val="99"/>
                <w:sz w:val="20"/>
              </w:rPr>
              <w:t>8</w:t>
            </w:r>
          </w:p>
        </w:tc>
        <w:tc>
          <w:tcPr>
            <w:tcW w:w="946" w:type="dxa"/>
            <w:tcBorders>
              <w:top w:val="nil"/>
              <w:left w:val="nil"/>
              <w:bottom w:val="nil"/>
              <w:right w:val="nil"/>
            </w:tcBorders>
          </w:tcPr>
          <w:p>
            <w:pPr>
              <w:pStyle w:val="TableParagraph"/>
              <w:spacing w:before="104"/>
              <w:ind w:left="111" w:right="111"/>
              <w:rPr>
                <w:sz w:val="20"/>
              </w:rPr>
            </w:pPr>
            <w:r>
              <w:rPr>
                <w:sz w:val="20"/>
              </w:rPr>
              <w:t>0.35</w:t>
            </w:r>
          </w:p>
        </w:tc>
        <w:tc>
          <w:tcPr>
            <w:tcW w:w="1023" w:type="dxa"/>
            <w:tcBorders>
              <w:top w:val="nil"/>
              <w:left w:val="nil"/>
              <w:bottom w:val="nil"/>
              <w:right w:val="nil"/>
            </w:tcBorders>
          </w:tcPr>
          <w:p>
            <w:pPr>
              <w:pStyle w:val="TableParagraph"/>
              <w:spacing w:before="104"/>
              <w:ind w:left="110" w:right="88"/>
              <w:rPr>
                <w:sz w:val="20"/>
              </w:rPr>
            </w:pPr>
            <w:r>
              <w:rPr>
                <w:sz w:val="20"/>
              </w:rPr>
              <w:t>1.23</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6"/>
              <w:rPr>
                <w:sz w:val="20"/>
              </w:rPr>
            </w:pPr>
            <w:r>
              <w:rPr>
                <w:sz w:val="20"/>
              </w:rPr>
              <w:t>2.16</w:t>
            </w:r>
          </w:p>
        </w:tc>
        <w:tc>
          <w:tcPr>
            <w:tcW w:w="1052" w:type="dxa"/>
            <w:tcBorders>
              <w:top w:val="nil"/>
              <w:left w:val="nil"/>
              <w:bottom w:val="nil"/>
              <w:right w:val="nil"/>
            </w:tcBorders>
          </w:tcPr>
          <w:p>
            <w:pPr>
              <w:pStyle w:val="TableParagraph"/>
              <w:spacing w:before="104"/>
              <w:ind w:left="122" w:right="121"/>
              <w:rPr>
                <w:sz w:val="20"/>
              </w:rPr>
            </w:pPr>
            <w:r>
              <w:rPr>
                <w:sz w:val="20"/>
              </w:rPr>
              <w:t>0.84</w:t>
            </w:r>
          </w:p>
        </w:tc>
        <w:tc>
          <w:tcPr>
            <w:tcW w:w="1021" w:type="dxa"/>
            <w:tcBorders>
              <w:top w:val="nil"/>
              <w:left w:val="nil"/>
              <w:bottom w:val="nil"/>
              <w:right w:val="nil"/>
            </w:tcBorders>
          </w:tcPr>
          <w:p>
            <w:pPr>
              <w:pStyle w:val="TableParagraph"/>
              <w:spacing w:before="104"/>
              <w:ind w:left="123" w:right="86"/>
              <w:rPr>
                <w:sz w:val="20"/>
              </w:rPr>
            </w:pPr>
            <w:r>
              <w:rPr>
                <w:sz w:val="20"/>
              </w:rPr>
              <w:t>0.85</w:t>
            </w:r>
          </w:p>
        </w:tc>
      </w:tr>
      <w:tr>
        <w:trPr>
          <w:trHeight w:val="460" w:hRule="exact"/>
        </w:trPr>
        <w:tc>
          <w:tcPr>
            <w:tcW w:w="1005" w:type="dxa"/>
            <w:tcBorders>
              <w:top w:val="nil"/>
              <w:left w:val="nil"/>
              <w:bottom w:val="nil"/>
              <w:right w:val="nil"/>
            </w:tcBorders>
          </w:tcPr>
          <w:p>
            <w:pPr>
              <w:pStyle w:val="TableParagraph"/>
              <w:spacing w:before="103"/>
              <w:ind w:right="19"/>
              <w:rPr>
                <w:sz w:val="20"/>
              </w:rPr>
            </w:pPr>
            <w:r>
              <w:rPr>
                <w:w w:val="99"/>
                <w:sz w:val="20"/>
              </w:rPr>
              <w:t>9</w:t>
            </w:r>
          </w:p>
        </w:tc>
        <w:tc>
          <w:tcPr>
            <w:tcW w:w="946" w:type="dxa"/>
            <w:tcBorders>
              <w:top w:val="nil"/>
              <w:left w:val="nil"/>
              <w:bottom w:val="nil"/>
              <w:right w:val="nil"/>
            </w:tcBorders>
          </w:tcPr>
          <w:p>
            <w:pPr>
              <w:pStyle w:val="TableParagraph"/>
              <w:spacing w:before="103"/>
              <w:ind w:left="111" w:right="111"/>
              <w:rPr>
                <w:sz w:val="20"/>
              </w:rPr>
            </w:pPr>
            <w:r>
              <w:rPr>
                <w:sz w:val="20"/>
              </w:rPr>
              <w:t>0.31</w:t>
            </w:r>
          </w:p>
        </w:tc>
        <w:tc>
          <w:tcPr>
            <w:tcW w:w="1023" w:type="dxa"/>
            <w:tcBorders>
              <w:top w:val="nil"/>
              <w:left w:val="nil"/>
              <w:bottom w:val="nil"/>
              <w:right w:val="nil"/>
            </w:tcBorders>
          </w:tcPr>
          <w:p>
            <w:pPr>
              <w:pStyle w:val="TableParagraph"/>
              <w:spacing w:before="103"/>
              <w:ind w:left="110" w:right="88"/>
              <w:rPr>
                <w:sz w:val="20"/>
              </w:rPr>
            </w:pPr>
            <w:r>
              <w:rPr>
                <w:sz w:val="20"/>
              </w:rPr>
              <w:t>4.23</w:t>
            </w:r>
          </w:p>
        </w:tc>
        <w:tc>
          <w:tcPr>
            <w:tcW w:w="1610" w:type="dxa"/>
            <w:tcBorders>
              <w:top w:val="nil"/>
              <w:left w:val="nil"/>
              <w:bottom w:val="nil"/>
              <w:right w:val="nil"/>
            </w:tcBorders>
          </w:tcPr>
          <w:p>
            <w:pPr>
              <w:pStyle w:val="TableParagraph"/>
              <w:spacing w:before="103"/>
              <w:ind w:left="608"/>
              <w:jc w:val="left"/>
              <w:rPr>
                <w:sz w:val="20"/>
              </w:rPr>
            </w:pPr>
            <w:r>
              <w:rPr>
                <w:sz w:val="20"/>
              </w:rPr>
              <w:t>0.25</w:t>
            </w:r>
          </w:p>
        </w:tc>
        <w:tc>
          <w:tcPr>
            <w:tcW w:w="1643" w:type="dxa"/>
            <w:tcBorders>
              <w:top w:val="nil"/>
              <w:left w:val="nil"/>
              <w:bottom w:val="nil"/>
              <w:right w:val="nil"/>
            </w:tcBorders>
          </w:tcPr>
          <w:p>
            <w:pPr>
              <w:pStyle w:val="TableParagraph"/>
              <w:spacing w:before="103"/>
              <w:ind w:left="586" w:right="666"/>
              <w:rPr>
                <w:sz w:val="20"/>
              </w:rPr>
            </w:pPr>
            <w:r>
              <w:rPr>
                <w:sz w:val="20"/>
              </w:rPr>
              <w:t>1.32</w:t>
            </w:r>
          </w:p>
        </w:tc>
        <w:tc>
          <w:tcPr>
            <w:tcW w:w="1052" w:type="dxa"/>
            <w:tcBorders>
              <w:top w:val="nil"/>
              <w:left w:val="nil"/>
              <w:bottom w:val="nil"/>
              <w:right w:val="nil"/>
            </w:tcBorders>
          </w:tcPr>
          <w:p>
            <w:pPr>
              <w:pStyle w:val="TableParagraph"/>
              <w:spacing w:before="103"/>
              <w:ind w:left="122" w:right="121"/>
              <w:rPr>
                <w:sz w:val="20"/>
              </w:rPr>
            </w:pPr>
            <w:r>
              <w:rPr>
                <w:sz w:val="20"/>
              </w:rPr>
              <w:t>0.60</w:t>
            </w:r>
          </w:p>
        </w:tc>
        <w:tc>
          <w:tcPr>
            <w:tcW w:w="1021" w:type="dxa"/>
            <w:tcBorders>
              <w:top w:val="nil"/>
              <w:left w:val="nil"/>
              <w:bottom w:val="nil"/>
              <w:right w:val="nil"/>
            </w:tcBorders>
          </w:tcPr>
          <w:p>
            <w:pPr>
              <w:pStyle w:val="TableParagraph"/>
              <w:spacing w:before="103"/>
              <w:ind w:left="123" w:right="86"/>
              <w:rPr>
                <w:sz w:val="20"/>
              </w:rPr>
            </w:pPr>
            <w:r>
              <w:rPr>
                <w:sz w:val="20"/>
              </w:rPr>
              <w:t>1.19</w:t>
            </w:r>
          </w:p>
        </w:tc>
      </w:tr>
      <w:tr>
        <w:trPr>
          <w:trHeight w:val="460" w:hRule="exact"/>
        </w:trPr>
        <w:tc>
          <w:tcPr>
            <w:tcW w:w="1005" w:type="dxa"/>
            <w:tcBorders>
              <w:top w:val="nil"/>
              <w:left w:val="nil"/>
              <w:bottom w:val="nil"/>
              <w:right w:val="nil"/>
            </w:tcBorders>
          </w:tcPr>
          <w:p>
            <w:pPr>
              <w:pStyle w:val="TableParagraph"/>
              <w:spacing w:before="104"/>
              <w:ind w:left="373" w:right="391"/>
              <w:rPr>
                <w:sz w:val="20"/>
              </w:rPr>
            </w:pPr>
            <w:r>
              <w:rPr>
                <w:sz w:val="20"/>
              </w:rPr>
              <w:t>10</w:t>
            </w:r>
          </w:p>
        </w:tc>
        <w:tc>
          <w:tcPr>
            <w:tcW w:w="946" w:type="dxa"/>
            <w:tcBorders>
              <w:top w:val="nil"/>
              <w:left w:val="nil"/>
              <w:bottom w:val="nil"/>
              <w:right w:val="nil"/>
            </w:tcBorders>
          </w:tcPr>
          <w:p>
            <w:pPr>
              <w:pStyle w:val="TableParagraph"/>
              <w:spacing w:before="104"/>
              <w:ind w:left="111" w:right="111"/>
              <w:rPr>
                <w:sz w:val="20"/>
              </w:rPr>
            </w:pPr>
            <w:r>
              <w:rPr>
                <w:sz w:val="20"/>
              </w:rPr>
              <w:t>0.10</w:t>
            </w:r>
          </w:p>
        </w:tc>
        <w:tc>
          <w:tcPr>
            <w:tcW w:w="1023" w:type="dxa"/>
            <w:tcBorders>
              <w:top w:val="nil"/>
              <w:left w:val="nil"/>
              <w:bottom w:val="nil"/>
              <w:right w:val="nil"/>
            </w:tcBorders>
          </w:tcPr>
          <w:p>
            <w:pPr>
              <w:pStyle w:val="TableParagraph"/>
              <w:spacing w:before="104"/>
              <w:ind w:left="110" w:right="88"/>
              <w:rPr>
                <w:sz w:val="20"/>
              </w:rPr>
            </w:pPr>
            <w:r>
              <w:rPr>
                <w:sz w:val="20"/>
              </w:rPr>
              <w:t>1.60</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6"/>
              <w:rPr>
                <w:sz w:val="20"/>
              </w:rPr>
            </w:pPr>
            <w:r>
              <w:rPr>
                <w:sz w:val="20"/>
              </w:rPr>
              <w:t>1.76</w:t>
            </w:r>
          </w:p>
        </w:tc>
        <w:tc>
          <w:tcPr>
            <w:tcW w:w="1052" w:type="dxa"/>
            <w:tcBorders>
              <w:top w:val="nil"/>
              <w:left w:val="nil"/>
              <w:bottom w:val="nil"/>
              <w:right w:val="nil"/>
            </w:tcBorders>
          </w:tcPr>
          <w:p>
            <w:pPr>
              <w:pStyle w:val="TableParagraph"/>
              <w:spacing w:before="104"/>
              <w:ind w:left="122" w:right="121"/>
              <w:rPr>
                <w:sz w:val="20"/>
              </w:rPr>
            </w:pPr>
            <w:r>
              <w:rPr>
                <w:sz w:val="20"/>
              </w:rPr>
              <w:t>1.09</w:t>
            </w:r>
          </w:p>
        </w:tc>
        <w:tc>
          <w:tcPr>
            <w:tcW w:w="1021" w:type="dxa"/>
            <w:tcBorders>
              <w:top w:val="nil"/>
              <w:left w:val="nil"/>
              <w:bottom w:val="nil"/>
              <w:right w:val="nil"/>
            </w:tcBorders>
          </w:tcPr>
          <w:p>
            <w:pPr>
              <w:pStyle w:val="TableParagraph"/>
              <w:spacing w:before="104"/>
              <w:ind w:left="123" w:right="86"/>
              <w:rPr>
                <w:sz w:val="20"/>
              </w:rPr>
            </w:pPr>
            <w:r>
              <w:rPr>
                <w:sz w:val="20"/>
              </w:rPr>
              <w:t>0.82</w:t>
            </w:r>
          </w:p>
        </w:tc>
      </w:tr>
      <w:tr>
        <w:trPr>
          <w:trHeight w:val="460" w:hRule="exact"/>
        </w:trPr>
        <w:tc>
          <w:tcPr>
            <w:tcW w:w="1005" w:type="dxa"/>
            <w:tcBorders>
              <w:top w:val="nil"/>
              <w:left w:val="nil"/>
              <w:bottom w:val="nil"/>
              <w:right w:val="nil"/>
            </w:tcBorders>
          </w:tcPr>
          <w:p>
            <w:pPr>
              <w:pStyle w:val="TableParagraph"/>
              <w:spacing w:before="103"/>
              <w:ind w:left="373" w:right="391"/>
              <w:rPr>
                <w:sz w:val="20"/>
              </w:rPr>
            </w:pPr>
            <w:r>
              <w:rPr>
                <w:sz w:val="20"/>
              </w:rPr>
              <w:t>11</w:t>
            </w:r>
          </w:p>
        </w:tc>
        <w:tc>
          <w:tcPr>
            <w:tcW w:w="946" w:type="dxa"/>
            <w:tcBorders>
              <w:top w:val="nil"/>
              <w:left w:val="nil"/>
              <w:bottom w:val="nil"/>
              <w:right w:val="nil"/>
            </w:tcBorders>
          </w:tcPr>
          <w:p>
            <w:pPr>
              <w:pStyle w:val="TableParagraph"/>
              <w:spacing w:before="103"/>
              <w:ind w:left="111" w:right="111"/>
              <w:rPr>
                <w:sz w:val="20"/>
              </w:rPr>
            </w:pPr>
            <w:r>
              <w:rPr>
                <w:sz w:val="20"/>
              </w:rPr>
              <w:t>0.20</w:t>
            </w:r>
          </w:p>
        </w:tc>
        <w:tc>
          <w:tcPr>
            <w:tcW w:w="1023" w:type="dxa"/>
            <w:tcBorders>
              <w:top w:val="nil"/>
              <w:left w:val="nil"/>
              <w:bottom w:val="nil"/>
              <w:right w:val="nil"/>
            </w:tcBorders>
          </w:tcPr>
          <w:p>
            <w:pPr>
              <w:pStyle w:val="TableParagraph"/>
              <w:spacing w:before="103"/>
              <w:ind w:left="110" w:right="88"/>
              <w:rPr>
                <w:sz w:val="20"/>
              </w:rPr>
            </w:pPr>
            <w:r>
              <w:rPr>
                <w:sz w:val="20"/>
              </w:rPr>
              <w:t>2.93</w:t>
            </w:r>
          </w:p>
        </w:tc>
        <w:tc>
          <w:tcPr>
            <w:tcW w:w="1610" w:type="dxa"/>
            <w:tcBorders>
              <w:top w:val="nil"/>
              <w:left w:val="nil"/>
              <w:bottom w:val="nil"/>
              <w:right w:val="nil"/>
            </w:tcBorders>
          </w:tcPr>
          <w:p>
            <w:pPr>
              <w:pStyle w:val="TableParagraph"/>
              <w:spacing w:before="103"/>
              <w:ind w:left="608"/>
              <w:jc w:val="left"/>
              <w:rPr>
                <w:sz w:val="20"/>
              </w:rPr>
            </w:pPr>
            <w:r>
              <w:rPr>
                <w:sz w:val="20"/>
              </w:rPr>
              <w:t>0.10</w:t>
            </w:r>
          </w:p>
        </w:tc>
        <w:tc>
          <w:tcPr>
            <w:tcW w:w="1643" w:type="dxa"/>
            <w:tcBorders>
              <w:top w:val="nil"/>
              <w:left w:val="nil"/>
              <w:bottom w:val="nil"/>
              <w:right w:val="nil"/>
            </w:tcBorders>
          </w:tcPr>
          <w:p>
            <w:pPr>
              <w:pStyle w:val="TableParagraph"/>
              <w:spacing w:before="103"/>
              <w:ind w:left="586" w:right="666"/>
              <w:rPr>
                <w:sz w:val="20"/>
              </w:rPr>
            </w:pPr>
            <w:r>
              <w:rPr>
                <w:sz w:val="20"/>
              </w:rPr>
              <w:t>1.41</w:t>
            </w:r>
          </w:p>
        </w:tc>
        <w:tc>
          <w:tcPr>
            <w:tcW w:w="1052" w:type="dxa"/>
            <w:tcBorders>
              <w:top w:val="nil"/>
              <w:left w:val="nil"/>
              <w:bottom w:val="nil"/>
              <w:right w:val="nil"/>
            </w:tcBorders>
          </w:tcPr>
          <w:p>
            <w:pPr>
              <w:pStyle w:val="TableParagraph"/>
              <w:spacing w:before="103"/>
              <w:ind w:left="122" w:right="121"/>
              <w:rPr>
                <w:sz w:val="20"/>
              </w:rPr>
            </w:pPr>
            <w:r>
              <w:rPr>
                <w:sz w:val="20"/>
              </w:rPr>
              <w:t>1.09</w:t>
            </w:r>
          </w:p>
        </w:tc>
        <w:tc>
          <w:tcPr>
            <w:tcW w:w="1021" w:type="dxa"/>
            <w:tcBorders>
              <w:top w:val="nil"/>
              <w:left w:val="nil"/>
              <w:bottom w:val="nil"/>
              <w:right w:val="nil"/>
            </w:tcBorders>
          </w:tcPr>
          <w:p>
            <w:pPr>
              <w:pStyle w:val="TableParagraph"/>
              <w:spacing w:before="103"/>
              <w:ind w:left="123" w:right="86"/>
              <w:rPr>
                <w:sz w:val="20"/>
              </w:rPr>
            </w:pPr>
            <w:r>
              <w:rPr>
                <w:sz w:val="20"/>
              </w:rPr>
              <w:t>0.82</w:t>
            </w:r>
          </w:p>
        </w:tc>
      </w:tr>
      <w:tr>
        <w:trPr>
          <w:trHeight w:val="461" w:hRule="exact"/>
        </w:trPr>
        <w:tc>
          <w:tcPr>
            <w:tcW w:w="1005" w:type="dxa"/>
            <w:tcBorders>
              <w:top w:val="nil"/>
              <w:left w:val="nil"/>
              <w:bottom w:val="nil"/>
              <w:right w:val="nil"/>
            </w:tcBorders>
          </w:tcPr>
          <w:p>
            <w:pPr>
              <w:pStyle w:val="TableParagraph"/>
              <w:spacing w:before="104"/>
              <w:ind w:left="373" w:right="391"/>
              <w:rPr>
                <w:sz w:val="20"/>
              </w:rPr>
            </w:pPr>
            <w:r>
              <w:rPr>
                <w:sz w:val="20"/>
              </w:rPr>
              <w:t>12</w:t>
            </w:r>
          </w:p>
        </w:tc>
        <w:tc>
          <w:tcPr>
            <w:tcW w:w="946" w:type="dxa"/>
            <w:tcBorders>
              <w:top w:val="nil"/>
              <w:left w:val="nil"/>
              <w:bottom w:val="nil"/>
              <w:right w:val="nil"/>
            </w:tcBorders>
          </w:tcPr>
          <w:p>
            <w:pPr>
              <w:pStyle w:val="TableParagraph"/>
              <w:spacing w:before="104"/>
              <w:ind w:left="111" w:right="111"/>
              <w:rPr>
                <w:sz w:val="20"/>
              </w:rPr>
            </w:pPr>
            <w:r>
              <w:rPr>
                <w:sz w:val="20"/>
              </w:rPr>
              <w:t>0.26</w:t>
            </w:r>
          </w:p>
        </w:tc>
        <w:tc>
          <w:tcPr>
            <w:tcW w:w="1023" w:type="dxa"/>
            <w:tcBorders>
              <w:top w:val="nil"/>
              <w:left w:val="nil"/>
              <w:bottom w:val="nil"/>
              <w:right w:val="nil"/>
            </w:tcBorders>
          </w:tcPr>
          <w:p>
            <w:pPr>
              <w:pStyle w:val="TableParagraph"/>
              <w:spacing w:before="104"/>
              <w:ind w:left="110" w:right="86"/>
              <w:rPr>
                <w:sz w:val="20"/>
              </w:rPr>
            </w:pPr>
            <w:r>
              <w:rPr>
                <w:sz w:val="20"/>
              </w:rPr>
              <w:t>2.93</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6"/>
              <w:rPr>
                <w:sz w:val="20"/>
              </w:rPr>
            </w:pPr>
            <w:r>
              <w:rPr>
                <w:sz w:val="20"/>
              </w:rPr>
              <w:t>2.83</w:t>
            </w:r>
          </w:p>
        </w:tc>
        <w:tc>
          <w:tcPr>
            <w:tcW w:w="1052" w:type="dxa"/>
            <w:tcBorders>
              <w:top w:val="nil"/>
              <w:left w:val="nil"/>
              <w:bottom w:val="nil"/>
              <w:right w:val="nil"/>
            </w:tcBorders>
          </w:tcPr>
          <w:p>
            <w:pPr>
              <w:pStyle w:val="TableParagraph"/>
              <w:spacing w:before="104"/>
              <w:ind w:left="122" w:right="121"/>
              <w:rPr>
                <w:sz w:val="20"/>
              </w:rPr>
            </w:pPr>
            <w:r>
              <w:rPr>
                <w:sz w:val="20"/>
              </w:rPr>
              <w:t>0.43</w:t>
            </w:r>
          </w:p>
        </w:tc>
        <w:tc>
          <w:tcPr>
            <w:tcW w:w="1021" w:type="dxa"/>
            <w:tcBorders>
              <w:top w:val="nil"/>
              <w:left w:val="nil"/>
              <w:bottom w:val="nil"/>
              <w:right w:val="nil"/>
            </w:tcBorders>
          </w:tcPr>
          <w:p>
            <w:pPr>
              <w:pStyle w:val="TableParagraph"/>
              <w:spacing w:before="104"/>
              <w:ind w:left="123" w:right="86"/>
              <w:rPr>
                <w:sz w:val="20"/>
              </w:rPr>
            </w:pPr>
            <w:r>
              <w:rPr>
                <w:sz w:val="20"/>
              </w:rPr>
              <w:t>0.44</w:t>
            </w:r>
          </w:p>
        </w:tc>
      </w:tr>
      <w:tr>
        <w:trPr>
          <w:trHeight w:val="460" w:hRule="exact"/>
        </w:trPr>
        <w:tc>
          <w:tcPr>
            <w:tcW w:w="1005" w:type="dxa"/>
            <w:tcBorders>
              <w:top w:val="nil"/>
              <w:left w:val="nil"/>
              <w:bottom w:val="nil"/>
              <w:right w:val="nil"/>
            </w:tcBorders>
          </w:tcPr>
          <w:p>
            <w:pPr>
              <w:pStyle w:val="TableParagraph"/>
              <w:spacing w:before="104"/>
              <w:ind w:left="373" w:right="391"/>
              <w:rPr>
                <w:sz w:val="20"/>
              </w:rPr>
            </w:pPr>
            <w:r>
              <w:rPr>
                <w:sz w:val="20"/>
              </w:rPr>
              <w:t>13</w:t>
            </w:r>
          </w:p>
        </w:tc>
        <w:tc>
          <w:tcPr>
            <w:tcW w:w="946" w:type="dxa"/>
            <w:tcBorders>
              <w:top w:val="nil"/>
              <w:left w:val="nil"/>
              <w:bottom w:val="nil"/>
              <w:right w:val="nil"/>
            </w:tcBorders>
          </w:tcPr>
          <w:p>
            <w:pPr>
              <w:pStyle w:val="TableParagraph"/>
              <w:spacing w:before="104"/>
              <w:ind w:left="111" w:right="111"/>
              <w:rPr>
                <w:sz w:val="20"/>
              </w:rPr>
            </w:pPr>
            <w:r>
              <w:rPr>
                <w:sz w:val="20"/>
              </w:rPr>
              <w:t>0.22</w:t>
            </w:r>
          </w:p>
        </w:tc>
        <w:tc>
          <w:tcPr>
            <w:tcW w:w="1023" w:type="dxa"/>
            <w:tcBorders>
              <w:top w:val="nil"/>
              <w:left w:val="nil"/>
              <w:bottom w:val="nil"/>
              <w:right w:val="nil"/>
            </w:tcBorders>
          </w:tcPr>
          <w:p>
            <w:pPr>
              <w:pStyle w:val="TableParagraph"/>
              <w:spacing w:before="104"/>
              <w:ind w:left="110" w:right="88"/>
              <w:rPr>
                <w:sz w:val="20"/>
              </w:rPr>
            </w:pPr>
            <w:r>
              <w:rPr>
                <w:sz w:val="20"/>
              </w:rPr>
              <w:t>5.06</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6"/>
              <w:rPr>
                <w:sz w:val="20"/>
              </w:rPr>
            </w:pPr>
            <w:r>
              <w:rPr>
                <w:sz w:val="20"/>
              </w:rPr>
              <w:t>2.71</w:t>
            </w:r>
          </w:p>
        </w:tc>
        <w:tc>
          <w:tcPr>
            <w:tcW w:w="1052" w:type="dxa"/>
            <w:tcBorders>
              <w:top w:val="nil"/>
              <w:left w:val="nil"/>
              <w:bottom w:val="nil"/>
              <w:right w:val="nil"/>
            </w:tcBorders>
          </w:tcPr>
          <w:p>
            <w:pPr>
              <w:pStyle w:val="TableParagraph"/>
              <w:spacing w:before="104"/>
              <w:ind w:left="122" w:right="121"/>
              <w:rPr>
                <w:sz w:val="20"/>
              </w:rPr>
            </w:pPr>
            <w:r>
              <w:rPr>
                <w:sz w:val="20"/>
              </w:rPr>
              <w:t>0.76</w:t>
            </w:r>
          </w:p>
        </w:tc>
        <w:tc>
          <w:tcPr>
            <w:tcW w:w="1021" w:type="dxa"/>
            <w:tcBorders>
              <w:top w:val="nil"/>
              <w:left w:val="nil"/>
              <w:bottom w:val="nil"/>
              <w:right w:val="nil"/>
            </w:tcBorders>
          </w:tcPr>
          <w:p>
            <w:pPr>
              <w:pStyle w:val="TableParagraph"/>
              <w:spacing w:before="104"/>
              <w:ind w:left="123" w:right="86"/>
              <w:rPr>
                <w:sz w:val="20"/>
              </w:rPr>
            </w:pPr>
            <w:r>
              <w:rPr>
                <w:sz w:val="20"/>
              </w:rPr>
              <w:t>0.44</w:t>
            </w:r>
          </w:p>
        </w:tc>
      </w:tr>
      <w:tr>
        <w:trPr>
          <w:trHeight w:val="460" w:hRule="exact"/>
        </w:trPr>
        <w:tc>
          <w:tcPr>
            <w:tcW w:w="1005" w:type="dxa"/>
            <w:tcBorders>
              <w:top w:val="nil"/>
              <w:left w:val="nil"/>
              <w:bottom w:val="nil"/>
              <w:right w:val="nil"/>
            </w:tcBorders>
          </w:tcPr>
          <w:p>
            <w:pPr>
              <w:pStyle w:val="TableParagraph"/>
              <w:spacing w:before="103"/>
              <w:ind w:left="373" w:right="391"/>
              <w:rPr>
                <w:sz w:val="20"/>
              </w:rPr>
            </w:pPr>
            <w:r>
              <w:rPr>
                <w:sz w:val="20"/>
              </w:rPr>
              <w:t>14</w:t>
            </w:r>
          </w:p>
        </w:tc>
        <w:tc>
          <w:tcPr>
            <w:tcW w:w="946" w:type="dxa"/>
            <w:tcBorders>
              <w:top w:val="nil"/>
              <w:left w:val="nil"/>
              <w:bottom w:val="nil"/>
              <w:right w:val="nil"/>
            </w:tcBorders>
          </w:tcPr>
          <w:p>
            <w:pPr>
              <w:pStyle w:val="TableParagraph"/>
              <w:spacing w:before="103"/>
              <w:ind w:left="111" w:right="111"/>
              <w:rPr>
                <w:sz w:val="20"/>
              </w:rPr>
            </w:pPr>
            <w:r>
              <w:rPr>
                <w:sz w:val="20"/>
              </w:rPr>
              <w:t>0.43</w:t>
            </w:r>
          </w:p>
        </w:tc>
        <w:tc>
          <w:tcPr>
            <w:tcW w:w="1023" w:type="dxa"/>
            <w:tcBorders>
              <w:top w:val="nil"/>
              <w:left w:val="nil"/>
              <w:bottom w:val="nil"/>
              <w:right w:val="nil"/>
            </w:tcBorders>
          </w:tcPr>
          <w:p>
            <w:pPr>
              <w:pStyle w:val="TableParagraph"/>
              <w:spacing w:before="103"/>
              <w:ind w:left="110" w:right="88"/>
              <w:rPr>
                <w:sz w:val="20"/>
              </w:rPr>
            </w:pPr>
            <w:r>
              <w:rPr>
                <w:sz w:val="20"/>
              </w:rPr>
              <w:t>4.93</w:t>
            </w:r>
          </w:p>
        </w:tc>
        <w:tc>
          <w:tcPr>
            <w:tcW w:w="1610" w:type="dxa"/>
            <w:tcBorders>
              <w:top w:val="nil"/>
              <w:left w:val="nil"/>
              <w:bottom w:val="nil"/>
              <w:right w:val="nil"/>
            </w:tcBorders>
          </w:tcPr>
          <w:p>
            <w:pPr>
              <w:pStyle w:val="TableParagraph"/>
              <w:spacing w:before="103"/>
              <w:ind w:left="608"/>
              <w:jc w:val="left"/>
              <w:rPr>
                <w:sz w:val="20"/>
              </w:rPr>
            </w:pPr>
            <w:r>
              <w:rPr>
                <w:sz w:val="20"/>
              </w:rPr>
              <w:t>0.10</w:t>
            </w:r>
          </w:p>
        </w:tc>
        <w:tc>
          <w:tcPr>
            <w:tcW w:w="1643" w:type="dxa"/>
            <w:tcBorders>
              <w:top w:val="nil"/>
              <w:left w:val="nil"/>
              <w:bottom w:val="nil"/>
              <w:right w:val="nil"/>
            </w:tcBorders>
          </w:tcPr>
          <w:p>
            <w:pPr>
              <w:pStyle w:val="TableParagraph"/>
              <w:spacing w:before="103"/>
              <w:ind w:left="586" w:right="666"/>
              <w:rPr>
                <w:sz w:val="20"/>
              </w:rPr>
            </w:pPr>
            <w:r>
              <w:rPr>
                <w:sz w:val="20"/>
              </w:rPr>
              <w:t>1.87</w:t>
            </w:r>
          </w:p>
        </w:tc>
        <w:tc>
          <w:tcPr>
            <w:tcW w:w="1052" w:type="dxa"/>
            <w:tcBorders>
              <w:top w:val="nil"/>
              <w:left w:val="nil"/>
              <w:bottom w:val="nil"/>
              <w:right w:val="nil"/>
            </w:tcBorders>
          </w:tcPr>
          <w:p>
            <w:pPr>
              <w:pStyle w:val="TableParagraph"/>
              <w:spacing w:before="103"/>
              <w:ind w:left="122" w:right="121"/>
              <w:rPr>
                <w:sz w:val="20"/>
              </w:rPr>
            </w:pPr>
            <w:r>
              <w:rPr>
                <w:sz w:val="20"/>
              </w:rPr>
              <w:t>0.60</w:t>
            </w:r>
          </w:p>
        </w:tc>
        <w:tc>
          <w:tcPr>
            <w:tcW w:w="1021" w:type="dxa"/>
            <w:tcBorders>
              <w:top w:val="nil"/>
              <w:left w:val="nil"/>
              <w:bottom w:val="nil"/>
              <w:right w:val="nil"/>
            </w:tcBorders>
          </w:tcPr>
          <w:p>
            <w:pPr>
              <w:pStyle w:val="TableParagraph"/>
              <w:spacing w:before="103"/>
              <w:ind w:left="123" w:right="86"/>
              <w:rPr>
                <w:sz w:val="20"/>
              </w:rPr>
            </w:pPr>
            <w:r>
              <w:rPr>
                <w:sz w:val="20"/>
              </w:rPr>
              <w:t>0.44</w:t>
            </w:r>
          </w:p>
        </w:tc>
      </w:tr>
      <w:tr>
        <w:trPr>
          <w:trHeight w:val="461" w:hRule="exact"/>
        </w:trPr>
        <w:tc>
          <w:tcPr>
            <w:tcW w:w="1005" w:type="dxa"/>
            <w:tcBorders>
              <w:top w:val="nil"/>
              <w:left w:val="nil"/>
              <w:bottom w:val="nil"/>
              <w:right w:val="nil"/>
            </w:tcBorders>
          </w:tcPr>
          <w:p>
            <w:pPr>
              <w:pStyle w:val="TableParagraph"/>
              <w:spacing w:before="104"/>
              <w:ind w:left="373" w:right="391"/>
              <w:rPr>
                <w:sz w:val="20"/>
              </w:rPr>
            </w:pPr>
            <w:r>
              <w:rPr>
                <w:sz w:val="20"/>
              </w:rPr>
              <w:t>15</w:t>
            </w:r>
          </w:p>
        </w:tc>
        <w:tc>
          <w:tcPr>
            <w:tcW w:w="946" w:type="dxa"/>
            <w:tcBorders>
              <w:top w:val="nil"/>
              <w:left w:val="nil"/>
              <w:bottom w:val="nil"/>
              <w:right w:val="nil"/>
            </w:tcBorders>
          </w:tcPr>
          <w:p>
            <w:pPr>
              <w:pStyle w:val="TableParagraph"/>
              <w:spacing w:before="104"/>
              <w:ind w:left="111" w:right="111"/>
              <w:rPr>
                <w:sz w:val="20"/>
              </w:rPr>
            </w:pPr>
            <w:r>
              <w:rPr>
                <w:sz w:val="20"/>
              </w:rPr>
              <w:t>0.27</w:t>
            </w:r>
          </w:p>
        </w:tc>
        <w:tc>
          <w:tcPr>
            <w:tcW w:w="1023" w:type="dxa"/>
            <w:tcBorders>
              <w:top w:val="nil"/>
              <w:left w:val="nil"/>
              <w:bottom w:val="nil"/>
              <w:right w:val="nil"/>
            </w:tcBorders>
          </w:tcPr>
          <w:p>
            <w:pPr>
              <w:pStyle w:val="TableParagraph"/>
              <w:spacing w:before="104"/>
              <w:ind w:left="110" w:right="88"/>
              <w:rPr>
                <w:sz w:val="20"/>
              </w:rPr>
            </w:pPr>
            <w:r>
              <w:rPr>
                <w:sz w:val="20"/>
              </w:rPr>
              <w:t>4.93</w:t>
            </w:r>
          </w:p>
        </w:tc>
        <w:tc>
          <w:tcPr>
            <w:tcW w:w="1610" w:type="dxa"/>
            <w:tcBorders>
              <w:top w:val="nil"/>
              <w:left w:val="nil"/>
              <w:bottom w:val="nil"/>
              <w:right w:val="nil"/>
            </w:tcBorders>
          </w:tcPr>
          <w:p>
            <w:pPr>
              <w:pStyle w:val="TableParagraph"/>
              <w:spacing w:before="104"/>
              <w:ind w:left="608"/>
              <w:jc w:val="left"/>
              <w:rPr>
                <w:sz w:val="20"/>
              </w:rPr>
            </w:pPr>
            <w:r>
              <w:rPr>
                <w:sz w:val="20"/>
              </w:rPr>
              <w:t>0.27</w:t>
            </w:r>
          </w:p>
        </w:tc>
        <w:tc>
          <w:tcPr>
            <w:tcW w:w="1643" w:type="dxa"/>
            <w:tcBorders>
              <w:top w:val="nil"/>
              <w:left w:val="nil"/>
              <w:bottom w:val="nil"/>
              <w:right w:val="nil"/>
            </w:tcBorders>
          </w:tcPr>
          <w:p>
            <w:pPr>
              <w:pStyle w:val="TableParagraph"/>
              <w:spacing w:before="104"/>
              <w:ind w:left="586" w:right="666"/>
              <w:rPr>
                <w:sz w:val="20"/>
              </w:rPr>
            </w:pPr>
            <w:r>
              <w:rPr>
                <w:sz w:val="20"/>
              </w:rPr>
              <w:t>0.66</w:t>
            </w:r>
          </w:p>
        </w:tc>
        <w:tc>
          <w:tcPr>
            <w:tcW w:w="1052" w:type="dxa"/>
            <w:tcBorders>
              <w:top w:val="nil"/>
              <w:left w:val="nil"/>
              <w:bottom w:val="nil"/>
              <w:right w:val="nil"/>
            </w:tcBorders>
          </w:tcPr>
          <w:p>
            <w:pPr>
              <w:pStyle w:val="TableParagraph"/>
              <w:spacing w:before="104"/>
              <w:ind w:left="122" w:right="121"/>
              <w:rPr>
                <w:sz w:val="20"/>
              </w:rPr>
            </w:pPr>
            <w:r>
              <w:rPr>
                <w:sz w:val="20"/>
              </w:rPr>
              <w:t>0.60</w:t>
            </w:r>
          </w:p>
        </w:tc>
        <w:tc>
          <w:tcPr>
            <w:tcW w:w="1021" w:type="dxa"/>
            <w:tcBorders>
              <w:top w:val="nil"/>
              <w:left w:val="nil"/>
              <w:bottom w:val="nil"/>
              <w:right w:val="nil"/>
            </w:tcBorders>
          </w:tcPr>
          <w:p>
            <w:pPr>
              <w:pStyle w:val="TableParagraph"/>
              <w:spacing w:before="104"/>
              <w:ind w:left="123" w:right="86"/>
              <w:rPr>
                <w:sz w:val="20"/>
              </w:rPr>
            </w:pPr>
            <w:r>
              <w:rPr>
                <w:sz w:val="20"/>
              </w:rPr>
              <w:t>0.26</w:t>
            </w:r>
          </w:p>
        </w:tc>
      </w:tr>
      <w:tr>
        <w:trPr>
          <w:trHeight w:val="460" w:hRule="exact"/>
        </w:trPr>
        <w:tc>
          <w:tcPr>
            <w:tcW w:w="1005" w:type="dxa"/>
            <w:tcBorders>
              <w:top w:val="nil"/>
              <w:left w:val="nil"/>
              <w:bottom w:val="nil"/>
              <w:right w:val="nil"/>
            </w:tcBorders>
          </w:tcPr>
          <w:p>
            <w:pPr>
              <w:pStyle w:val="TableParagraph"/>
              <w:spacing w:before="104"/>
              <w:ind w:left="373" w:right="391"/>
              <w:rPr>
                <w:sz w:val="20"/>
              </w:rPr>
            </w:pPr>
            <w:r>
              <w:rPr>
                <w:sz w:val="20"/>
              </w:rPr>
              <w:t>16</w:t>
            </w:r>
          </w:p>
        </w:tc>
        <w:tc>
          <w:tcPr>
            <w:tcW w:w="946" w:type="dxa"/>
            <w:tcBorders>
              <w:top w:val="nil"/>
              <w:left w:val="nil"/>
              <w:bottom w:val="nil"/>
              <w:right w:val="nil"/>
            </w:tcBorders>
          </w:tcPr>
          <w:p>
            <w:pPr>
              <w:pStyle w:val="TableParagraph"/>
              <w:spacing w:before="104"/>
              <w:ind w:left="111" w:right="111"/>
              <w:rPr>
                <w:sz w:val="20"/>
              </w:rPr>
            </w:pPr>
            <w:r>
              <w:rPr>
                <w:sz w:val="20"/>
              </w:rPr>
              <w:t>0.35</w:t>
            </w:r>
          </w:p>
        </w:tc>
        <w:tc>
          <w:tcPr>
            <w:tcW w:w="1023" w:type="dxa"/>
            <w:tcBorders>
              <w:top w:val="nil"/>
              <w:left w:val="nil"/>
              <w:bottom w:val="nil"/>
              <w:right w:val="nil"/>
            </w:tcBorders>
          </w:tcPr>
          <w:p>
            <w:pPr>
              <w:pStyle w:val="TableParagraph"/>
              <w:spacing w:before="104"/>
              <w:ind w:left="110" w:right="88"/>
              <w:rPr>
                <w:sz w:val="20"/>
              </w:rPr>
            </w:pPr>
            <w:r>
              <w:rPr>
                <w:sz w:val="20"/>
              </w:rPr>
              <w:t>3.56</w:t>
            </w:r>
          </w:p>
        </w:tc>
        <w:tc>
          <w:tcPr>
            <w:tcW w:w="1610" w:type="dxa"/>
            <w:tcBorders>
              <w:top w:val="nil"/>
              <w:left w:val="nil"/>
              <w:bottom w:val="nil"/>
              <w:right w:val="nil"/>
            </w:tcBorders>
          </w:tcPr>
          <w:p>
            <w:pPr>
              <w:pStyle w:val="TableParagraph"/>
              <w:spacing w:before="104"/>
              <w:ind w:left="608"/>
              <w:jc w:val="left"/>
              <w:rPr>
                <w:sz w:val="20"/>
              </w:rPr>
            </w:pPr>
            <w:r>
              <w:rPr>
                <w:sz w:val="20"/>
              </w:rPr>
              <w:t>0.10</w:t>
            </w:r>
          </w:p>
        </w:tc>
        <w:tc>
          <w:tcPr>
            <w:tcW w:w="1643" w:type="dxa"/>
            <w:tcBorders>
              <w:top w:val="nil"/>
              <w:left w:val="nil"/>
              <w:bottom w:val="nil"/>
              <w:right w:val="nil"/>
            </w:tcBorders>
          </w:tcPr>
          <w:p>
            <w:pPr>
              <w:pStyle w:val="TableParagraph"/>
              <w:spacing w:before="104"/>
              <w:ind w:left="586" w:right="666"/>
              <w:rPr>
                <w:sz w:val="20"/>
              </w:rPr>
            </w:pPr>
            <w:r>
              <w:rPr>
                <w:sz w:val="20"/>
              </w:rPr>
              <w:t>0.84</w:t>
            </w:r>
          </w:p>
        </w:tc>
        <w:tc>
          <w:tcPr>
            <w:tcW w:w="1052" w:type="dxa"/>
            <w:tcBorders>
              <w:top w:val="nil"/>
              <w:left w:val="nil"/>
              <w:bottom w:val="nil"/>
              <w:right w:val="nil"/>
            </w:tcBorders>
          </w:tcPr>
          <w:p>
            <w:pPr>
              <w:pStyle w:val="TableParagraph"/>
              <w:spacing w:before="104"/>
              <w:ind w:left="122" w:right="121"/>
              <w:rPr>
                <w:sz w:val="20"/>
              </w:rPr>
            </w:pPr>
            <w:r>
              <w:rPr>
                <w:sz w:val="20"/>
              </w:rPr>
              <w:t>0.60</w:t>
            </w:r>
          </w:p>
        </w:tc>
        <w:tc>
          <w:tcPr>
            <w:tcW w:w="1021" w:type="dxa"/>
            <w:tcBorders>
              <w:top w:val="nil"/>
              <w:left w:val="nil"/>
              <w:bottom w:val="nil"/>
              <w:right w:val="nil"/>
            </w:tcBorders>
          </w:tcPr>
          <w:p>
            <w:pPr>
              <w:pStyle w:val="TableParagraph"/>
              <w:spacing w:before="104"/>
              <w:ind w:left="123" w:right="86"/>
              <w:rPr>
                <w:sz w:val="20"/>
              </w:rPr>
            </w:pPr>
            <w:r>
              <w:rPr>
                <w:sz w:val="20"/>
              </w:rPr>
              <w:t>0.26</w:t>
            </w:r>
          </w:p>
        </w:tc>
      </w:tr>
      <w:tr>
        <w:trPr>
          <w:trHeight w:val="460" w:hRule="exact"/>
        </w:trPr>
        <w:tc>
          <w:tcPr>
            <w:tcW w:w="1005" w:type="dxa"/>
            <w:tcBorders>
              <w:top w:val="nil"/>
              <w:left w:val="nil"/>
              <w:bottom w:val="nil"/>
              <w:right w:val="nil"/>
            </w:tcBorders>
          </w:tcPr>
          <w:p>
            <w:pPr>
              <w:pStyle w:val="TableParagraph"/>
              <w:spacing w:before="103"/>
              <w:ind w:left="373" w:right="391"/>
              <w:rPr>
                <w:sz w:val="20"/>
              </w:rPr>
            </w:pPr>
            <w:r>
              <w:rPr>
                <w:sz w:val="20"/>
              </w:rPr>
              <w:t>17</w:t>
            </w:r>
          </w:p>
        </w:tc>
        <w:tc>
          <w:tcPr>
            <w:tcW w:w="946" w:type="dxa"/>
            <w:tcBorders>
              <w:top w:val="nil"/>
              <w:left w:val="nil"/>
              <w:bottom w:val="nil"/>
              <w:right w:val="nil"/>
            </w:tcBorders>
          </w:tcPr>
          <w:p>
            <w:pPr>
              <w:pStyle w:val="TableParagraph"/>
              <w:spacing w:before="103"/>
              <w:ind w:left="111" w:right="111"/>
              <w:rPr>
                <w:sz w:val="20"/>
              </w:rPr>
            </w:pPr>
            <w:r>
              <w:rPr>
                <w:sz w:val="20"/>
              </w:rPr>
              <w:t>0.36</w:t>
            </w:r>
          </w:p>
        </w:tc>
        <w:tc>
          <w:tcPr>
            <w:tcW w:w="1023" w:type="dxa"/>
            <w:tcBorders>
              <w:top w:val="nil"/>
              <w:left w:val="nil"/>
              <w:bottom w:val="nil"/>
              <w:right w:val="nil"/>
            </w:tcBorders>
          </w:tcPr>
          <w:p>
            <w:pPr>
              <w:pStyle w:val="TableParagraph"/>
              <w:spacing w:before="103"/>
              <w:ind w:left="110" w:right="88"/>
              <w:rPr>
                <w:sz w:val="20"/>
              </w:rPr>
            </w:pPr>
            <w:r>
              <w:rPr>
                <w:sz w:val="20"/>
              </w:rPr>
              <w:t>3.56</w:t>
            </w:r>
          </w:p>
        </w:tc>
        <w:tc>
          <w:tcPr>
            <w:tcW w:w="1610" w:type="dxa"/>
            <w:tcBorders>
              <w:top w:val="nil"/>
              <w:left w:val="nil"/>
              <w:bottom w:val="nil"/>
              <w:right w:val="nil"/>
            </w:tcBorders>
          </w:tcPr>
          <w:p>
            <w:pPr>
              <w:pStyle w:val="TableParagraph"/>
              <w:spacing w:before="103"/>
              <w:ind w:left="608"/>
              <w:jc w:val="left"/>
              <w:rPr>
                <w:sz w:val="20"/>
              </w:rPr>
            </w:pPr>
            <w:r>
              <w:rPr>
                <w:sz w:val="20"/>
              </w:rPr>
              <w:t>0.10</w:t>
            </w:r>
          </w:p>
        </w:tc>
        <w:tc>
          <w:tcPr>
            <w:tcW w:w="1643" w:type="dxa"/>
            <w:tcBorders>
              <w:top w:val="nil"/>
              <w:left w:val="nil"/>
              <w:bottom w:val="nil"/>
              <w:right w:val="nil"/>
            </w:tcBorders>
          </w:tcPr>
          <w:p>
            <w:pPr>
              <w:pStyle w:val="TableParagraph"/>
              <w:spacing w:before="103"/>
              <w:ind w:left="586" w:right="666"/>
              <w:rPr>
                <w:sz w:val="20"/>
              </w:rPr>
            </w:pPr>
            <w:r>
              <w:rPr>
                <w:sz w:val="20"/>
              </w:rPr>
              <w:t>1.02</w:t>
            </w:r>
          </w:p>
        </w:tc>
        <w:tc>
          <w:tcPr>
            <w:tcW w:w="1052" w:type="dxa"/>
            <w:tcBorders>
              <w:top w:val="nil"/>
              <w:left w:val="nil"/>
              <w:bottom w:val="nil"/>
              <w:right w:val="nil"/>
            </w:tcBorders>
          </w:tcPr>
          <w:p>
            <w:pPr>
              <w:pStyle w:val="TableParagraph"/>
              <w:spacing w:before="103"/>
              <w:ind w:left="122" w:right="121"/>
              <w:rPr>
                <w:sz w:val="20"/>
              </w:rPr>
            </w:pPr>
            <w:r>
              <w:rPr>
                <w:sz w:val="20"/>
              </w:rPr>
              <w:t>0.35</w:t>
            </w:r>
          </w:p>
        </w:tc>
        <w:tc>
          <w:tcPr>
            <w:tcW w:w="1021" w:type="dxa"/>
            <w:tcBorders>
              <w:top w:val="nil"/>
              <w:left w:val="nil"/>
              <w:bottom w:val="nil"/>
              <w:right w:val="nil"/>
            </w:tcBorders>
          </w:tcPr>
          <w:p>
            <w:pPr>
              <w:pStyle w:val="TableParagraph"/>
              <w:spacing w:before="103"/>
              <w:ind w:left="123" w:right="86"/>
              <w:rPr>
                <w:sz w:val="20"/>
              </w:rPr>
            </w:pPr>
            <w:r>
              <w:rPr>
                <w:sz w:val="20"/>
              </w:rPr>
              <w:t>0.26</w:t>
            </w:r>
          </w:p>
        </w:tc>
      </w:tr>
      <w:tr>
        <w:trPr>
          <w:trHeight w:val="581" w:hRule="exact"/>
        </w:trPr>
        <w:tc>
          <w:tcPr>
            <w:tcW w:w="1005" w:type="dxa"/>
            <w:tcBorders>
              <w:top w:val="nil"/>
              <w:left w:val="nil"/>
              <w:right w:val="nil"/>
            </w:tcBorders>
          </w:tcPr>
          <w:p>
            <w:pPr>
              <w:pStyle w:val="TableParagraph"/>
              <w:spacing w:before="104"/>
              <w:ind w:left="373" w:right="391"/>
              <w:rPr>
                <w:sz w:val="20"/>
              </w:rPr>
            </w:pPr>
            <w:r>
              <w:rPr>
                <w:sz w:val="20"/>
              </w:rPr>
              <w:t>18</w:t>
            </w:r>
          </w:p>
        </w:tc>
        <w:tc>
          <w:tcPr>
            <w:tcW w:w="946" w:type="dxa"/>
            <w:tcBorders>
              <w:top w:val="nil"/>
              <w:left w:val="nil"/>
              <w:right w:val="nil"/>
            </w:tcBorders>
          </w:tcPr>
          <w:p>
            <w:pPr>
              <w:pStyle w:val="TableParagraph"/>
              <w:spacing w:before="104"/>
              <w:ind w:left="111" w:right="111"/>
              <w:rPr>
                <w:sz w:val="20"/>
              </w:rPr>
            </w:pPr>
            <w:r>
              <w:rPr>
                <w:sz w:val="20"/>
              </w:rPr>
              <w:t>0.36</w:t>
            </w:r>
          </w:p>
        </w:tc>
        <w:tc>
          <w:tcPr>
            <w:tcW w:w="1023" w:type="dxa"/>
            <w:tcBorders>
              <w:top w:val="nil"/>
              <w:left w:val="nil"/>
              <w:right w:val="nil"/>
            </w:tcBorders>
          </w:tcPr>
          <w:p>
            <w:pPr>
              <w:pStyle w:val="TableParagraph"/>
              <w:spacing w:before="104"/>
              <w:ind w:left="110" w:right="88"/>
              <w:rPr>
                <w:sz w:val="20"/>
              </w:rPr>
            </w:pPr>
            <w:r>
              <w:rPr>
                <w:sz w:val="20"/>
              </w:rPr>
              <w:t>3.56</w:t>
            </w:r>
          </w:p>
        </w:tc>
        <w:tc>
          <w:tcPr>
            <w:tcW w:w="1610" w:type="dxa"/>
            <w:tcBorders>
              <w:top w:val="nil"/>
              <w:left w:val="nil"/>
              <w:right w:val="nil"/>
            </w:tcBorders>
          </w:tcPr>
          <w:p>
            <w:pPr>
              <w:pStyle w:val="TableParagraph"/>
              <w:spacing w:before="104"/>
              <w:ind w:left="608"/>
              <w:jc w:val="left"/>
              <w:rPr>
                <w:sz w:val="20"/>
              </w:rPr>
            </w:pPr>
            <w:r>
              <w:rPr>
                <w:sz w:val="20"/>
              </w:rPr>
              <w:t>0.10</w:t>
            </w:r>
          </w:p>
        </w:tc>
        <w:tc>
          <w:tcPr>
            <w:tcW w:w="1643" w:type="dxa"/>
            <w:tcBorders>
              <w:top w:val="nil"/>
              <w:left w:val="nil"/>
              <w:right w:val="nil"/>
            </w:tcBorders>
          </w:tcPr>
          <w:p>
            <w:pPr>
              <w:pStyle w:val="TableParagraph"/>
              <w:spacing w:before="104"/>
              <w:ind w:left="586" w:right="666"/>
              <w:rPr>
                <w:sz w:val="20"/>
              </w:rPr>
            </w:pPr>
            <w:r>
              <w:rPr>
                <w:sz w:val="20"/>
              </w:rPr>
              <w:t>1.44</w:t>
            </w:r>
          </w:p>
        </w:tc>
        <w:tc>
          <w:tcPr>
            <w:tcW w:w="1052" w:type="dxa"/>
            <w:tcBorders>
              <w:top w:val="nil"/>
              <w:left w:val="nil"/>
              <w:right w:val="nil"/>
            </w:tcBorders>
          </w:tcPr>
          <w:p>
            <w:pPr>
              <w:pStyle w:val="TableParagraph"/>
              <w:spacing w:before="104"/>
              <w:ind w:left="122" w:right="121"/>
              <w:rPr>
                <w:sz w:val="20"/>
              </w:rPr>
            </w:pPr>
            <w:r>
              <w:rPr>
                <w:sz w:val="20"/>
              </w:rPr>
              <w:t>0.51</w:t>
            </w:r>
          </w:p>
        </w:tc>
        <w:tc>
          <w:tcPr>
            <w:tcW w:w="1021" w:type="dxa"/>
            <w:tcBorders>
              <w:top w:val="nil"/>
              <w:left w:val="nil"/>
              <w:right w:val="nil"/>
            </w:tcBorders>
          </w:tcPr>
          <w:p>
            <w:pPr>
              <w:pStyle w:val="TableParagraph"/>
              <w:spacing w:before="104"/>
              <w:ind w:left="123" w:right="86"/>
              <w:rPr>
                <w:sz w:val="20"/>
              </w:rPr>
            </w:pPr>
            <w:r>
              <w:rPr>
                <w:sz w:val="20"/>
              </w:rPr>
              <w:t>0.56</w:t>
            </w:r>
          </w:p>
        </w:tc>
      </w:tr>
    </w:tbl>
    <w:p>
      <w:pPr>
        <w:spacing w:after="0"/>
        <w:rPr>
          <w:sz w:val="20"/>
        </w:rPr>
        <w:sectPr>
          <w:footerReference w:type="default" r:id="rId32"/>
          <w:pgSz w:w="12240" w:h="15840"/>
          <w:pgMar w:footer="779" w:header="740" w:top="960" w:bottom="960" w:left="1720" w:right="1600"/>
          <w:pgNumType w:start="101"/>
        </w:sectPr>
      </w:pPr>
    </w:p>
    <w:p>
      <w:pPr>
        <w:pStyle w:val="BodyText"/>
        <w:rPr>
          <w:sz w:val="20"/>
        </w:rPr>
      </w:pPr>
    </w:p>
    <w:p>
      <w:pPr>
        <w:pStyle w:val="BodyText"/>
        <w:spacing w:before="7"/>
        <w:rPr>
          <w:sz w:val="19"/>
        </w:rPr>
      </w:pPr>
    </w:p>
    <w:p>
      <w:pPr>
        <w:pStyle w:val="BodyText"/>
        <w:ind w:left="839" w:right="-13"/>
        <w:rPr>
          <w:sz w:val="20"/>
        </w:rPr>
      </w:pPr>
      <w:r>
        <w:rPr>
          <w:sz w:val="20"/>
        </w:rPr>
        <w:drawing>
          <wp:inline distT="0" distB="0" distL="0" distR="0">
            <wp:extent cx="5659929" cy="3375469"/>
            <wp:effectExtent l="0" t="0" r="0" b="0"/>
            <wp:docPr id="35" name="image20.jpeg" descr=""/>
            <wp:cNvGraphicFramePr>
              <a:graphicFrameLocks noChangeAspect="1"/>
            </wp:cNvGraphicFramePr>
            <a:graphic>
              <a:graphicData uri="http://schemas.openxmlformats.org/drawingml/2006/picture">
                <pic:pic>
                  <pic:nvPicPr>
                    <pic:cNvPr id="36" name="image20.jpeg"/>
                    <pic:cNvPicPr/>
                  </pic:nvPicPr>
                  <pic:blipFill>
                    <a:blip r:embed="rId33" cstate="print"/>
                    <a:stretch>
                      <a:fillRect/>
                    </a:stretch>
                  </pic:blipFill>
                  <pic:spPr>
                    <a:xfrm>
                      <a:off x="0" y="0"/>
                      <a:ext cx="5659929" cy="3375469"/>
                    </a:xfrm>
                    <a:prstGeom prst="rect">
                      <a:avLst/>
                    </a:prstGeom>
                  </pic:spPr>
                </pic:pic>
              </a:graphicData>
            </a:graphic>
          </wp:inline>
        </w:drawing>
      </w:r>
      <w:r>
        <w:rPr>
          <w:sz w:val="20"/>
        </w:rPr>
      </w:r>
    </w:p>
    <w:p>
      <w:pPr>
        <w:pStyle w:val="BodyText"/>
        <w:rPr>
          <w:sz w:val="20"/>
        </w:rPr>
      </w:pPr>
    </w:p>
    <w:p>
      <w:pPr>
        <w:pStyle w:val="BodyText"/>
        <w:spacing w:before="196"/>
        <w:ind w:left="102"/>
      </w:pPr>
      <w:bookmarkStart w:name="_bookmark25" w:id="30"/>
      <w:bookmarkEnd w:id="30"/>
      <w:r>
        <w:rPr/>
      </w:r>
      <w:r>
        <w:rPr/>
        <w:t>Figure 4.1 Sierra Nanchititla Natural Reserve in Balsas River basin, Mexico.</w:t>
      </w:r>
    </w:p>
    <w:p>
      <w:pPr>
        <w:spacing w:after="0"/>
        <w:sectPr>
          <w:pgSz w:w="12240" w:h="15840"/>
          <w:pgMar w:header="740" w:footer="779" w:top="960" w:bottom="960" w:left="1600" w:right="860"/>
        </w:sectPr>
      </w:pPr>
    </w:p>
    <w:p>
      <w:pPr>
        <w:pStyle w:val="BodyText"/>
        <w:rPr>
          <w:sz w:val="20"/>
        </w:rPr>
      </w:pPr>
    </w:p>
    <w:p>
      <w:pPr>
        <w:pStyle w:val="BodyText"/>
        <w:spacing w:before="7"/>
        <w:rPr>
          <w:sz w:val="19"/>
        </w:rPr>
      </w:pPr>
    </w:p>
    <w:p>
      <w:pPr>
        <w:pStyle w:val="BodyText"/>
        <w:ind w:left="839"/>
        <w:rPr>
          <w:sz w:val="20"/>
        </w:rPr>
      </w:pPr>
      <w:r>
        <w:rPr>
          <w:sz w:val="20"/>
        </w:rPr>
        <w:drawing>
          <wp:inline distT="0" distB="0" distL="0" distR="0">
            <wp:extent cx="4816290" cy="3857625"/>
            <wp:effectExtent l="0" t="0" r="0" b="0"/>
            <wp:docPr id="37" name="image21.jpeg" descr=""/>
            <wp:cNvGraphicFramePr>
              <a:graphicFrameLocks noChangeAspect="1"/>
            </wp:cNvGraphicFramePr>
            <a:graphic>
              <a:graphicData uri="http://schemas.openxmlformats.org/drawingml/2006/picture">
                <pic:pic>
                  <pic:nvPicPr>
                    <pic:cNvPr id="38" name="image21.jpeg"/>
                    <pic:cNvPicPr/>
                  </pic:nvPicPr>
                  <pic:blipFill>
                    <a:blip r:embed="rId34" cstate="print"/>
                    <a:stretch>
                      <a:fillRect/>
                    </a:stretch>
                  </pic:blipFill>
                  <pic:spPr>
                    <a:xfrm>
                      <a:off x="0" y="0"/>
                      <a:ext cx="4816290" cy="3857625"/>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8"/>
        </w:rPr>
      </w:pPr>
    </w:p>
    <w:p>
      <w:pPr>
        <w:pStyle w:val="BodyText"/>
        <w:spacing w:line="477" w:lineRule="auto" w:before="70"/>
        <w:ind w:left="102" w:right="501"/>
      </w:pPr>
      <w:bookmarkStart w:name="_bookmark26" w:id="31"/>
      <w:bookmarkEnd w:id="31"/>
      <w:r>
        <w:rPr/>
      </w:r>
      <w:r>
        <w:rPr/>
        <w:t>Figure 4.2 Association between the proportions of consumed biomass of armadillo by cougars and the relative abundance of armadillo showing a type III functional response.</w:t>
      </w:r>
    </w:p>
    <w:p>
      <w:pPr>
        <w:spacing w:after="0" w:line="477" w:lineRule="auto"/>
        <w:sectPr>
          <w:pgSz w:w="12240" w:h="15840"/>
          <w:pgMar w:header="740" w:footer="779" w:top="960" w:bottom="96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spacing w:before="22"/>
        <w:ind w:left="114" w:right="233"/>
        <w:jc w:val="center"/>
      </w:pPr>
      <w:bookmarkStart w:name="_bookmark27" w:id="32"/>
      <w:bookmarkEnd w:id="32"/>
      <w:r>
        <w:rPr>
          <w:b w:val="0"/>
        </w:rPr>
      </w:r>
      <w:r>
        <w:rPr/>
        <w:t>CAPÍTULO V</w:t>
      </w:r>
    </w:p>
    <w:p>
      <w:pPr>
        <w:spacing w:after="0"/>
        <w:jc w:val="center"/>
        <w:sectPr>
          <w:pgSz w:w="12240" w:h="15840"/>
          <w:pgMar w:header="740" w:footer="779" w:top="960" w:bottom="960" w:left="1720" w:right="1600"/>
        </w:sectPr>
      </w:pPr>
    </w:p>
    <w:p>
      <w:pPr>
        <w:pStyle w:val="BodyText"/>
        <w:spacing w:before="13"/>
        <w:rPr>
          <w:rFonts w:ascii="Palatino Linotype"/>
          <w:b/>
          <w:sz w:val="27"/>
        </w:rPr>
      </w:pPr>
    </w:p>
    <w:p>
      <w:pPr>
        <w:pStyle w:val="BodyText"/>
        <w:spacing w:line="480" w:lineRule="auto" w:before="69" w:after="18"/>
        <w:ind w:left="2517" w:right="100" w:hanging="2101"/>
      </w:pPr>
      <w:r>
        <w:rPr/>
        <w:t>CAPÍTULO V. Artículo enviado al Congreso Mesoaméricano para la Biología y la Conservación, en la ciudad de Panamá.</w:t>
      </w:r>
    </w:p>
    <w:p>
      <w:pPr>
        <w:pStyle w:val="BodyText"/>
        <w:ind w:left="885"/>
        <w:rPr>
          <w:sz w:val="20"/>
        </w:rPr>
      </w:pPr>
      <w:r>
        <w:rPr>
          <w:sz w:val="20"/>
        </w:rPr>
        <w:drawing>
          <wp:inline distT="0" distB="0" distL="0" distR="0">
            <wp:extent cx="3937425" cy="5057013"/>
            <wp:effectExtent l="0" t="0" r="0" b="0"/>
            <wp:docPr id="39" name="image22.jpeg" descr=""/>
            <wp:cNvGraphicFramePr>
              <a:graphicFrameLocks noChangeAspect="1"/>
            </wp:cNvGraphicFramePr>
            <a:graphic>
              <a:graphicData uri="http://schemas.openxmlformats.org/drawingml/2006/picture">
                <pic:pic>
                  <pic:nvPicPr>
                    <pic:cNvPr id="40" name="image22.jpeg"/>
                    <pic:cNvPicPr/>
                  </pic:nvPicPr>
                  <pic:blipFill>
                    <a:blip r:embed="rId35" cstate="print"/>
                    <a:stretch>
                      <a:fillRect/>
                    </a:stretch>
                  </pic:blipFill>
                  <pic:spPr>
                    <a:xfrm>
                      <a:off x="0" y="0"/>
                      <a:ext cx="3937425" cy="5057013"/>
                    </a:xfrm>
                    <a:prstGeom prst="rect">
                      <a:avLst/>
                    </a:prstGeom>
                  </pic:spPr>
                </pic:pic>
              </a:graphicData>
            </a:graphic>
          </wp:inline>
        </w:drawing>
      </w:r>
      <w:r>
        <w:rPr>
          <w:sz w:val="20"/>
        </w:rPr>
      </w:r>
    </w:p>
    <w:p>
      <w:pPr>
        <w:spacing w:after="0"/>
        <w:rPr>
          <w:sz w:val="20"/>
        </w:rPr>
        <w:sectPr>
          <w:pgSz w:w="12240" w:h="15840"/>
          <w:pgMar w:header="740" w:footer="779" w:top="960" w:bottom="960" w:left="172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pStyle w:val="Heading2"/>
        <w:numPr>
          <w:ilvl w:val="0"/>
          <w:numId w:val="5"/>
        </w:numPr>
        <w:tabs>
          <w:tab w:pos="395" w:val="left" w:leader="none"/>
        </w:tabs>
        <w:spacing w:line="480" w:lineRule="auto" w:before="69" w:after="0"/>
        <w:ind w:left="102" w:right="421" w:firstLine="0"/>
        <w:jc w:val="left"/>
      </w:pPr>
      <w:bookmarkStart w:name="_bookmark28" w:id="33"/>
      <w:bookmarkEnd w:id="33"/>
      <w:r>
        <w:rPr>
          <w:b w:val="0"/>
        </w:rPr>
      </w:r>
      <w:bookmarkStart w:name="_bookmark28" w:id="34"/>
      <w:bookmarkEnd w:id="34"/>
      <w:r>
        <w:rPr/>
        <w:t>PATRÓN</w:t>
      </w:r>
      <w:r>
        <w:rPr/>
        <w:t> DE ACTIVIDAD DE </w:t>
      </w:r>
      <w:r>
        <w:rPr>
          <w:i/>
        </w:rPr>
        <w:t>Puma concolor </w:t>
      </w:r>
      <w:r>
        <w:rPr/>
        <w:t>Y SUS PRESAS PRINCIPALES EN EL CENTRO DE</w:t>
      </w:r>
      <w:r>
        <w:rPr>
          <w:spacing w:val="-5"/>
        </w:rPr>
        <w:t> </w:t>
      </w:r>
      <w:r>
        <w:rPr/>
        <w:t>MÉXICO.</w:t>
      </w:r>
    </w:p>
    <w:p>
      <w:pPr>
        <w:pStyle w:val="BodyText"/>
        <w:rPr>
          <w:b/>
        </w:rPr>
      </w:pPr>
    </w:p>
    <w:p>
      <w:pPr>
        <w:pStyle w:val="BodyText"/>
        <w:spacing w:before="4"/>
        <w:rPr>
          <w:b/>
          <w:sz w:val="21"/>
        </w:rPr>
      </w:pPr>
    </w:p>
    <w:p>
      <w:pPr>
        <w:pStyle w:val="BodyText"/>
        <w:spacing w:line="448" w:lineRule="auto"/>
        <w:ind w:left="102"/>
      </w:pPr>
      <w:r>
        <w:rPr/>
        <w:t>Leroy Soria-Díaz</w:t>
      </w:r>
      <w:r>
        <w:rPr>
          <w:position w:val="11"/>
          <w:sz w:val="16"/>
        </w:rPr>
        <w:t>A</w:t>
      </w:r>
      <w:r>
        <w:rPr/>
        <w:t>, Octavio Monroy-Vilchis</w:t>
      </w:r>
      <w:r>
        <w:rPr>
          <w:position w:val="11"/>
          <w:sz w:val="16"/>
        </w:rPr>
        <w:t>A</w:t>
      </w:r>
      <w:r>
        <w:rPr/>
        <w:t>* Zuleyma Zarco-González</w:t>
      </w:r>
      <w:r>
        <w:rPr>
          <w:position w:val="11"/>
          <w:sz w:val="16"/>
        </w:rPr>
        <w:t>A </w:t>
      </w:r>
      <w:r>
        <w:rPr/>
        <w:t>y Martha Zarco González</w:t>
      </w:r>
      <w:r>
        <w:rPr>
          <w:position w:val="11"/>
          <w:sz w:val="16"/>
        </w:rPr>
        <w:t>A</w:t>
      </w:r>
      <w:r>
        <w:rPr/>
        <w:t>.</w:t>
      </w:r>
    </w:p>
    <w:p>
      <w:pPr>
        <w:pStyle w:val="BodyText"/>
        <w:spacing w:line="287" w:lineRule="exact"/>
        <w:ind w:left="102"/>
      </w:pPr>
      <w:r>
        <w:rPr>
          <w:position w:val="11"/>
          <w:sz w:val="16"/>
        </w:rPr>
        <w:t>A</w:t>
      </w:r>
      <w:r>
        <w:rPr/>
        <w:t>Estación Biológica Sierra Nanchititla, Facultad de Ciencias, Universidad Autónoma del</w:t>
      </w:r>
    </w:p>
    <w:p>
      <w:pPr>
        <w:pStyle w:val="BodyText"/>
      </w:pPr>
    </w:p>
    <w:p>
      <w:pPr>
        <w:pStyle w:val="BodyText"/>
        <w:spacing w:line="480" w:lineRule="auto"/>
        <w:ind w:left="102" w:right="1812"/>
      </w:pPr>
      <w:r>
        <w:rPr/>
        <w:t>Estado de México, Instituto Literario 100, Centro, 50000 Toluca, México. </w:t>
      </w:r>
      <w:hyperlink r:id="rId29">
        <w:r>
          <w:rPr>
            <w:color w:val="0000FF"/>
            <w:u w:val="single" w:color="0000FF"/>
          </w:rPr>
          <w:t>leroysoriadiaz@gmail.com</w:t>
        </w:r>
      </w:hyperlink>
      <w:r>
        <w:rPr/>
        <w:t>, </w:t>
      </w:r>
      <w:hyperlink r:id="rId24">
        <w:r>
          <w:rPr/>
          <w:t>tavomonroyvilchis@gmail.com</w:t>
        </w:r>
      </w:hyperlink>
    </w:p>
    <w:p>
      <w:pPr>
        <w:pStyle w:val="BodyText"/>
        <w:spacing w:before="10"/>
        <w:ind w:left="102"/>
      </w:pPr>
      <w:r>
        <w:rPr/>
        <w:t>Tel: +01 722 2 96 55 53</w:t>
      </w:r>
    </w:p>
    <w:p>
      <w:pPr>
        <w:pStyle w:val="BodyText"/>
      </w:pPr>
    </w:p>
    <w:p>
      <w:pPr>
        <w:pStyle w:val="BodyText"/>
      </w:pPr>
    </w:p>
    <w:p>
      <w:pPr>
        <w:pStyle w:val="BodyText"/>
      </w:pPr>
    </w:p>
    <w:p>
      <w:pPr>
        <w:pStyle w:val="BodyText"/>
        <w:ind w:left="102"/>
      </w:pPr>
      <w:r>
        <w:rPr/>
        <w:t>*Autor de correspondencia. Email: tavomonroyvilchis@gmail.</w:t>
      </w:r>
    </w:p>
    <w:p>
      <w:pPr>
        <w:pStyle w:val="BodyText"/>
      </w:pPr>
    </w:p>
    <w:p>
      <w:pPr>
        <w:pStyle w:val="BodyText"/>
      </w:pPr>
    </w:p>
    <w:p>
      <w:pPr>
        <w:pStyle w:val="BodyText"/>
        <w:spacing w:before="2"/>
      </w:pPr>
    </w:p>
    <w:p>
      <w:pPr>
        <w:pStyle w:val="Heading2"/>
        <w:spacing w:before="1"/>
      </w:pPr>
      <w:r>
        <w:rPr/>
        <w:t>INTRODUCCIÓN</w:t>
      </w:r>
    </w:p>
    <w:p>
      <w:pPr>
        <w:pStyle w:val="BodyText"/>
        <w:rPr>
          <w:b/>
        </w:rPr>
      </w:pPr>
    </w:p>
    <w:p>
      <w:pPr>
        <w:pStyle w:val="BodyText"/>
        <w:rPr>
          <w:b/>
        </w:rPr>
      </w:pPr>
    </w:p>
    <w:p>
      <w:pPr>
        <w:pStyle w:val="BodyText"/>
        <w:spacing w:before="6"/>
        <w:rPr>
          <w:b/>
          <w:sz w:val="23"/>
        </w:rPr>
      </w:pPr>
    </w:p>
    <w:p>
      <w:pPr>
        <w:pStyle w:val="BodyText"/>
        <w:spacing w:line="480" w:lineRule="auto"/>
        <w:ind w:left="102" w:right="104" w:firstLine="707"/>
        <w:jc w:val="both"/>
      </w:pPr>
      <w:r>
        <w:rPr/>
        <w:t>Uno de los ejes del nicho ecológico es el temporal, que se refiere al tiempo en el que un animal se encuentra despierto o activo para satisfacer sus necesidades (Pianka 1974) y</w:t>
      </w:r>
      <w:r>
        <w:rPr>
          <w:spacing w:val="-17"/>
        </w:rPr>
        <w:t> </w:t>
      </w:r>
      <w:r>
        <w:rPr/>
        <w:t>es también un buen mediador de las interacciones ecológicas intra e</w:t>
      </w:r>
      <w:r>
        <w:rPr>
          <w:spacing w:val="-14"/>
        </w:rPr>
        <w:t> </w:t>
      </w:r>
      <w:r>
        <w:rPr/>
        <w:t>interespecificas</w:t>
      </w:r>
    </w:p>
    <w:p>
      <w:pPr>
        <w:pStyle w:val="BodyText"/>
        <w:spacing w:line="480" w:lineRule="auto" w:before="10"/>
        <w:ind w:left="102" w:right="128"/>
      </w:pPr>
      <w:r>
        <w:rPr/>
        <w:t>(Kronfeld-Schor &amp; Dayan 2003, Pizzatto et al. 2008 </w:t>
      </w:r>
      <w:r>
        <w:rPr>
          <w:sz w:val="20"/>
        </w:rPr>
        <w:t>)</w:t>
      </w:r>
      <w:r>
        <w:rPr/>
        <w:t>. Este recurso temporal, comúnmente llamado patrón de actividad, puede aportar información sobre las estrategias que adoptan las especies para sobrevivir y de esta manera ayudar a los planes de manejo y conservación (Feng et al. 2012). Existen varios factores que pueden modificar este recurso, como la iluminación lunar, la temperatura, la masa corporal,  la presencia humana, la adquisición de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94"/>
      </w:pPr>
      <w:r>
        <w:rPr/>
        <w:t>presas y la competencia con especies simpátricas (Lucherini et al. 2009, Paviolo et al. 2009, Schmidt et al. 2009, Harmsen et al 2011, Romero-Muñoz et al. 2011, Arias del Razo et al. 2011, Eriksen et al. 2011). Sin embargo en especies de carnívoros hay pocos trabajos donde se evalué su actividad y se relacione con alguno de estos factores.</w:t>
      </w:r>
    </w:p>
    <w:p>
      <w:pPr>
        <w:pStyle w:val="BodyText"/>
        <w:spacing w:line="480" w:lineRule="auto" w:before="10"/>
        <w:ind w:left="102" w:right="123" w:firstLine="707"/>
      </w:pPr>
      <w:r>
        <w:rPr/>
        <w:t>Los sistemas depredador-presa están reguladas principalmente por la habilidad del depredador para cazar y las estrategias que utilizan las presas para evitar ser depredadas, en algunos herbívoros se ha encontrado que como estrategia anti-depredatoria utilizan horarios nocturnos o antagonicos a los depredadores para disminuir el riesgo de depredación. Sin embargo también sea mostrado que los depredadores para incrementar el acceso al alimento, modifican su actividad para coincidir con el de sus presas principales (Arias-Del Razoet al. 2011, Harmsen et al. 2011; Jenny and Zuberbuhler 2005). En distintos estudios se ha encontrado que la actividad de jaguares y pumas coinciden con el de sus presas principales (Carrillo et al. 2009, Harmsen et al. 2011), mientras que en otros no se muestra esta relación, posiblemente por la alta disponibilidad de presas (Romero-Muñoz et al. 2010, Arias-Del Razo et al. 2011).</w:t>
      </w:r>
    </w:p>
    <w:p>
      <w:pPr>
        <w:pStyle w:val="BodyText"/>
        <w:spacing w:line="480" w:lineRule="auto" w:before="10"/>
        <w:ind w:left="102" w:right="114" w:firstLine="707"/>
      </w:pPr>
      <w:r>
        <w:rPr/>
        <w:t>Por otro lado, se ha evidenciado en estudios de laboratorio con mamíferos pequeños que la relación depredador-presa puede estar afectada por la fase de luna llena durante el ciclo lunar (Clarke 1983), los depredadores durante esta fase son más activos y son mejores cazadores y las presas disminuyen su actividad para evitar ser depredadas porque son visualmente más vulnerables a los depredadores (Lucherini et al. 2009, Iriarte et al. 2009). Se ha documentado que en luna llena los felinos tienen mejor visibilidad y pueden ser más activos, mientras que las presas pueden ser más vulnerables (Sunquist and Sunquist 2002; Di Bitetti et al. 2006) o disminuyen su actividad para evitar la depredación (Arias-Del Razo et al 2011). En Belice describen que la luna llena no influye en la actividad de puma, pero</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940"/>
      </w:pPr>
      <w:r>
        <w:rPr/>
        <w:t>sí en la de su presa principal (</w:t>
      </w:r>
      <w:r>
        <w:rPr>
          <w:i/>
        </w:rPr>
        <w:t>Agouti paca</w:t>
      </w:r>
      <w:r>
        <w:rPr/>
        <w:t>) disminuyendo su actividad (Harmsen et al.2011).</w:t>
      </w:r>
    </w:p>
    <w:p>
      <w:pPr>
        <w:pStyle w:val="BodyText"/>
        <w:spacing w:line="480" w:lineRule="auto" w:before="10"/>
        <w:ind w:left="102" w:right="140" w:firstLine="707"/>
      </w:pPr>
      <w:r>
        <w:rPr/>
        <w:t>La telemetría ha sido una de las herramientas más utilizada para obtener datos sobre patrón de actividad, sin embargo es invasiva y costosa (</w:t>
      </w:r>
      <w:r>
        <w:rPr>
          <w:color w:val="201D1E"/>
        </w:rPr>
        <w:t>Schai-Braun et al. 2012)</w:t>
      </w:r>
      <w:r>
        <w:rPr/>
        <w:t>. Mientras que las trampas cámara han sido consideradas eficientes en investigaciones ecológicas y de comportamiento, no es invasiva y su costo es bajo (Maffeí et al. 2002, Soria-Díaz et al 2010). Aprovechando que en las fotografías se imprime la hora y fecha de cada registro, estas se han utilizado para determinar el patrón de actividad de diferentes especies de mamíferos (Kolowski and Alonso 2010, Monroy-Vilchis et al. 2011).</w:t>
      </w:r>
    </w:p>
    <w:p>
      <w:pPr>
        <w:pStyle w:val="BodyText"/>
        <w:spacing w:line="472" w:lineRule="auto" w:before="10"/>
        <w:ind w:left="102" w:right="136" w:firstLine="707"/>
      </w:pPr>
      <w:r>
        <w:rPr/>
        <w:t>En la Reserva Natural Sierra Nanchititla (RNSN) en el centro de México, el puma coexiste con el jaguar, utilizan hábitat semejantes y ambos son considerados nocturnos, sin embargo el puma extiende su actividad hacia el crepúsculo (Monroy-Vilchis et al 2009) y es más abundante que el jaguar en una proporción (jaguar:puma) de 1:5 por 100km</w:t>
      </w:r>
      <w:r>
        <w:rPr>
          <w:position w:val="11"/>
          <w:sz w:val="16"/>
        </w:rPr>
        <w:t>2 </w:t>
      </w:r>
      <w:r>
        <w:rPr/>
        <w:t>(Soria- Díaz et al. 2010), también se ha documentado con estudios de nicho trófico que se han</w:t>
      </w:r>
    </w:p>
    <w:p>
      <w:pPr>
        <w:pStyle w:val="BodyText"/>
        <w:spacing w:line="480" w:lineRule="auto" w:before="18"/>
        <w:ind w:left="102"/>
      </w:pPr>
      <w:r>
        <w:rPr/>
        <w:t>realizado durante más de ocho años de muestreo continuo, que las tres presas principales en la dieta de puma son armadillo (54% de frecuencia de ocurrencia (FO)), coati (16% FO) y venado cola blanca (8% FO) (Monroy-Vilchis </w:t>
      </w:r>
      <w:r>
        <w:rPr>
          <w:i/>
        </w:rPr>
        <w:t>et al. </w:t>
      </w:r>
      <w:r>
        <w:rPr/>
        <w:t>2009, Gómez-Ortíz </w:t>
      </w:r>
      <w:r>
        <w:rPr>
          <w:i/>
        </w:rPr>
        <w:t>et al. </w:t>
      </w:r>
      <w:r>
        <w:rPr/>
        <w:t>2011).</w:t>
      </w:r>
    </w:p>
    <w:p>
      <w:pPr>
        <w:pStyle w:val="BodyText"/>
        <w:spacing w:line="480" w:lineRule="auto" w:before="10"/>
        <w:ind w:left="102" w:right="106" w:firstLine="707"/>
      </w:pPr>
      <w:r>
        <w:rPr/>
        <w:t>Con base en los antecedentes de este estudio se plantean dos hipótesis: 1) Que el patrón de actividad de puma en la RNSN coincida con el de armadillo y no con el de coatí</w:t>
      </w:r>
      <w:r>
        <w:rPr>
          <w:spacing w:val="-13"/>
        </w:rPr>
        <w:t> </w:t>
      </w:r>
      <w:r>
        <w:rPr/>
        <w:t>y venado que son presas menos importantes en su dieta, y 2) que la fase de luna llena aumente la actividad de puma y disminuya la de su presa principal (armadillo) como una estrategia anti-depredatoria. De esta manera los objetivos fueron 1) analizar el patrón de actividad de puma en relación al de sus presas principales en la RNSN, a través del uso</w:t>
      </w:r>
      <w:r>
        <w:rPr>
          <w:spacing w:val="-12"/>
        </w:rPr>
        <w:t> </w:t>
      </w:r>
      <w:r>
        <w:rPr/>
        <w:t>de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338"/>
      </w:pPr>
      <w:r>
        <w:rPr/>
        <w:t>trampas-cámara y 2) describir el efecto de la luna llena sobre el patrón de actividad de puma y armadillo.</w:t>
      </w:r>
    </w:p>
    <w:p>
      <w:pPr>
        <w:pStyle w:val="BodyText"/>
      </w:pPr>
    </w:p>
    <w:p>
      <w:pPr>
        <w:pStyle w:val="BodyText"/>
      </w:pPr>
    </w:p>
    <w:p>
      <w:pPr>
        <w:pStyle w:val="BodyText"/>
      </w:pPr>
    </w:p>
    <w:p>
      <w:pPr>
        <w:pStyle w:val="BodyText"/>
      </w:pPr>
    </w:p>
    <w:p>
      <w:pPr>
        <w:pStyle w:val="BodyText"/>
      </w:pPr>
    </w:p>
    <w:p>
      <w:pPr>
        <w:pStyle w:val="BodyText"/>
        <w:spacing w:before="3"/>
        <w:rPr>
          <w:sz w:val="25"/>
        </w:rPr>
      </w:pPr>
    </w:p>
    <w:p>
      <w:pPr>
        <w:pStyle w:val="Heading2"/>
      </w:pPr>
      <w:r>
        <w:rPr/>
        <w:t>ÁREA DE ESTUDIO</w:t>
      </w:r>
    </w:p>
    <w:p>
      <w:pPr>
        <w:pStyle w:val="BodyText"/>
        <w:spacing w:before="6"/>
        <w:rPr>
          <w:b/>
          <w:sz w:val="23"/>
        </w:rPr>
      </w:pPr>
    </w:p>
    <w:p>
      <w:pPr>
        <w:pStyle w:val="BodyText"/>
        <w:spacing w:line="465" w:lineRule="auto"/>
        <w:ind w:left="102" w:right="122" w:firstLine="707"/>
        <w:jc w:val="both"/>
      </w:pPr>
      <w:r>
        <w:rPr/>
        <w:t>La Reserva Natural Sierra Nanchititla (RNSN), se encuentra en el centro de México dentro de la región biogeografía Cuenca del Balsas. Presenta altitudes que varían de los</w:t>
      </w:r>
      <w:r>
        <w:rPr>
          <w:spacing w:val="-20"/>
        </w:rPr>
        <w:t> </w:t>
      </w:r>
      <w:r>
        <w:rPr/>
        <w:t>410 a los 2080 msnm y su extensión territorial es aproximadamente de 664 km</w:t>
      </w:r>
      <w:r>
        <w:rPr>
          <w:position w:val="11"/>
          <w:sz w:val="16"/>
        </w:rPr>
        <w:t>2 </w:t>
      </w:r>
      <w:r>
        <w:rPr/>
        <w:t>(Figura</w:t>
      </w:r>
      <w:r>
        <w:rPr>
          <w:spacing w:val="8"/>
        </w:rPr>
        <w:t> </w:t>
      </w:r>
      <w:r>
        <w:rPr/>
        <w:t>5.1).</w:t>
      </w:r>
    </w:p>
    <w:p>
      <w:pPr>
        <w:pStyle w:val="BodyText"/>
        <w:spacing w:line="480" w:lineRule="auto"/>
        <w:ind w:left="102" w:right="227"/>
      </w:pPr>
      <w:r>
        <w:rPr/>
        <w:t>La selva baja caducifolia abarca el 36.9% de la reserva, el bosque de encino el 29.8%, el bosque de pino-encino el 18.12%, el pastizal 8.44% y los campos de cultivo el 6.61%. En la RNSN se ha descrito la presencia de 53 especies de mamíferos lo que representa el 10% de la mastofauna del país (Monroy-Vilchis et al. 2011) e incluye 5 de los 6 felinos que se han registrado para el país (</w:t>
      </w:r>
      <w:r>
        <w:rPr>
          <w:i/>
        </w:rPr>
        <w:t>Panthera onca, Leopardus wiedii, L. pardalis, Puma </w:t>
      </w:r>
      <w:r>
        <w:rPr>
          <w:i/>
        </w:rPr>
        <w:t>yagouaroundi  </w:t>
      </w:r>
      <w:r>
        <w:rPr/>
        <w:t>y </w:t>
      </w:r>
      <w:r>
        <w:rPr>
          <w:i/>
        </w:rPr>
        <w:t>P. concolor</w:t>
      </w:r>
      <w:r>
        <w:rPr/>
        <w:t>, Sánchez et al. 2002, Monroy-Vilchis et al. 2008).</w:t>
      </w:r>
    </w:p>
    <w:p>
      <w:pPr>
        <w:spacing w:after="0" w:line="480" w:lineRule="auto"/>
        <w:sectPr>
          <w:pgSz w:w="12240" w:h="15840"/>
          <w:pgMar w:header="740" w:footer="779" w:top="960" w:bottom="960" w:left="1600" w:right="1600"/>
        </w:sectPr>
      </w:pPr>
    </w:p>
    <w:p>
      <w:pPr>
        <w:pStyle w:val="BodyText"/>
        <w:rPr>
          <w:sz w:val="20"/>
        </w:rPr>
      </w:pPr>
    </w:p>
    <w:p>
      <w:pPr>
        <w:pStyle w:val="BodyText"/>
        <w:spacing w:before="7"/>
        <w:rPr>
          <w:sz w:val="19"/>
        </w:rPr>
      </w:pPr>
    </w:p>
    <w:p>
      <w:pPr>
        <w:pStyle w:val="BodyText"/>
        <w:ind w:left="839"/>
        <w:rPr>
          <w:sz w:val="20"/>
        </w:rPr>
      </w:pPr>
      <w:r>
        <w:rPr>
          <w:sz w:val="20"/>
        </w:rPr>
        <w:drawing>
          <wp:inline distT="0" distB="0" distL="0" distR="0">
            <wp:extent cx="4217199" cy="5169408"/>
            <wp:effectExtent l="0" t="0" r="0" b="0"/>
            <wp:docPr id="41" name="image23.jpeg" descr=""/>
            <wp:cNvGraphicFramePr>
              <a:graphicFrameLocks noChangeAspect="1"/>
            </wp:cNvGraphicFramePr>
            <a:graphic>
              <a:graphicData uri="http://schemas.openxmlformats.org/drawingml/2006/picture">
                <pic:pic>
                  <pic:nvPicPr>
                    <pic:cNvPr id="42" name="image23.jpeg"/>
                    <pic:cNvPicPr/>
                  </pic:nvPicPr>
                  <pic:blipFill>
                    <a:blip r:embed="rId36" cstate="print"/>
                    <a:stretch>
                      <a:fillRect/>
                    </a:stretch>
                  </pic:blipFill>
                  <pic:spPr>
                    <a:xfrm>
                      <a:off x="0" y="0"/>
                      <a:ext cx="4217199" cy="5169408"/>
                    </a:xfrm>
                    <a:prstGeom prst="rect">
                      <a:avLst/>
                    </a:prstGeom>
                  </pic:spPr>
                </pic:pic>
              </a:graphicData>
            </a:graphic>
          </wp:inline>
        </w:drawing>
      </w:r>
      <w:r>
        <w:rPr>
          <w:sz w:val="20"/>
        </w:rPr>
      </w:r>
    </w:p>
    <w:p>
      <w:pPr>
        <w:pStyle w:val="BodyText"/>
        <w:rPr>
          <w:sz w:val="20"/>
        </w:rPr>
      </w:pPr>
    </w:p>
    <w:p>
      <w:pPr>
        <w:pStyle w:val="BodyText"/>
        <w:spacing w:before="189"/>
        <w:ind w:left="102"/>
      </w:pPr>
      <w:bookmarkStart w:name="_bookmark29" w:id="35"/>
      <w:bookmarkEnd w:id="35"/>
      <w:r>
        <w:rPr/>
      </w:r>
      <w:r>
        <w:rPr/>
        <w:t>Figura 5.1 Ubicación de la Reserva Natural Sierra Nanchititla y Cuenca del Balsas, México.</w:t>
      </w:r>
    </w:p>
    <w:p>
      <w:pPr>
        <w:pStyle w:val="BodyText"/>
      </w:pPr>
    </w:p>
    <w:p>
      <w:pPr>
        <w:pStyle w:val="BodyText"/>
      </w:pPr>
    </w:p>
    <w:p>
      <w:pPr>
        <w:pStyle w:val="BodyText"/>
      </w:pPr>
    </w:p>
    <w:p>
      <w:pPr>
        <w:pStyle w:val="BodyText"/>
      </w:pPr>
    </w:p>
    <w:p>
      <w:pPr>
        <w:pStyle w:val="BodyText"/>
        <w:spacing w:before="2"/>
      </w:pPr>
    </w:p>
    <w:p>
      <w:pPr>
        <w:pStyle w:val="Heading2"/>
      </w:pPr>
      <w:r>
        <w:rPr/>
        <w:t>MATERIALES Y MÉTODO</w:t>
      </w:r>
    </w:p>
    <w:p>
      <w:pPr>
        <w:pStyle w:val="BodyText"/>
        <w:spacing w:before="7"/>
        <w:rPr>
          <w:b/>
          <w:sz w:val="23"/>
        </w:rPr>
      </w:pPr>
    </w:p>
    <w:p>
      <w:pPr>
        <w:pStyle w:val="BodyText"/>
        <w:spacing w:line="480" w:lineRule="auto"/>
        <w:ind w:left="102" w:right="104" w:firstLine="707"/>
      </w:pPr>
      <w:r>
        <w:rPr/>
        <w:t>Se realizaron dos muestreos, el primero tuvo una duración de dos años, de enero 2006 a diciembre del 2007, en el que se colocaron 17 trampas-cámara con una separación aproximada de 3 a 5.5 km debido a la accesibilidad de los sitios de muestreo. El segundo muestreo duró un año, de enero a diciembre del 2011, en el que se colocaron 16 trampas-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75"/>
      </w:pPr>
      <w:r>
        <w:rPr/>
        <w:t>cámara con una separación de 300 a 500 m, en ambos muestreos las cámaras se colocaron sobre troncos de árboles a 30-40 cm del suelo, sobre caminos amplios, veredas, sitios sin camino y cerca de cuerpos de agua, para incrementar la probabilidad de fotografiar mamíferos medianos y grandes (Harmsen et al. 2009). Cada cámara fue programada para que imprimiera la hora y fecha en cada fotografía y tuviera un intervalo de un minuto entre la toma de fotografías consecutivas y se revisaron mensualmente para verificar su funcionamiento y reemplazar la batería. Se utilizaron cámaras marca Camtrakker de 35 mm y Scoutguard digitales, ambas con sensores pasivos de movimiento y temperatura.</w:t>
      </w:r>
    </w:p>
    <w:p>
      <w:pPr>
        <w:pStyle w:val="Heading2"/>
        <w:spacing w:before="15"/>
      </w:pPr>
      <w:r>
        <w:rPr/>
        <w:t>Patrón de actividad</w:t>
      </w:r>
    </w:p>
    <w:p>
      <w:pPr>
        <w:pStyle w:val="BodyText"/>
        <w:spacing w:before="6"/>
        <w:rPr>
          <w:b/>
          <w:sz w:val="23"/>
        </w:rPr>
      </w:pPr>
    </w:p>
    <w:p>
      <w:pPr>
        <w:pStyle w:val="BodyText"/>
        <w:spacing w:line="480" w:lineRule="auto"/>
        <w:ind w:left="102" w:right="122" w:firstLine="707"/>
      </w:pPr>
      <w:r>
        <w:rPr/>
        <w:t>Para obtener el patrón de actividad de puma y cada una de sus presas, solo se tomaron en cuenta las fotografías con buena resolución visual y con la hora visible y se cuantificó el porcentaje de registros independiente de cada especie en intervalos de una hora (en las 24 hrs. del día). Para evitar la pseudoreplicación de los registros se consideraron independientes en los siguientes casos: 1) fotografías de individuos</w:t>
      </w:r>
      <w:r>
        <w:rPr>
          <w:spacing w:val="-15"/>
        </w:rPr>
        <w:t> </w:t>
      </w:r>
      <w:r>
        <w:rPr/>
        <w:t>diferentes, en los que se pudo identificar a los individuos (ejem. puma y venado, Soria-Díaz et</w:t>
      </w:r>
      <w:r>
        <w:rPr>
          <w:spacing w:val="-10"/>
        </w:rPr>
        <w:t> </w:t>
      </w:r>
      <w:r>
        <w:rPr/>
        <w:t>al.</w:t>
      </w:r>
    </w:p>
    <w:p>
      <w:pPr>
        <w:pStyle w:val="BodyText"/>
        <w:spacing w:line="480" w:lineRule="auto" w:before="10"/>
        <w:ind w:left="102" w:right="102"/>
      </w:pPr>
      <w:r>
        <w:rPr/>
        <w:t>2010) y 2) registros de una misma especie separadas por más de 1 hora (O´Brien et al. 2003). Se consideró de día de las 08:00 a 17:59 horas, noche de las 20:00 a 05:59, amanecer de las 06:00 a 07:59 y atardecer de las 18:00 a 19:59. Se obtuvo un solo patrón de actividad para cada especie de los dos muestreos realizados, debido a que la actividad fue muy similar en ambos</w:t>
      </w:r>
      <w:r>
        <w:rPr>
          <w:spacing w:val="-7"/>
        </w:rPr>
        <w:t> </w:t>
      </w:r>
      <w:r>
        <w:rPr/>
        <w:t>muestreos.</w:t>
      </w:r>
    </w:p>
    <w:p>
      <w:pPr>
        <w:pStyle w:val="BodyText"/>
        <w:spacing w:line="480" w:lineRule="auto" w:before="10"/>
        <w:ind w:left="102" w:right="288" w:firstLine="707"/>
      </w:pPr>
      <w:r>
        <w:rPr/>
        <w:t>Se aplicaron correlaciones de Sperman para analizar el tipo de relación que hay entre el porcentaje de actividad de puma con el de cada especie presa y se utilizó el índice de Pianka para saber el nivel de solapamiento en las horas de actividad de estas mismas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after="19"/>
        <w:ind w:left="102" w:right="94"/>
      </w:pPr>
      <w:r>
        <w:rPr/>
        <w:t>especies. Este índice toma valores de 0 a 1, en el que cero indica que no hay solapamiento y uno solapamiento completo (Pianka 1974):</w:t>
      </w:r>
    </w:p>
    <w:p>
      <w:pPr>
        <w:pStyle w:val="BodyText"/>
        <w:ind w:left="3599"/>
        <w:rPr>
          <w:sz w:val="20"/>
        </w:rPr>
      </w:pPr>
      <w:r>
        <w:rPr>
          <w:sz w:val="20"/>
        </w:rPr>
        <w:drawing>
          <wp:inline distT="0" distB="0" distL="0" distR="0">
            <wp:extent cx="1632965" cy="1323975"/>
            <wp:effectExtent l="0" t="0" r="0" b="0"/>
            <wp:docPr id="43" name="image24.png" descr=""/>
            <wp:cNvGraphicFramePr>
              <a:graphicFrameLocks noChangeAspect="1"/>
            </wp:cNvGraphicFramePr>
            <a:graphic>
              <a:graphicData uri="http://schemas.openxmlformats.org/drawingml/2006/picture">
                <pic:pic>
                  <pic:nvPicPr>
                    <pic:cNvPr id="44" name="image24.png"/>
                    <pic:cNvPicPr/>
                  </pic:nvPicPr>
                  <pic:blipFill>
                    <a:blip r:embed="rId37" cstate="print"/>
                    <a:stretch>
                      <a:fillRect/>
                    </a:stretch>
                  </pic:blipFill>
                  <pic:spPr>
                    <a:xfrm>
                      <a:off x="0" y="0"/>
                      <a:ext cx="1632965" cy="1323975"/>
                    </a:xfrm>
                    <a:prstGeom prst="rect">
                      <a:avLst/>
                    </a:prstGeom>
                  </pic:spPr>
                </pic:pic>
              </a:graphicData>
            </a:graphic>
          </wp:inline>
        </w:drawing>
      </w:r>
      <w:r>
        <w:rPr>
          <w:sz w:val="20"/>
        </w:rPr>
      </w:r>
    </w:p>
    <w:p>
      <w:pPr>
        <w:pStyle w:val="BodyText"/>
        <w:spacing w:before="10"/>
        <w:rPr>
          <w:sz w:val="23"/>
        </w:rPr>
      </w:pPr>
    </w:p>
    <w:p>
      <w:pPr>
        <w:pStyle w:val="BodyText"/>
        <w:ind w:left="810"/>
      </w:pPr>
      <w:r>
        <w:rPr/>
        <w:t>Donde:</w:t>
      </w:r>
    </w:p>
    <w:p>
      <w:pPr>
        <w:pStyle w:val="BodyText"/>
      </w:pPr>
    </w:p>
    <w:p>
      <w:pPr>
        <w:pStyle w:val="BodyText"/>
        <w:ind w:left="810"/>
        <w:rPr>
          <w:i/>
        </w:rPr>
      </w:pPr>
      <w:r>
        <w:rPr>
          <w:i/>
        </w:rPr>
        <w:t>O</w:t>
      </w:r>
      <w:r>
        <w:rPr>
          <w:position w:val="-2"/>
          <w:sz w:val="16"/>
        </w:rPr>
        <w:t>jk</w:t>
      </w:r>
      <w:r>
        <w:rPr/>
        <w:t>= Solapamiento temporal entre la especie </w:t>
      </w:r>
      <w:r>
        <w:rPr>
          <w:i/>
        </w:rPr>
        <w:t>j </w:t>
      </w:r>
      <w:r>
        <w:rPr/>
        <w:t>y </w:t>
      </w:r>
      <w:r>
        <w:rPr>
          <w:i/>
        </w:rPr>
        <w:t>k</w:t>
      </w:r>
    </w:p>
    <w:p>
      <w:pPr>
        <w:pStyle w:val="BodyText"/>
        <w:spacing w:before="10"/>
        <w:rPr>
          <w:i/>
          <w:sz w:val="22"/>
        </w:rPr>
      </w:pPr>
    </w:p>
    <w:p>
      <w:pPr>
        <w:pStyle w:val="BodyText"/>
        <w:spacing w:line="468" w:lineRule="auto"/>
        <w:ind w:left="810" w:right="365"/>
      </w:pPr>
      <w:r>
        <w:rPr/>
        <w:t>p</w:t>
      </w:r>
      <w:r>
        <w:rPr>
          <w:position w:val="-2"/>
          <w:sz w:val="16"/>
        </w:rPr>
        <w:t>ij</w:t>
      </w:r>
      <w:r>
        <w:rPr/>
        <w:t>= Proporción de fotografías en los intervalos de tiempo i usado por la especie j p</w:t>
      </w:r>
      <w:r>
        <w:rPr>
          <w:position w:val="-2"/>
          <w:sz w:val="16"/>
        </w:rPr>
        <w:t>ik</w:t>
      </w:r>
      <w:r>
        <w:rPr/>
        <w:t>= Proporción de fotografías en los intervalos de tiempo i usado por la especie k </w:t>
      </w:r>
      <w:r>
        <w:rPr>
          <w:i/>
        </w:rPr>
        <w:t>n</w:t>
      </w:r>
      <w:r>
        <w:rPr/>
        <w:t>= El número total de las intervalos de tiempo</w:t>
      </w:r>
    </w:p>
    <w:p>
      <w:pPr>
        <w:pStyle w:val="BodyText"/>
      </w:pPr>
    </w:p>
    <w:p>
      <w:pPr>
        <w:pStyle w:val="BodyText"/>
      </w:pPr>
    </w:p>
    <w:p>
      <w:pPr>
        <w:pStyle w:val="BodyText"/>
      </w:pPr>
    </w:p>
    <w:p>
      <w:pPr>
        <w:pStyle w:val="BodyText"/>
      </w:pPr>
    </w:p>
    <w:p>
      <w:pPr>
        <w:pStyle w:val="BodyText"/>
      </w:pPr>
    </w:p>
    <w:p>
      <w:pPr>
        <w:pStyle w:val="BodyText"/>
        <w:spacing w:before="3"/>
        <w:rPr>
          <w:sz w:val="26"/>
        </w:rPr>
      </w:pPr>
    </w:p>
    <w:p>
      <w:pPr>
        <w:pStyle w:val="Heading2"/>
      </w:pPr>
      <w:r>
        <w:rPr/>
        <w:t>Fase lunar.</w:t>
      </w:r>
    </w:p>
    <w:p>
      <w:pPr>
        <w:pStyle w:val="BodyText"/>
        <w:spacing w:before="6"/>
        <w:rPr>
          <w:b/>
          <w:sz w:val="23"/>
        </w:rPr>
      </w:pPr>
    </w:p>
    <w:p>
      <w:pPr>
        <w:pStyle w:val="BodyText"/>
        <w:spacing w:line="480" w:lineRule="auto"/>
        <w:ind w:left="102" w:right="94" w:firstLine="707"/>
      </w:pPr>
      <w:r>
        <w:rPr/>
        <w:t>Para determinar el efecto de la luna llena sobre el patrón de actividad del puma y del armadillo, se agrupo el porcentaje de registros independientes de estas dos especie en 14 clases lunares que se establecieron con base en el calendario lunar en las mismas fechas en las que se realizaron los muestreos, donde el cero correspondió a la luna nueva y 14 a la luna llena, de tal manera que un ciclo lunar completo duró aproximadamente 30 días y se aplicaron análisis de correlación lineal de Sperman entre los porcentajes de actividad de cada especie en relación a las diferentes clases lunares.</w:t>
      </w:r>
    </w:p>
    <w:p>
      <w:pPr>
        <w:spacing w:after="0" w:line="480" w:lineRule="auto"/>
        <w:sectPr>
          <w:pgSz w:w="12240" w:h="15840"/>
          <w:pgMar w:header="740" w:footer="779" w:top="960" w:bottom="960" w:left="1600" w:right="1600"/>
        </w:sectPr>
      </w:pPr>
    </w:p>
    <w:p>
      <w:pPr>
        <w:pStyle w:val="BodyText"/>
        <w:rPr>
          <w:sz w:val="20"/>
        </w:rPr>
      </w:pPr>
    </w:p>
    <w:p>
      <w:pPr>
        <w:pStyle w:val="BodyText"/>
        <w:spacing w:before="3"/>
        <w:rPr>
          <w:sz w:val="19"/>
        </w:rPr>
      </w:pPr>
    </w:p>
    <w:p>
      <w:pPr>
        <w:pStyle w:val="Heading2"/>
      </w:pPr>
      <w:r>
        <w:rPr/>
        <w:t>Resultados</w:t>
      </w:r>
    </w:p>
    <w:p>
      <w:pPr>
        <w:pStyle w:val="BodyText"/>
        <w:spacing w:before="7"/>
        <w:rPr>
          <w:b/>
          <w:sz w:val="23"/>
        </w:rPr>
      </w:pPr>
    </w:p>
    <w:p>
      <w:pPr>
        <w:pStyle w:val="BodyText"/>
        <w:spacing w:line="480" w:lineRule="auto"/>
        <w:ind w:left="102" w:right="152" w:firstLine="707"/>
      </w:pPr>
      <w:r>
        <w:rPr/>
        <w:t>Con un esfuerzo de muestreo total para ambos muestreos de 6,839 días trampa, se obtuvieron 505 fotografías independientes, de las cuales 47.7% fueron de coatí, 26.33% de venado, 13.1% de armadillo y 12.9% de puma. Esta última especie presento un patrón de actividad crepuscular y nocturno, con picos de actividad mayores en los intervalos de horario de las 19:00 a 19:59 y de las 21:00 a 22:59 hrs. con un porcentaje de actividad para estos intervalos de 10.8% y 9.2%, respectivamente. Armadillo tuvo un patrón principalmente nocturno, con picos de actividad mayores en los intervalos de las 00:00 a 00:59 (15%) y de las 02:00 a 02:59 (13.6%) hrs. mientras que coatí y venado presentaron mayor actividad durante el día con picos de actividad entre las 14:00 a 14:59 hrs (12.4%) para coatí y de las 13:00 a las 13:59 hrs. para venado con el 12.4% de actividad (Figura 5.2).</w:t>
      </w:r>
    </w:p>
    <w:p>
      <w:pPr>
        <w:spacing w:after="0" w:line="480" w:lineRule="auto"/>
        <w:sectPr>
          <w:pgSz w:w="12240" w:h="15840"/>
          <w:pgMar w:header="740" w:footer="779" w:top="960" w:bottom="960" w:left="1600" w:right="1600"/>
        </w:sectPr>
      </w:pPr>
    </w:p>
    <w:p>
      <w:pPr>
        <w:pStyle w:val="BodyText"/>
        <w:spacing w:before="2"/>
        <w:rPr>
          <w:sz w:val="29"/>
        </w:rPr>
      </w:pPr>
    </w:p>
    <w:p>
      <w:pPr>
        <w:pStyle w:val="BodyText"/>
        <w:ind w:left="475"/>
        <w:rPr>
          <w:sz w:val="20"/>
        </w:rPr>
      </w:pPr>
      <w:r>
        <w:rPr>
          <w:sz w:val="20"/>
        </w:rPr>
        <w:drawing>
          <wp:inline distT="0" distB="0" distL="0" distR="0">
            <wp:extent cx="5118885" cy="3216592"/>
            <wp:effectExtent l="0" t="0" r="0" b="0"/>
            <wp:docPr id="45" name="image25.jpeg" descr=""/>
            <wp:cNvGraphicFramePr>
              <a:graphicFrameLocks noChangeAspect="1"/>
            </wp:cNvGraphicFramePr>
            <a:graphic>
              <a:graphicData uri="http://schemas.openxmlformats.org/drawingml/2006/picture">
                <pic:pic>
                  <pic:nvPicPr>
                    <pic:cNvPr id="46" name="image25.jpeg"/>
                    <pic:cNvPicPr/>
                  </pic:nvPicPr>
                  <pic:blipFill>
                    <a:blip r:embed="rId38" cstate="print"/>
                    <a:stretch>
                      <a:fillRect/>
                    </a:stretch>
                  </pic:blipFill>
                  <pic:spPr>
                    <a:xfrm>
                      <a:off x="0" y="0"/>
                      <a:ext cx="5118885" cy="3216592"/>
                    </a:xfrm>
                    <a:prstGeom prst="rect">
                      <a:avLst/>
                    </a:prstGeom>
                  </pic:spPr>
                </pic:pic>
              </a:graphicData>
            </a:graphic>
          </wp:inline>
        </w:drawing>
      </w:r>
      <w:r>
        <w:rPr>
          <w:sz w:val="20"/>
        </w:rPr>
      </w:r>
    </w:p>
    <w:p>
      <w:pPr>
        <w:pStyle w:val="BodyText"/>
        <w:rPr>
          <w:sz w:val="20"/>
        </w:rPr>
      </w:pPr>
    </w:p>
    <w:p>
      <w:pPr>
        <w:pStyle w:val="BodyText"/>
        <w:spacing w:before="1"/>
        <w:rPr>
          <w:sz w:val="16"/>
        </w:rPr>
      </w:pPr>
    </w:p>
    <w:p>
      <w:pPr>
        <w:pStyle w:val="BodyText"/>
        <w:spacing w:line="477" w:lineRule="auto" w:before="69"/>
        <w:ind w:left="4170" w:right="268" w:hanging="3882"/>
      </w:pPr>
      <w:bookmarkStart w:name="_bookmark30" w:id="36"/>
      <w:bookmarkEnd w:id="36"/>
      <w:r>
        <w:rPr/>
      </w:r>
      <w:r>
        <w:rPr/>
        <w:t>Figura 5.2 Porcentaje de actividad de puma en relación al de sus presas principales en la RNSN.</w:t>
      </w:r>
    </w:p>
    <w:p>
      <w:pPr>
        <w:pStyle w:val="BodyText"/>
      </w:pPr>
    </w:p>
    <w:p>
      <w:pPr>
        <w:pStyle w:val="BodyText"/>
        <w:spacing w:line="480" w:lineRule="auto" w:before="152"/>
        <w:ind w:left="102" w:right="142" w:firstLine="707"/>
      </w:pPr>
      <w:r>
        <w:rPr/>
        <w:t>El patrón de actividad de puma mostró una relación positiva y significativa con el de su presa principal, el armadillo, con un índice de Pianka de 0.71, lo que indica que si hubo solapamiento en la mayoría de los intervalos de tiempo utilizados por ambas</w:t>
      </w:r>
      <w:r>
        <w:rPr>
          <w:spacing w:val="-18"/>
        </w:rPr>
        <w:t> </w:t>
      </w:r>
      <w:r>
        <w:rPr/>
        <w:t>especies. Para las dos presas restantes del puma (coatí y venado) la relación fue significativa pero negativa con un índice de Pianka de 0.43 y 0.53 respectivamente, lo cual indica un bajo solapamiento de actividad en los horarios de estas dos especies en relación al de puma (Tabla 5.1). Estos resultados responden a la primera hipótesis que se</w:t>
      </w:r>
      <w:r>
        <w:rPr>
          <w:spacing w:val="-11"/>
        </w:rPr>
        <w:t> </w:t>
      </w:r>
      <w:r>
        <w:rPr/>
        <w:t>esperaba.</w:t>
      </w:r>
    </w:p>
    <w:p>
      <w:pPr>
        <w:spacing w:after="0" w:line="480" w:lineRule="auto"/>
        <w:sectPr>
          <w:pgSz w:w="12240" w:h="15840"/>
          <w:pgMar w:header="740" w:footer="779" w:top="960" w:bottom="960" w:left="1600" w:right="1600"/>
        </w:sectPr>
      </w:pPr>
    </w:p>
    <w:p>
      <w:pPr>
        <w:pStyle w:val="BodyText"/>
        <w:rPr>
          <w:sz w:val="20"/>
        </w:rPr>
      </w:pPr>
    </w:p>
    <w:p>
      <w:pPr>
        <w:pStyle w:val="BodyText"/>
        <w:rPr>
          <w:sz w:val="19"/>
        </w:rPr>
      </w:pPr>
    </w:p>
    <w:p>
      <w:pPr>
        <w:pStyle w:val="BodyText"/>
        <w:spacing w:line="468" w:lineRule="auto"/>
        <w:ind w:left="1047" w:right="421" w:hanging="927"/>
      </w:pPr>
      <w:bookmarkStart w:name="_bookmark31" w:id="37"/>
      <w:bookmarkEnd w:id="37"/>
      <w:r>
        <w:rPr/>
      </w:r>
      <w:r>
        <w:rPr/>
        <w:t>Tabla 5.1 Coeficientes de correlación de Sperman e índice de solapamiento de Pianka (</w:t>
      </w:r>
      <w:r>
        <w:rPr>
          <w:i/>
        </w:rPr>
        <w:t>O</w:t>
      </w:r>
      <w:r>
        <w:rPr>
          <w:i/>
          <w:position w:val="-2"/>
          <w:sz w:val="16"/>
        </w:rPr>
        <w:t>jk</w:t>
      </w:r>
      <w:r>
        <w:rPr/>
        <w:t>), entre el patrón de actividad de puma con cada una de sus presas (N=24).</w:t>
      </w:r>
    </w:p>
    <w:p>
      <w:pPr>
        <w:pStyle w:val="BodyText"/>
        <w:spacing w:before="8"/>
        <w:rPr>
          <w:sz w:val="26"/>
        </w:rPr>
      </w:pPr>
    </w:p>
    <w:tbl>
      <w:tblPr>
        <w:tblW w:w="0" w:type="auto"/>
        <w:jc w:val="left"/>
        <w:tblInd w:w="16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09"/>
        <w:gridCol w:w="1510"/>
        <w:gridCol w:w="1256"/>
        <w:gridCol w:w="1276"/>
      </w:tblGrid>
      <w:tr>
        <w:trPr>
          <w:trHeight w:val="574" w:hRule="exact"/>
        </w:trPr>
        <w:tc>
          <w:tcPr>
            <w:tcW w:w="1609" w:type="dxa"/>
            <w:tcBorders>
              <w:left w:val="nil"/>
              <w:right w:val="nil"/>
            </w:tcBorders>
          </w:tcPr>
          <w:p>
            <w:pPr/>
          </w:p>
        </w:tc>
        <w:tc>
          <w:tcPr>
            <w:tcW w:w="1510" w:type="dxa"/>
            <w:tcBorders>
              <w:left w:val="nil"/>
              <w:right w:val="nil"/>
            </w:tcBorders>
          </w:tcPr>
          <w:p>
            <w:pPr>
              <w:pStyle w:val="TableParagraph"/>
              <w:spacing w:line="275" w:lineRule="exact"/>
              <w:ind w:right="158"/>
              <w:jc w:val="right"/>
              <w:rPr>
                <w:b/>
                <w:sz w:val="24"/>
              </w:rPr>
            </w:pPr>
            <w:r>
              <w:rPr>
                <w:b/>
                <w:sz w:val="24"/>
              </w:rPr>
              <w:t>armadillo</w:t>
            </w:r>
          </w:p>
        </w:tc>
        <w:tc>
          <w:tcPr>
            <w:tcW w:w="1256" w:type="dxa"/>
            <w:tcBorders>
              <w:left w:val="nil"/>
              <w:right w:val="nil"/>
            </w:tcBorders>
          </w:tcPr>
          <w:p>
            <w:pPr>
              <w:pStyle w:val="TableParagraph"/>
              <w:spacing w:line="275" w:lineRule="exact"/>
              <w:ind w:left="140" w:right="158"/>
              <w:rPr>
                <w:b/>
                <w:sz w:val="24"/>
              </w:rPr>
            </w:pPr>
            <w:r>
              <w:rPr>
                <w:b/>
                <w:sz w:val="24"/>
              </w:rPr>
              <w:t>coati</w:t>
            </w:r>
          </w:p>
        </w:tc>
        <w:tc>
          <w:tcPr>
            <w:tcW w:w="1276" w:type="dxa"/>
            <w:tcBorders>
              <w:left w:val="nil"/>
              <w:right w:val="nil"/>
            </w:tcBorders>
          </w:tcPr>
          <w:p>
            <w:pPr>
              <w:pStyle w:val="TableParagraph"/>
              <w:spacing w:line="275" w:lineRule="exact"/>
              <w:ind w:left="160" w:right="157"/>
              <w:rPr>
                <w:b/>
                <w:sz w:val="24"/>
              </w:rPr>
            </w:pPr>
            <w:r>
              <w:rPr>
                <w:b/>
                <w:sz w:val="24"/>
              </w:rPr>
              <w:t>venado</w:t>
            </w:r>
          </w:p>
        </w:tc>
      </w:tr>
      <w:tr>
        <w:trPr>
          <w:trHeight w:val="980" w:hRule="exact"/>
        </w:trPr>
        <w:tc>
          <w:tcPr>
            <w:tcW w:w="1609" w:type="dxa"/>
            <w:tcBorders>
              <w:left w:val="nil"/>
              <w:bottom w:val="nil"/>
              <w:right w:val="nil"/>
            </w:tcBorders>
          </w:tcPr>
          <w:p>
            <w:pPr>
              <w:pStyle w:val="TableParagraph"/>
              <w:spacing w:line="273" w:lineRule="exact"/>
              <w:ind w:left="621"/>
              <w:jc w:val="left"/>
              <w:rPr>
                <w:b/>
                <w:sz w:val="24"/>
              </w:rPr>
            </w:pPr>
            <w:r>
              <w:rPr>
                <w:b/>
                <w:sz w:val="24"/>
              </w:rPr>
              <w:t>puma</w:t>
            </w:r>
          </w:p>
        </w:tc>
        <w:tc>
          <w:tcPr>
            <w:tcW w:w="1510" w:type="dxa"/>
            <w:tcBorders>
              <w:left w:val="nil"/>
              <w:bottom w:val="nil"/>
              <w:right w:val="nil"/>
            </w:tcBorders>
          </w:tcPr>
          <w:p>
            <w:pPr>
              <w:pStyle w:val="TableParagraph"/>
              <w:spacing w:line="268" w:lineRule="exact"/>
              <w:ind w:left="382" w:right="192"/>
              <w:rPr>
                <w:sz w:val="24"/>
              </w:rPr>
            </w:pPr>
            <w:r>
              <w:rPr>
                <w:sz w:val="24"/>
              </w:rPr>
              <w:t>R= 0.619</w:t>
            </w:r>
          </w:p>
          <w:p>
            <w:pPr>
              <w:pStyle w:val="TableParagraph"/>
              <w:jc w:val="left"/>
              <w:rPr>
                <w:sz w:val="24"/>
              </w:rPr>
            </w:pPr>
          </w:p>
          <w:p>
            <w:pPr>
              <w:pStyle w:val="TableParagraph"/>
              <w:ind w:left="382" w:right="192"/>
              <w:rPr>
                <w:sz w:val="24"/>
              </w:rPr>
            </w:pPr>
            <w:r>
              <w:rPr>
                <w:sz w:val="24"/>
              </w:rPr>
              <w:t>P&lt;0.05</w:t>
            </w:r>
          </w:p>
        </w:tc>
        <w:tc>
          <w:tcPr>
            <w:tcW w:w="1256" w:type="dxa"/>
            <w:tcBorders>
              <w:left w:val="nil"/>
              <w:bottom w:val="nil"/>
              <w:right w:val="nil"/>
            </w:tcBorders>
          </w:tcPr>
          <w:p>
            <w:pPr>
              <w:pStyle w:val="TableParagraph"/>
              <w:spacing w:line="268" w:lineRule="exact"/>
              <w:ind w:left="140" w:right="159"/>
              <w:rPr>
                <w:sz w:val="24"/>
              </w:rPr>
            </w:pPr>
            <w:r>
              <w:rPr>
                <w:sz w:val="24"/>
              </w:rPr>
              <w:t>R=-0.673</w:t>
            </w:r>
          </w:p>
          <w:p>
            <w:pPr>
              <w:pStyle w:val="TableParagraph"/>
              <w:jc w:val="left"/>
              <w:rPr>
                <w:sz w:val="24"/>
              </w:rPr>
            </w:pPr>
          </w:p>
          <w:p>
            <w:pPr>
              <w:pStyle w:val="TableParagraph"/>
              <w:ind w:left="140" w:right="158"/>
              <w:rPr>
                <w:sz w:val="24"/>
              </w:rPr>
            </w:pPr>
            <w:r>
              <w:rPr>
                <w:sz w:val="24"/>
              </w:rPr>
              <w:t>P&lt;0.05</w:t>
            </w:r>
          </w:p>
        </w:tc>
        <w:tc>
          <w:tcPr>
            <w:tcW w:w="1276" w:type="dxa"/>
            <w:tcBorders>
              <w:left w:val="nil"/>
              <w:bottom w:val="nil"/>
              <w:right w:val="nil"/>
            </w:tcBorders>
          </w:tcPr>
          <w:p>
            <w:pPr>
              <w:pStyle w:val="TableParagraph"/>
              <w:spacing w:line="268" w:lineRule="exact"/>
              <w:ind w:left="160" w:right="159"/>
              <w:rPr>
                <w:sz w:val="24"/>
              </w:rPr>
            </w:pPr>
            <w:r>
              <w:rPr>
                <w:sz w:val="24"/>
              </w:rPr>
              <w:t>R=-0.435</w:t>
            </w:r>
          </w:p>
          <w:p>
            <w:pPr>
              <w:pStyle w:val="TableParagraph"/>
              <w:jc w:val="left"/>
              <w:rPr>
                <w:sz w:val="24"/>
              </w:rPr>
            </w:pPr>
          </w:p>
          <w:p>
            <w:pPr>
              <w:pStyle w:val="TableParagraph"/>
              <w:ind w:left="159" w:right="159"/>
              <w:rPr>
                <w:sz w:val="24"/>
              </w:rPr>
            </w:pPr>
            <w:r>
              <w:rPr>
                <w:sz w:val="24"/>
              </w:rPr>
              <w:t>P&lt;0.05</w:t>
            </w:r>
          </w:p>
        </w:tc>
      </w:tr>
      <w:tr>
        <w:trPr>
          <w:trHeight w:val="695" w:hRule="exact"/>
        </w:trPr>
        <w:tc>
          <w:tcPr>
            <w:tcW w:w="1609" w:type="dxa"/>
            <w:tcBorders>
              <w:top w:val="nil"/>
              <w:left w:val="nil"/>
              <w:right w:val="nil"/>
            </w:tcBorders>
          </w:tcPr>
          <w:p>
            <w:pPr/>
          </w:p>
        </w:tc>
        <w:tc>
          <w:tcPr>
            <w:tcW w:w="1510" w:type="dxa"/>
            <w:tcBorders>
              <w:top w:val="nil"/>
              <w:left w:val="nil"/>
              <w:right w:val="nil"/>
            </w:tcBorders>
          </w:tcPr>
          <w:p>
            <w:pPr>
              <w:pStyle w:val="TableParagraph"/>
              <w:spacing w:before="125"/>
              <w:ind w:right="206"/>
              <w:jc w:val="right"/>
              <w:rPr>
                <w:sz w:val="24"/>
              </w:rPr>
            </w:pPr>
            <w:r>
              <w:rPr>
                <w:i/>
                <w:sz w:val="24"/>
              </w:rPr>
              <w:t>O</w:t>
            </w:r>
            <w:r>
              <w:rPr>
                <w:i/>
                <w:position w:val="-2"/>
                <w:sz w:val="16"/>
              </w:rPr>
              <w:t>jk </w:t>
            </w:r>
            <w:r>
              <w:rPr>
                <w:sz w:val="24"/>
              </w:rPr>
              <w:t>=0.71</w:t>
            </w:r>
          </w:p>
        </w:tc>
        <w:tc>
          <w:tcPr>
            <w:tcW w:w="1256" w:type="dxa"/>
            <w:tcBorders>
              <w:top w:val="nil"/>
              <w:left w:val="nil"/>
              <w:right w:val="nil"/>
            </w:tcBorders>
          </w:tcPr>
          <w:p>
            <w:pPr>
              <w:pStyle w:val="TableParagraph"/>
              <w:spacing w:before="125"/>
              <w:ind w:left="140" w:right="159"/>
              <w:rPr>
                <w:sz w:val="24"/>
              </w:rPr>
            </w:pPr>
            <w:r>
              <w:rPr>
                <w:i/>
                <w:sz w:val="24"/>
              </w:rPr>
              <w:t>O</w:t>
            </w:r>
            <w:r>
              <w:rPr>
                <w:i/>
                <w:position w:val="-2"/>
                <w:sz w:val="16"/>
              </w:rPr>
              <w:t>jk </w:t>
            </w:r>
            <w:r>
              <w:rPr>
                <w:sz w:val="24"/>
              </w:rPr>
              <w:t>=0.43</w:t>
            </w:r>
          </w:p>
        </w:tc>
        <w:tc>
          <w:tcPr>
            <w:tcW w:w="1276" w:type="dxa"/>
            <w:tcBorders>
              <w:top w:val="nil"/>
              <w:left w:val="nil"/>
              <w:right w:val="nil"/>
            </w:tcBorders>
          </w:tcPr>
          <w:p>
            <w:pPr>
              <w:pStyle w:val="TableParagraph"/>
              <w:spacing w:before="125"/>
              <w:ind w:left="160" w:right="159"/>
              <w:rPr>
                <w:sz w:val="24"/>
              </w:rPr>
            </w:pPr>
            <w:r>
              <w:rPr>
                <w:i/>
                <w:sz w:val="24"/>
              </w:rPr>
              <w:t>O</w:t>
            </w:r>
            <w:r>
              <w:rPr>
                <w:i/>
                <w:position w:val="-2"/>
                <w:sz w:val="16"/>
              </w:rPr>
              <w:t>jk </w:t>
            </w:r>
            <w:r>
              <w:rPr>
                <w:sz w:val="24"/>
              </w:rPr>
              <w:t>=0.53</w:t>
            </w:r>
          </w:p>
        </w:tc>
      </w:tr>
    </w:tbl>
    <w:p>
      <w:pPr>
        <w:pStyle w:val="BodyText"/>
        <w:rPr>
          <w:sz w:val="20"/>
        </w:rPr>
      </w:pPr>
    </w:p>
    <w:p>
      <w:pPr>
        <w:pStyle w:val="BodyText"/>
        <w:rPr>
          <w:sz w:val="20"/>
        </w:rPr>
      </w:pPr>
    </w:p>
    <w:p>
      <w:pPr>
        <w:pStyle w:val="BodyText"/>
        <w:spacing w:before="4"/>
        <w:rPr>
          <w:sz w:val="25"/>
        </w:rPr>
      </w:pPr>
    </w:p>
    <w:p>
      <w:pPr>
        <w:pStyle w:val="BodyText"/>
        <w:spacing w:line="480" w:lineRule="auto" w:before="69"/>
        <w:ind w:left="102" w:right="441" w:firstLine="707"/>
      </w:pPr>
      <w:r>
        <w:rPr/>
        <w:t>En cuanto a las fases lunares, puma y armadillo, no mostraron un efecto en su actividad durante el cambio de luna nueva a llena como se planteo en la segunda hipótesis. Ambas especies presentaron una relación negativa y no significativa, (Figura 5.3). Para coatí y venado no se realizó este análisis, debido a que la mayoría de las registros independientes de estas especies ocurrió durante el día con 61 y 57.14%, respectivamente.</w:t>
      </w:r>
    </w:p>
    <w:p>
      <w:pPr>
        <w:pStyle w:val="BodyText"/>
        <w:rPr>
          <w:sz w:val="20"/>
        </w:rPr>
      </w:pPr>
    </w:p>
    <w:p>
      <w:pPr>
        <w:pStyle w:val="BodyText"/>
        <w:spacing w:before="1"/>
        <w:rPr>
          <w:sz w:val="26"/>
        </w:rPr>
      </w:pPr>
      <w:r>
        <w:rPr/>
        <w:drawing>
          <wp:anchor distT="0" distB="0" distL="0" distR="0" allowOverlap="1" layoutInCell="1" locked="0" behindDoc="0" simplePos="0" relativeHeight="1192">
            <wp:simplePos x="0" y="0"/>
            <wp:positionH relativeFrom="page">
              <wp:posOffset>1099185</wp:posOffset>
            </wp:positionH>
            <wp:positionV relativeFrom="paragraph">
              <wp:posOffset>215724</wp:posOffset>
            </wp:positionV>
            <wp:extent cx="5752029" cy="1742122"/>
            <wp:effectExtent l="0" t="0" r="0" b="0"/>
            <wp:wrapTopAndBottom/>
            <wp:docPr id="47" name="image26.jpeg" descr=""/>
            <wp:cNvGraphicFramePr>
              <a:graphicFrameLocks noChangeAspect="1"/>
            </wp:cNvGraphicFramePr>
            <a:graphic>
              <a:graphicData uri="http://schemas.openxmlformats.org/drawingml/2006/picture">
                <pic:pic>
                  <pic:nvPicPr>
                    <pic:cNvPr id="48" name="image26.jpeg"/>
                    <pic:cNvPicPr/>
                  </pic:nvPicPr>
                  <pic:blipFill>
                    <a:blip r:embed="rId39" cstate="print"/>
                    <a:stretch>
                      <a:fillRect/>
                    </a:stretch>
                  </pic:blipFill>
                  <pic:spPr>
                    <a:xfrm>
                      <a:off x="0" y="0"/>
                      <a:ext cx="5752029" cy="1742122"/>
                    </a:xfrm>
                    <a:prstGeom prst="rect">
                      <a:avLst/>
                    </a:prstGeom>
                  </pic:spPr>
                </pic:pic>
              </a:graphicData>
            </a:graphic>
          </wp:anchor>
        </w:drawing>
      </w:r>
    </w:p>
    <w:p>
      <w:pPr>
        <w:pStyle w:val="BodyText"/>
      </w:pPr>
    </w:p>
    <w:p>
      <w:pPr>
        <w:pStyle w:val="BodyText"/>
        <w:spacing w:line="480" w:lineRule="auto" w:before="187"/>
        <w:ind w:left="176" w:right="496"/>
        <w:jc w:val="center"/>
      </w:pPr>
      <w:bookmarkStart w:name="_bookmark32" w:id="38"/>
      <w:bookmarkEnd w:id="38"/>
      <w:r>
        <w:rPr/>
      </w:r>
      <w:r>
        <w:rPr/>
        <w:t>Figura 5.3. Porcentaje de actividad de puma y armadillo en relación a las fases lunares (0= luna llena y 14= luna nueva) y n es el número de fotografías independientes que se utilizaron.</w:t>
      </w:r>
    </w:p>
    <w:p>
      <w:pPr>
        <w:spacing w:after="0" w:line="480" w:lineRule="auto"/>
        <w:jc w:val="center"/>
        <w:sectPr>
          <w:pgSz w:w="12240" w:h="15840"/>
          <w:pgMar w:header="740" w:footer="779" w:top="960" w:bottom="960" w:left="1600" w:right="1280"/>
        </w:sectPr>
      </w:pPr>
    </w:p>
    <w:p>
      <w:pPr>
        <w:pStyle w:val="BodyText"/>
        <w:rPr>
          <w:sz w:val="20"/>
        </w:rPr>
      </w:pPr>
    </w:p>
    <w:p>
      <w:pPr>
        <w:pStyle w:val="BodyText"/>
        <w:spacing w:before="3"/>
        <w:rPr>
          <w:sz w:val="19"/>
        </w:rPr>
      </w:pPr>
    </w:p>
    <w:p>
      <w:pPr>
        <w:pStyle w:val="Heading2"/>
        <w:ind w:left="295" w:right="214"/>
        <w:jc w:val="center"/>
      </w:pPr>
      <w:r>
        <w:rPr/>
        <w:t>DISCUSION</w:t>
      </w:r>
    </w:p>
    <w:p>
      <w:pPr>
        <w:pStyle w:val="BodyText"/>
        <w:rPr>
          <w:b/>
        </w:rPr>
      </w:pPr>
    </w:p>
    <w:p>
      <w:pPr>
        <w:pStyle w:val="BodyText"/>
        <w:spacing w:before="7"/>
        <w:rPr>
          <w:b/>
          <w:sz w:val="23"/>
        </w:rPr>
      </w:pPr>
    </w:p>
    <w:p>
      <w:pPr>
        <w:pStyle w:val="BodyText"/>
        <w:spacing w:line="480" w:lineRule="auto"/>
        <w:ind w:left="222" w:right="187" w:firstLine="767"/>
      </w:pPr>
      <w:r>
        <w:rPr/>
        <w:t>El patrón de actividad de este estudio de puma (crepuscular y nocturno), es similar al obtenido en Tucavaca y el Gran Chaco en Bolivia, donde describen un patrón de actividad crepuscular y es también similar al patrón de actividad nocturno que se obtuvo en Chamela México, en los Llanos Venezuela, en el Santuario de Vida Silvestre Cockscomb en Belice y en Ravelo Bolivia. Pero difiere del patrón de actividad diurno que se obtuvo en la Estación Isoso en Bolivia (Tabla 5.2).</w:t>
      </w:r>
    </w:p>
    <w:p>
      <w:pPr>
        <w:pStyle w:val="BodyText"/>
      </w:pPr>
    </w:p>
    <w:p>
      <w:pPr>
        <w:pStyle w:val="BodyText"/>
      </w:pPr>
    </w:p>
    <w:p>
      <w:pPr>
        <w:pStyle w:val="BodyText"/>
        <w:spacing w:line="480" w:lineRule="auto" w:before="212" w:after="18"/>
        <w:ind w:left="298" w:right="214"/>
        <w:jc w:val="center"/>
      </w:pPr>
      <w:bookmarkStart w:name="_bookmark33" w:id="39"/>
      <w:bookmarkEnd w:id="39"/>
      <w:r>
        <w:rPr/>
      </w:r>
      <w:r>
        <w:rPr/>
        <w:t>Tabla. 5.2 Patrón de actividad de puma en la Reserva Natural Sierra Nanchititla, México y otros sitios de muestreo.</w:t>
      </w: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57"/>
        <w:gridCol w:w="2992"/>
        <w:gridCol w:w="3331"/>
      </w:tblGrid>
      <w:tr>
        <w:trPr>
          <w:trHeight w:val="571" w:hRule="exact"/>
        </w:trPr>
        <w:tc>
          <w:tcPr>
            <w:tcW w:w="2657" w:type="dxa"/>
            <w:tcBorders>
              <w:left w:val="nil"/>
              <w:right w:val="nil"/>
            </w:tcBorders>
          </w:tcPr>
          <w:p>
            <w:pPr>
              <w:pStyle w:val="TableParagraph"/>
              <w:spacing w:line="268" w:lineRule="exact"/>
              <w:ind w:left="108"/>
              <w:jc w:val="left"/>
              <w:rPr>
                <w:sz w:val="24"/>
              </w:rPr>
            </w:pPr>
            <w:r>
              <w:rPr>
                <w:sz w:val="24"/>
              </w:rPr>
              <w:t>Autor</w:t>
            </w:r>
          </w:p>
        </w:tc>
        <w:tc>
          <w:tcPr>
            <w:tcW w:w="2992" w:type="dxa"/>
            <w:tcBorders>
              <w:left w:val="nil"/>
              <w:right w:val="nil"/>
            </w:tcBorders>
          </w:tcPr>
          <w:p>
            <w:pPr>
              <w:pStyle w:val="TableParagraph"/>
              <w:spacing w:line="268" w:lineRule="exact"/>
              <w:ind w:left="110"/>
              <w:jc w:val="left"/>
              <w:rPr>
                <w:sz w:val="24"/>
              </w:rPr>
            </w:pPr>
            <w:r>
              <w:rPr>
                <w:sz w:val="24"/>
              </w:rPr>
              <w:t>Sitio</w:t>
            </w:r>
          </w:p>
        </w:tc>
        <w:tc>
          <w:tcPr>
            <w:tcW w:w="3331" w:type="dxa"/>
            <w:tcBorders>
              <w:left w:val="nil"/>
              <w:right w:val="nil"/>
            </w:tcBorders>
          </w:tcPr>
          <w:p>
            <w:pPr>
              <w:pStyle w:val="TableParagraph"/>
              <w:spacing w:line="268" w:lineRule="exact"/>
              <w:ind w:left="236"/>
              <w:jc w:val="left"/>
              <w:rPr>
                <w:sz w:val="24"/>
              </w:rPr>
            </w:pPr>
            <w:r>
              <w:rPr>
                <w:sz w:val="24"/>
              </w:rPr>
              <w:t>Patrón de actividad de puma</w:t>
            </w:r>
          </w:p>
        </w:tc>
      </w:tr>
      <w:tr>
        <w:trPr>
          <w:trHeight w:val="429" w:hRule="exact"/>
        </w:trPr>
        <w:tc>
          <w:tcPr>
            <w:tcW w:w="2657" w:type="dxa"/>
            <w:tcBorders>
              <w:left w:val="nil"/>
              <w:bottom w:val="nil"/>
              <w:right w:val="nil"/>
            </w:tcBorders>
          </w:tcPr>
          <w:p>
            <w:pPr>
              <w:pStyle w:val="TableParagraph"/>
              <w:spacing w:line="268" w:lineRule="exact"/>
              <w:ind w:left="108"/>
              <w:jc w:val="left"/>
              <w:rPr>
                <w:sz w:val="24"/>
              </w:rPr>
            </w:pPr>
            <w:r>
              <w:rPr>
                <w:sz w:val="24"/>
              </w:rPr>
              <w:t>Núñez et al. (2002)</w:t>
            </w:r>
          </w:p>
        </w:tc>
        <w:tc>
          <w:tcPr>
            <w:tcW w:w="2992" w:type="dxa"/>
            <w:tcBorders>
              <w:left w:val="nil"/>
              <w:bottom w:val="nil"/>
              <w:right w:val="nil"/>
            </w:tcBorders>
          </w:tcPr>
          <w:p>
            <w:pPr>
              <w:pStyle w:val="TableParagraph"/>
              <w:spacing w:line="268" w:lineRule="exact"/>
              <w:ind w:left="110"/>
              <w:jc w:val="left"/>
              <w:rPr>
                <w:sz w:val="24"/>
              </w:rPr>
            </w:pPr>
            <w:r>
              <w:rPr>
                <w:sz w:val="24"/>
              </w:rPr>
              <w:t>Chamela, México</w:t>
            </w:r>
          </w:p>
        </w:tc>
        <w:tc>
          <w:tcPr>
            <w:tcW w:w="3331" w:type="dxa"/>
            <w:tcBorders>
              <w:left w:val="nil"/>
              <w:bottom w:val="nil"/>
              <w:right w:val="nil"/>
            </w:tcBorders>
          </w:tcPr>
          <w:p>
            <w:pPr>
              <w:pStyle w:val="TableParagraph"/>
              <w:spacing w:line="268" w:lineRule="exact"/>
              <w:ind w:left="236"/>
              <w:jc w:val="left"/>
              <w:rPr>
                <w:sz w:val="24"/>
              </w:rPr>
            </w:pPr>
            <w:r>
              <w:rPr>
                <w:sz w:val="24"/>
              </w:rPr>
              <w:t>Nocturno</w:t>
            </w:r>
          </w:p>
        </w:tc>
      </w:tr>
      <w:tr>
        <w:trPr>
          <w:trHeight w:val="552" w:hRule="exact"/>
        </w:trPr>
        <w:tc>
          <w:tcPr>
            <w:tcW w:w="2657" w:type="dxa"/>
            <w:tcBorders>
              <w:top w:val="nil"/>
              <w:left w:val="nil"/>
              <w:bottom w:val="nil"/>
              <w:right w:val="nil"/>
            </w:tcBorders>
          </w:tcPr>
          <w:p>
            <w:pPr>
              <w:pStyle w:val="TableParagraph"/>
              <w:spacing w:before="125"/>
              <w:ind w:left="108"/>
              <w:jc w:val="left"/>
              <w:rPr>
                <w:sz w:val="24"/>
              </w:rPr>
            </w:pPr>
            <w:r>
              <w:rPr>
                <w:sz w:val="24"/>
              </w:rPr>
              <w:t>Scognamillo et al. (2003)</w:t>
            </w:r>
          </w:p>
        </w:tc>
        <w:tc>
          <w:tcPr>
            <w:tcW w:w="2992" w:type="dxa"/>
            <w:tcBorders>
              <w:top w:val="nil"/>
              <w:left w:val="nil"/>
              <w:bottom w:val="nil"/>
              <w:right w:val="nil"/>
            </w:tcBorders>
          </w:tcPr>
          <w:p>
            <w:pPr>
              <w:pStyle w:val="TableParagraph"/>
              <w:spacing w:before="125"/>
              <w:ind w:left="110"/>
              <w:jc w:val="left"/>
              <w:rPr>
                <w:sz w:val="24"/>
              </w:rPr>
            </w:pPr>
            <w:r>
              <w:rPr>
                <w:sz w:val="24"/>
              </w:rPr>
              <w:t>Los Llanos de Venezuela</w:t>
            </w:r>
          </w:p>
        </w:tc>
        <w:tc>
          <w:tcPr>
            <w:tcW w:w="3331" w:type="dxa"/>
            <w:tcBorders>
              <w:top w:val="nil"/>
              <w:left w:val="nil"/>
              <w:bottom w:val="nil"/>
              <w:right w:val="nil"/>
            </w:tcBorders>
          </w:tcPr>
          <w:p>
            <w:pPr>
              <w:pStyle w:val="TableParagraph"/>
              <w:spacing w:before="125"/>
              <w:ind w:left="236"/>
              <w:jc w:val="left"/>
              <w:rPr>
                <w:sz w:val="24"/>
              </w:rPr>
            </w:pPr>
            <w:r>
              <w:rPr>
                <w:sz w:val="24"/>
              </w:rPr>
              <w:t>Nocturno</w:t>
            </w:r>
          </w:p>
        </w:tc>
      </w:tr>
      <w:tr>
        <w:trPr>
          <w:trHeight w:val="552" w:hRule="exact"/>
        </w:trPr>
        <w:tc>
          <w:tcPr>
            <w:tcW w:w="2657" w:type="dxa"/>
            <w:tcBorders>
              <w:top w:val="nil"/>
              <w:left w:val="nil"/>
              <w:bottom w:val="nil"/>
              <w:right w:val="nil"/>
            </w:tcBorders>
          </w:tcPr>
          <w:p>
            <w:pPr>
              <w:pStyle w:val="TableParagraph"/>
              <w:spacing w:before="125"/>
              <w:ind w:left="108"/>
              <w:jc w:val="left"/>
              <w:rPr>
                <w:sz w:val="24"/>
              </w:rPr>
            </w:pPr>
            <w:r>
              <w:rPr>
                <w:sz w:val="24"/>
              </w:rPr>
              <w:t>Maffeí et al. (2002)</w:t>
            </w:r>
          </w:p>
        </w:tc>
        <w:tc>
          <w:tcPr>
            <w:tcW w:w="2992" w:type="dxa"/>
            <w:tcBorders>
              <w:top w:val="nil"/>
              <w:left w:val="nil"/>
              <w:bottom w:val="nil"/>
              <w:right w:val="nil"/>
            </w:tcBorders>
          </w:tcPr>
          <w:p>
            <w:pPr>
              <w:pStyle w:val="TableParagraph"/>
              <w:spacing w:before="125"/>
              <w:ind w:left="110"/>
              <w:jc w:val="left"/>
              <w:rPr>
                <w:sz w:val="24"/>
              </w:rPr>
            </w:pPr>
            <w:r>
              <w:rPr>
                <w:sz w:val="24"/>
              </w:rPr>
              <w:t>Gran Chaco, Bolivia</w:t>
            </w:r>
          </w:p>
        </w:tc>
        <w:tc>
          <w:tcPr>
            <w:tcW w:w="3331" w:type="dxa"/>
            <w:tcBorders>
              <w:top w:val="nil"/>
              <w:left w:val="nil"/>
              <w:bottom w:val="nil"/>
              <w:right w:val="nil"/>
            </w:tcBorders>
          </w:tcPr>
          <w:p>
            <w:pPr>
              <w:pStyle w:val="TableParagraph"/>
              <w:spacing w:before="125"/>
              <w:ind w:left="236"/>
              <w:jc w:val="left"/>
              <w:rPr>
                <w:sz w:val="24"/>
              </w:rPr>
            </w:pPr>
            <w:r>
              <w:rPr>
                <w:sz w:val="24"/>
              </w:rPr>
              <w:t>Crepuscular</w:t>
            </w:r>
          </w:p>
        </w:tc>
      </w:tr>
      <w:tr>
        <w:trPr>
          <w:trHeight w:val="1104" w:hRule="exact"/>
        </w:trPr>
        <w:tc>
          <w:tcPr>
            <w:tcW w:w="2657" w:type="dxa"/>
            <w:tcBorders>
              <w:top w:val="nil"/>
              <w:left w:val="nil"/>
              <w:bottom w:val="nil"/>
              <w:right w:val="nil"/>
            </w:tcBorders>
          </w:tcPr>
          <w:p>
            <w:pPr>
              <w:pStyle w:val="TableParagraph"/>
              <w:spacing w:before="125"/>
              <w:ind w:left="108"/>
              <w:jc w:val="left"/>
              <w:rPr>
                <w:sz w:val="24"/>
              </w:rPr>
            </w:pPr>
            <w:r>
              <w:rPr>
                <w:sz w:val="24"/>
              </w:rPr>
              <w:t>Harmsen et al. (2011)</w:t>
            </w:r>
          </w:p>
        </w:tc>
        <w:tc>
          <w:tcPr>
            <w:tcW w:w="2992" w:type="dxa"/>
            <w:tcBorders>
              <w:top w:val="nil"/>
              <w:left w:val="nil"/>
              <w:bottom w:val="nil"/>
              <w:right w:val="nil"/>
            </w:tcBorders>
          </w:tcPr>
          <w:p>
            <w:pPr>
              <w:pStyle w:val="TableParagraph"/>
              <w:spacing w:before="125"/>
              <w:ind w:left="110"/>
              <w:jc w:val="left"/>
              <w:rPr>
                <w:sz w:val="24"/>
              </w:rPr>
            </w:pPr>
            <w:r>
              <w:rPr>
                <w:sz w:val="24"/>
              </w:rPr>
              <w:t>Santuario de Vida Silvestre</w:t>
            </w:r>
          </w:p>
          <w:p>
            <w:pPr>
              <w:pStyle w:val="TableParagraph"/>
              <w:jc w:val="left"/>
              <w:rPr>
                <w:sz w:val="24"/>
              </w:rPr>
            </w:pPr>
          </w:p>
          <w:p>
            <w:pPr>
              <w:pStyle w:val="TableParagraph"/>
              <w:ind w:left="110"/>
              <w:jc w:val="left"/>
              <w:rPr>
                <w:sz w:val="24"/>
              </w:rPr>
            </w:pPr>
            <w:r>
              <w:rPr>
                <w:sz w:val="24"/>
              </w:rPr>
              <w:t>Cockscomb, Belice</w:t>
            </w:r>
          </w:p>
        </w:tc>
        <w:tc>
          <w:tcPr>
            <w:tcW w:w="3331" w:type="dxa"/>
            <w:tcBorders>
              <w:top w:val="nil"/>
              <w:left w:val="nil"/>
              <w:bottom w:val="nil"/>
              <w:right w:val="nil"/>
            </w:tcBorders>
          </w:tcPr>
          <w:p>
            <w:pPr>
              <w:pStyle w:val="TableParagraph"/>
              <w:spacing w:before="125"/>
              <w:ind w:left="236"/>
              <w:jc w:val="left"/>
              <w:rPr>
                <w:sz w:val="24"/>
              </w:rPr>
            </w:pPr>
            <w:r>
              <w:rPr>
                <w:sz w:val="24"/>
              </w:rPr>
              <w:t>Nocturno</w:t>
            </w:r>
          </w:p>
        </w:tc>
      </w:tr>
      <w:tr>
        <w:trPr>
          <w:trHeight w:val="2351" w:hRule="exact"/>
        </w:trPr>
        <w:tc>
          <w:tcPr>
            <w:tcW w:w="2657" w:type="dxa"/>
            <w:tcBorders>
              <w:top w:val="nil"/>
              <w:left w:val="nil"/>
              <w:right w:val="nil"/>
            </w:tcBorders>
          </w:tcPr>
          <w:p>
            <w:pPr>
              <w:pStyle w:val="TableParagraph"/>
              <w:spacing w:line="480" w:lineRule="auto" w:before="125"/>
              <w:ind w:left="108" w:right="469"/>
              <w:jc w:val="left"/>
              <w:rPr>
                <w:sz w:val="24"/>
              </w:rPr>
            </w:pPr>
            <w:r>
              <w:rPr>
                <w:sz w:val="24"/>
              </w:rPr>
              <w:t>Romero-Muñoz et al. (2010)</w:t>
            </w:r>
          </w:p>
          <w:p>
            <w:pPr>
              <w:pStyle w:val="TableParagraph"/>
              <w:jc w:val="left"/>
              <w:rPr>
                <w:sz w:val="24"/>
              </w:rPr>
            </w:pPr>
          </w:p>
          <w:p>
            <w:pPr>
              <w:pStyle w:val="TableParagraph"/>
              <w:spacing w:before="4"/>
              <w:jc w:val="left"/>
              <w:rPr>
                <w:sz w:val="25"/>
              </w:rPr>
            </w:pPr>
          </w:p>
          <w:p>
            <w:pPr>
              <w:pStyle w:val="TableParagraph"/>
              <w:ind w:left="108"/>
              <w:jc w:val="left"/>
              <w:rPr>
                <w:b/>
                <w:sz w:val="24"/>
              </w:rPr>
            </w:pPr>
            <w:r>
              <w:rPr>
                <w:b/>
                <w:sz w:val="24"/>
              </w:rPr>
              <w:t>Este estudio</w:t>
            </w:r>
          </w:p>
        </w:tc>
        <w:tc>
          <w:tcPr>
            <w:tcW w:w="2992" w:type="dxa"/>
            <w:tcBorders>
              <w:top w:val="nil"/>
              <w:left w:val="nil"/>
              <w:right w:val="nil"/>
            </w:tcBorders>
          </w:tcPr>
          <w:p>
            <w:pPr>
              <w:pStyle w:val="TableParagraph"/>
              <w:spacing w:before="125"/>
              <w:ind w:left="110"/>
              <w:jc w:val="left"/>
              <w:rPr>
                <w:sz w:val="24"/>
              </w:rPr>
            </w:pPr>
            <w:r>
              <w:rPr>
                <w:sz w:val="24"/>
              </w:rPr>
              <w:t>Ravelo,</w:t>
            </w:r>
          </w:p>
          <w:p>
            <w:pPr>
              <w:pStyle w:val="TableParagraph"/>
              <w:jc w:val="left"/>
              <w:rPr>
                <w:sz w:val="24"/>
              </w:rPr>
            </w:pPr>
          </w:p>
          <w:p>
            <w:pPr>
              <w:pStyle w:val="TableParagraph"/>
              <w:tabs>
                <w:tab w:pos="2049" w:val="left" w:leader="none"/>
              </w:tabs>
              <w:spacing w:line="480" w:lineRule="auto"/>
              <w:ind w:left="110" w:right="234"/>
              <w:jc w:val="left"/>
              <w:rPr>
                <w:sz w:val="24"/>
              </w:rPr>
            </w:pPr>
            <w:r>
              <w:rPr>
                <w:sz w:val="24"/>
              </w:rPr>
              <w:t>Tucavaca,</w:t>
              <w:tab/>
              <w:t>Bolivia Estación</w:t>
            </w:r>
            <w:r>
              <w:rPr>
                <w:spacing w:val="-5"/>
                <w:sz w:val="24"/>
              </w:rPr>
              <w:t> </w:t>
            </w:r>
            <w:r>
              <w:rPr>
                <w:sz w:val="24"/>
              </w:rPr>
              <w:t>Isoso,</w:t>
            </w:r>
          </w:p>
          <w:p>
            <w:pPr>
              <w:pStyle w:val="TableParagraph"/>
              <w:spacing w:before="11"/>
              <w:ind w:left="110"/>
              <w:jc w:val="left"/>
              <w:rPr>
                <w:sz w:val="24"/>
              </w:rPr>
            </w:pPr>
            <w:r>
              <w:rPr>
                <w:sz w:val="24"/>
              </w:rPr>
              <w:t>RNSN, México</w:t>
            </w:r>
          </w:p>
        </w:tc>
        <w:tc>
          <w:tcPr>
            <w:tcW w:w="3331" w:type="dxa"/>
            <w:tcBorders>
              <w:top w:val="nil"/>
              <w:left w:val="nil"/>
              <w:right w:val="nil"/>
            </w:tcBorders>
          </w:tcPr>
          <w:p>
            <w:pPr>
              <w:pStyle w:val="TableParagraph"/>
              <w:spacing w:line="480" w:lineRule="auto" w:before="125"/>
              <w:ind w:left="236" w:right="1915"/>
              <w:jc w:val="left"/>
              <w:rPr>
                <w:sz w:val="24"/>
              </w:rPr>
            </w:pPr>
            <w:r>
              <w:rPr>
                <w:sz w:val="24"/>
              </w:rPr>
              <w:t>Nocturno Crepuscular Diurno</w:t>
            </w:r>
          </w:p>
          <w:p>
            <w:pPr>
              <w:pStyle w:val="TableParagraph"/>
              <w:spacing w:before="11"/>
              <w:ind w:left="236"/>
              <w:jc w:val="left"/>
              <w:rPr>
                <w:sz w:val="24"/>
              </w:rPr>
            </w:pPr>
            <w:r>
              <w:rPr>
                <w:sz w:val="24"/>
              </w:rPr>
              <w:t>Diurno y nocturno</w:t>
            </w:r>
          </w:p>
        </w:tc>
      </w:tr>
    </w:tbl>
    <w:p>
      <w:pPr>
        <w:pStyle w:val="BodyText"/>
        <w:rPr>
          <w:sz w:val="20"/>
        </w:rPr>
      </w:pPr>
    </w:p>
    <w:p>
      <w:pPr>
        <w:pStyle w:val="BodyText"/>
        <w:spacing w:before="3"/>
        <w:rPr>
          <w:sz w:val="21"/>
        </w:rPr>
      </w:pPr>
    </w:p>
    <w:p>
      <w:pPr>
        <w:pStyle w:val="BodyText"/>
        <w:spacing w:line="480" w:lineRule="auto" w:before="69"/>
        <w:ind w:left="222" w:right="187" w:firstLine="707"/>
      </w:pPr>
      <w:r>
        <w:rPr/>
        <w:t>Para las presas del puma son escasos los trabajos que describen su patrón de actividad. En la RNSN, el armadillo mostro un patrón principalmente nocturno, similar al</w:t>
      </w:r>
    </w:p>
    <w:p>
      <w:pPr>
        <w:spacing w:after="0" w:line="480" w:lineRule="auto"/>
        <w:sectPr>
          <w:pgSz w:w="12240" w:h="15840"/>
          <w:pgMar w:header="740" w:footer="779" w:top="960" w:bottom="960" w:left="1480" w:right="1560"/>
        </w:sectPr>
      </w:pPr>
    </w:p>
    <w:p>
      <w:pPr>
        <w:pStyle w:val="BodyText"/>
        <w:rPr>
          <w:sz w:val="20"/>
        </w:rPr>
      </w:pPr>
    </w:p>
    <w:p>
      <w:pPr>
        <w:pStyle w:val="BodyText"/>
        <w:spacing w:before="9"/>
        <w:rPr>
          <w:sz w:val="18"/>
        </w:rPr>
      </w:pPr>
    </w:p>
    <w:p>
      <w:pPr>
        <w:pStyle w:val="BodyText"/>
        <w:spacing w:line="480" w:lineRule="auto"/>
        <w:ind w:left="102" w:right="104"/>
      </w:pPr>
      <w:r>
        <w:rPr/>
        <w:t>que describen Inbar y Meyer (1999) en Florida y al de Harmsen et al. (2011) en Belice. El Coatí presentó actividad diurna, semejante a la actividad que se registró en Chamela, México (Valenzuela y Ceballos 2000), y la actividad diurna de venado fue diferente a otros estudios realizados en el Norte de México, donde se describe que el patrón de actividad de esta especie es principalmente crepuscular (Galindo-Leal and Weber 1998, Gallina et al.</w:t>
      </w:r>
    </w:p>
    <w:p>
      <w:pPr>
        <w:pStyle w:val="BodyText"/>
        <w:spacing w:before="10"/>
        <w:ind w:left="102"/>
      </w:pPr>
      <w:r>
        <w:rPr/>
        <w:t>2005).</w:t>
      </w:r>
    </w:p>
    <w:p>
      <w:pPr>
        <w:pStyle w:val="BodyText"/>
      </w:pPr>
    </w:p>
    <w:p>
      <w:pPr>
        <w:pStyle w:val="BodyText"/>
        <w:spacing w:line="480" w:lineRule="auto"/>
        <w:ind w:left="102" w:right="94" w:firstLine="707"/>
      </w:pPr>
      <w:r>
        <w:rPr/>
        <w:t>La primera hipótesis alternativa que se planteo en este estudio fue comprobada. La actividad de puma se relaciono positivamente con el de su presa principal (armadillo) y el índice de Pianka mostró solapamiento en la mayoría de los intervalos de tiempo utilizados por ambas especies, ya que el valor de este índice fue más cercano a uno (Tabla 5.1). Se encontró una relación negativa en el patrón de actividad de puma en relación al de coatí y venado, el índice de Pianka para estas últimas especies presa mostró un bajo solapamiento (Tabla 5.1). Estos resultados son similares a los obtenidos en Belice, donde también describe que la actividad de puma se sincroniza con el de la paca que es también su presa principal (</w:t>
      </w:r>
      <w:r>
        <w:rPr>
          <w:i/>
        </w:rPr>
        <w:t>Agouti paca, </w:t>
      </w:r>
      <w:r>
        <w:rPr/>
        <w:t>Harmsen et al. 2010). Pero en otras especies como; coyote, lobo y jaguar no se encuentra esta relación, hay una baja sincronía en la actividad de estos depredadores en relación a sus presas principales (Eriksen et al. 2010, Romero-Muñoz et al. 2010, Arias-Del Razo et al. 2011). Esto puede explicarse por el comportamiento anti- depredatorio de las presas ya que estas pueden modificar su actividad para evitar ser depredadas. O puede ser que debido a la gran diversidad o abundancia de presas que se encuentren en el ambiente, se incremente el acceso de los carnívoros a mas presas y por tanto no sincronizarse con ninguna en particular (Romero-Muñoz et al. 2010, Eriksen et al. 2010).</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34" w:firstLine="707"/>
      </w:pPr>
      <w:r>
        <w:rPr/>
        <w:t>En estudios previos con trampas cámara en la RNSN (Zarco-González and Monroy- Vilchis. En prensa) han determinado que puma y armadillo no utilizan el mismo hábitat, pero si coinciden con el de sus otras dos presas (coatí y venado). Armadillo ocurre principalmente en Selva Baja Caducifolia sobre veredas, barrancas y cerca de cuerpos de agua, mientras que puma, coatí y venado utilizan principalmente Bosque de Pino-encino y se han fotografiado en caminos amplios. Esto evidencia que el hábitat no es un factor importante que este determinando la preferencia del puma sobre armadillo, sino más bien puede ser la coincidencia en el patrón de actividad entre estas dos especies. El puma busca los sitios por donde se encuentra el armadillo pero no son lugares que este felino utiliza para desplazarse en su actividad diaria. Harmsen et al. (2011), menciona que la diferencia en el huso de hábitat entre depredadores y presas no tiene influencia en el patrón de actividad y que esto puede más bien indicar los sitios donde los depredadores pueden encontrar a sus presas activas, contrario a viajar simplemente para encontrar presas.</w:t>
      </w:r>
    </w:p>
    <w:p>
      <w:pPr>
        <w:pStyle w:val="BodyText"/>
        <w:spacing w:line="480" w:lineRule="auto" w:before="10"/>
        <w:ind w:left="102" w:right="103" w:firstLine="707"/>
      </w:pPr>
      <w:r>
        <w:rPr/>
        <w:t>Por otro lado, la segregación temporal entre especies simpátricas ha sido un mecanismo que ha servido para evitar la competencia entre especies con la mismos hábitos y tallas (Lucherini et al. 2009). El patrón de puma en la RNSN fue principalmente crepuscular y nocturno con picos de actividad en los intervalos de las 19:00 a 19:59 y de las 21:00 a 22:59 hrs. mientras que el jaguar, el 60% de los registros demuestran actividad nocturna de las 00:00 a 00.59 hrs. Considerando que ambos felinos utilizan el mismo hábitat (Monroy-Vilchis et al. 2009), es probablemente que el puma en la RNSN, evite utilizar los mismos horarios que jaguar para reducir la competencia. Romero-Muñoz et al. (2010) también encuentra diferencias en el patrón de actividad de puma y jaguar en</w:t>
      </w:r>
      <w:r>
        <w:rPr>
          <w:spacing w:val="-14"/>
        </w:rPr>
        <w:t> </w:t>
      </w:r>
      <w:r>
        <w:rPr/>
        <w:t>bosques secos de Bolivia, mientras que otros estudios muestran que estos dos grandes depredadores coinciden en actividad (Núñez et al. 2002, Scognamillo et al. 2003, Harmsen et al. 2009),</w:t>
      </w:r>
      <w:r>
        <w:rPr>
          <w:spacing w:val="-13"/>
        </w:rPr>
        <w:t> </w:t>
      </w:r>
      <w:r>
        <w:rPr/>
        <w:t>lo</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pPr>
      <w:r>
        <w:rPr/>
        <w:t>cual puede estar relacionado por la alta disponibilidad de presas o el uso de diferentes ambientes.</w:t>
      </w:r>
    </w:p>
    <w:p>
      <w:pPr>
        <w:pStyle w:val="BodyText"/>
        <w:spacing w:line="480" w:lineRule="auto" w:before="10"/>
        <w:ind w:left="102" w:right="125" w:firstLine="707"/>
      </w:pPr>
      <w:r>
        <w:rPr/>
        <w:t>El comportamiento anti-depredatorio de las presas de evitar la luna llena para reducir el riesgo de depredación y el aumento en la actividad de los depredadores durante esta fase (Arias-Del Razo et al. 2011), no fue probado en el presente estudio (segunda hipótesis). Puma y armadillo no mostraron un efecto significativo de aumentar o disminuir su actividad conforme se acercaba la fase de la luna llena como se esperaba (Figura 5.3). Esto muestra probablemente que el armadillo no tiene esta estrategia anti-depredatoria en la RNSN. </w:t>
      </w:r>
      <w:r>
        <w:rPr>
          <w:spacing w:val="-3"/>
        </w:rPr>
        <w:t>La </w:t>
      </w:r>
      <w:r>
        <w:rPr/>
        <w:t>facilidad de captura de armadillo en comparación con coatí y venado, además de la coincidencia en patrón de actividad de puma y armadillo y el no disminuir la actividad durante la luna llena, pueden explicar porque esta especie es la presa principal de puma y no coatí y venado, los cuales probablemente como estrategia anti-depredatoria utilizan horarios antagónicos a los de este depredador. El patrón de actividad de puma tampoco presentó efecto por la luna</w:t>
      </w:r>
      <w:r>
        <w:rPr>
          <w:spacing w:val="-7"/>
        </w:rPr>
        <w:t> </w:t>
      </w:r>
      <w:r>
        <w:rPr/>
        <w:t>llena.</w:t>
      </w:r>
    </w:p>
    <w:p>
      <w:pPr>
        <w:pStyle w:val="BodyText"/>
      </w:pPr>
    </w:p>
    <w:p>
      <w:pPr>
        <w:pStyle w:val="BodyText"/>
        <w:spacing w:before="3"/>
        <w:rPr>
          <w:sz w:val="25"/>
        </w:rPr>
      </w:pPr>
    </w:p>
    <w:p>
      <w:pPr>
        <w:pStyle w:val="Heading2"/>
      </w:pPr>
      <w:r>
        <w:rPr/>
        <w:t>Referencias.</w:t>
      </w:r>
    </w:p>
    <w:p>
      <w:pPr>
        <w:pStyle w:val="BodyText"/>
        <w:rPr>
          <w:b/>
        </w:rPr>
      </w:pPr>
    </w:p>
    <w:p>
      <w:pPr>
        <w:pStyle w:val="BodyText"/>
        <w:spacing w:before="6"/>
        <w:rPr>
          <w:b/>
          <w:sz w:val="23"/>
        </w:rPr>
      </w:pPr>
    </w:p>
    <w:p>
      <w:pPr>
        <w:spacing w:line="480" w:lineRule="auto" w:before="0"/>
        <w:ind w:left="810" w:right="687" w:hanging="708"/>
        <w:jc w:val="left"/>
        <w:rPr>
          <w:sz w:val="24"/>
        </w:rPr>
      </w:pPr>
      <w:r>
        <w:rPr>
          <w:sz w:val="24"/>
        </w:rPr>
        <w:t>Arias-Del Razo I., Hernández L. Laundré J. W. &amp; Myers. 2011. Do predator and prey foraging activity patterns match? A study of coyotes (</w:t>
      </w:r>
      <w:r>
        <w:rPr>
          <w:i/>
          <w:sz w:val="24"/>
        </w:rPr>
        <w:t>Canis latrans</w:t>
      </w:r>
      <w:r>
        <w:rPr>
          <w:sz w:val="24"/>
        </w:rPr>
        <w:t>), and lagomorphs (</w:t>
      </w:r>
      <w:r>
        <w:rPr>
          <w:i/>
          <w:sz w:val="24"/>
        </w:rPr>
        <w:t>Lepus californicus </w:t>
      </w:r>
      <w:r>
        <w:rPr>
          <w:sz w:val="24"/>
        </w:rPr>
        <w:t>and </w:t>
      </w:r>
      <w:r>
        <w:rPr>
          <w:i/>
          <w:sz w:val="24"/>
        </w:rPr>
        <w:t>Sylvilagus audobonii</w:t>
      </w:r>
      <w:r>
        <w:rPr>
          <w:sz w:val="24"/>
        </w:rPr>
        <w:t>). Journal of Arid Environments 75: 112-118</w:t>
      </w:r>
    </w:p>
    <w:p>
      <w:pPr>
        <w:pStyle w:val="BodyText"/>
        <w:spacing w:line="480" w:lineRule="auto" w:before="10"/>
        <w:ind w:left="810" w:right="145" w:hanging="708"/>
      </w:pPr>
      <w:r>
        <w:rPr/>
        <w:t>Carrillo, E., Fuller, T.K. and Saenz, J.C. 2009. Jaguar (</w:t>
      </w:r>
      <w:r>
        <w:rPr>
          <w:i/>
        </w:rPr>
        <w:t>Panthera onca</w:t>
      </w:r>
      <w:r>
        <w:rPr/>
        <w:t>) hunting activity: effects of prey distribution and availability. Journal of tropical Ecology 25: 563-567</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810" w:right="117" w:hanging="708"/>
        <w:jc w:val="both"/>
      </w:pPr>
      <w:r>
        <w:rPr/>
        <w:t>Clarke, J. A. 1983. Moonlight´s influence on predator/prey interactions between short-eared owls (</w:t>
      </w:r>
      <w:r>
        <w:rPr>
          <w:i/>
        </w:rPr>
        <w:t>Asio flammeus</w:t>
      </w:r>
      <w:r>
        <w:rPr/>
        <w:t>) and deermice (</w:t>
      </w:r>
      <w:r>
        <w:rPr>
          <w:i/>
        </w:rPr>
        <w:t>Peromyscus maniculatus</w:t>
      </w:r>
      <w:r>
        <w:rPr/>
        <w:t>). Behavioral Ecology and Sociobiology . 13. 205-209</w:t>
      </w:r>
    </w:p>
    <w:p>
      <w:pPr>
        <w:pStyle w:val="BodyText"/>
        <w:spacing w:line="480" w:lineRule="auto" w:before="10"/>
        <w:ind w:left="810" w:right="645" w:hanging="708"/>
      </w:pPr>
      <w:r>
        <w:rPr/>
        <w:t>Di Bitetti, M. S., Paviolo, A. and De Angelo C. 2006. Density, hábitat use and activity patterns of ocelot (</w:t>
      </w:r>
      <w:r>
        <w:rPr>
          <w:i/>
        </w:rPr>
        <w:t>Leopardus pardalis</w:t>
      </w:r>
      <w:r>
        <w:rPr/>
        <w:t>) in the Atlantic Forest of Misiones, Argentina. Journal of Zoology (London). 270. 153-163</w:t>
      </w:r>
    </w:p>
    <w:p>
      <w:pPr>
        <w:pStyle w:val="BodyText"/>
        <w:spacing w:line="480" w:lineRule="auto" w:before="10"/>
        <w:ind w:left="810" w:right="20" w:hanging="708"/>
      </w:pPr>
      <w:r>
        <w:rPr/>
        <w:t>Eriksen, A., Wabakken P. Zimmermann B. Andreassen H. P. Arnemo J. M. Gundersen H. Liberg O. Linnell J. Milner J. M. Pedersen H. C. Sand H. Solberg E. J. &amp; Storaas T. 2011. Activity Patterns of predator and prey: a simultaneous study of GPS-collared wolves and moose. Animal Behaviour. 81. 423-431</w:t>
      </w:r>
    </w:p>
    <w:p>
      <w:pPr>
        <w:pStyle w:val="BodyText"/>
        <w:spacing w:line="480" w:lineRule="auto" w:before="10"/>
        <w:ind w:left="810" w:right="367" w:hanging="708"/>
        <w:jc w:val="both"/>
      </w:pPr>
      <w:r>
        <w:rPr/>
        <w:t>Feng, X., Ming, M., Yiqun, W. &amp; Weikang, Y. 2012: Winter day time activity budgets</w:t>
      </w:r>
      <w:r>
        <w:rPr>
          <w:spacing w:val="-15"/>
        </w:rPr>
        <w:t> </w:t>
      </w:r>
      <w:r>
        <w:rPr/>
        <w:t>of Asian Ibex </w:t>
      </w:r>
      <w:r>
        <w:rPr>
          <w:i/>
        </w:rPr>
        <w:t>Capra sibirica </w:t>
      </w:r>
      <w:r>
        <w:rPr/>
        <w:t>in Tomur National Nature Reserve of Xinjiang, China. Pakistan Journal of Zoology 44(2):</w:t>
      </w:r>
      <w:r>
        <w:rPr>
          <w:spacing w:val="-7"/>
        </w:rPr>
        <w:t> </w:t>
      </w:r>
      <w:r>
        <w:rPr/>
        <w:t>389-392.</w:t>
      </w:r>
    </w:p>
    <w:p>
      <w:pPr>
        <w:pStyle w:val="BodyText"/>
        <w:spacing w:line="480" w:lineRule="auto" w:before="10"/>
        <w:ind w:left="810" w:right="414" w:hanging="708"/>
      </w:pPr>
      <w:r>
        <w:rPr/>
        <w:t>Galindo- Leal, C. &amp; Weber, M. 1998: El venado de la Sierra Madre Occidental, ecología manejo y conservación.- EDICUSA-CONABIO, México, 272 pp.</w:t>
      </w:r>
    </w:p>
    <w:p>
      <w:pPr>
        <w:pStyle w:val="BodyText"/>
        <w:spacing w:line="480" w:lineRule="auto" w:before="10"/>
        <w:ind w:left="810" w:right="172" w:hanging="708"/>
      </w:pPr>
      <w:r>
        <w:rPr/>
        <w:t>Gallina, S., Corona-Zárate, P. &amp; Bello, J. 2005: El comportamiento del venado cola blanca en zonas semiáridas del Noreste de México.- In: Sánchez-Coordero, V. &amp; Medellín,</w:t>
      </w:r>
    </w:p>
    <w:p>
      <w:pPr>
        <w:pStyle w:val="BodyText"/>
        <w:spacing w:line="480" w:lineRule="auto" w:before="10"/>
        <w:ind w:left="810" w:right="197"/>
      </w:pPr>
      <w:r>
        <w:rPr/>
        <w:t>R. A. (Eds); Contribuciones mastozoológicas en homenaje a Bernardo Villa, Instituto de Biología de la UNAM-instituto de ecología de la UNAM-CONABIO, México: 193-203.</w:t>
      </w:r>
    </w:p>
    <w:p>
      <w:pPr>
        <w:pStyle w:val="BodyText"/>
        <w:spacing w:line="480" w:lineRule="auto" w:before="10"/>
        <w:ind w:left="1167" w:right="116" w:hanging="1066"/>
        <w:jc w:val="both"/>
      </w:pPr>
      <w:r>
        <w:rPr/>
        <w:t>Gomez-Ortíz, Y., Monroy-Vilchis, O., Fajardo, V., Mendoza, G. D., Urios, V., 2011. </w:t>
      </w:r>
      <w:r>
        <w:rPr>
          <w:spacing w:val="-3"/>
        </w:rPr>
        <w:t>Is </w:t>
      </w:r>
      <w:r>
        <w:rPr/>
        <w:t>food quality important for carnivores? The case of </w:t>
      </w:r>
      <w:r>
        <w:rPr>
          <w:i/>
        </w:rPr>
        <w:t>Puma concolor</w:t>
      </w:r>
      <w:r>
        <w:rPr/>
        <w:t>. Anim. Biol. 61,</w:t>
      </w:r>
      <w:r>
        <w:rPr>
          <w:spacing w:val="-1"/>
        </w:rPr>
        <w:t> </w:t>
      </w:r>
      <w:r>
        <w:rPr/>
        <w:t>277-288.</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810" w:right="364" w:hanging="708"/>
      </w:pPr>
      <w:r>
        <w:rPr/>
        <w:t>Harmsen, B.J., Foster, R.J., Silver, S.C., Ostro, L.E.T. and C.P. Doncaster. 2011. Jaguar and puma activity patterns in relation to their main prey. Mammalian Biology. 76. 320-324</w:t>
      </w:r>
    </w:p>
    <w:p>
      <w:pPr>
        <w:pStyle w:val="BodyText"/>
        <w:spacing w:line="480" w:lineRule="auto" w:before="10"/>
        <w:ind w:left="810" w:right="374" w:hanging="708"/>
      </w:pPr>
      <w:r>
        <w:rPr/>
        <w:t>Inbar, M. and Mayer R. T. 1999. Spatio-temporal trends in armadillo diurnal activity and road-kills in central Florida. Wildlife Society Bulletin 27(3). 865-862</w:t>
      </w:r>
    </w:p>
    <w:p>
      <w:pPr>
        <w:pStyle w:val="BodyText"/>
        <w:spacing w:line="480" w:lineRule="auto" w:before="10"/>
        <w:ind w:left="810" w:right="652" w:hanging="708"/>
      </w:pPr>
      <w:r>
        <w:rPr/>
        <w:t>Iriarte J., A. Franklin, W. Johnson y H. Redfor. 1990. Biogeographic variation of food habits and body size of the american puma. Oecologia. 85:185-190</w:t>
      </w:r>
    </w:p>
    <w:p>
      <w:pPr>
        <w:pStyle w:val="BodyText"/>
        <w:spacing w:before="11"/>
        <w:ind w:left="102" w:right="197"/>
      </w:pPr>
      <w:r>
        <w:rPr/>
        <w:t>Jenny, D. and Zuberbuhler, K. 2005. Hunting behavior in west African forest leopards.</w:t>
      </w:r>
    </w:p>
    <w:p>
      <w:pPr>
        <w:pStyle w:val="BodyText"/>
      </w:pPr>
    </w:p>
    <w:p>
      <w:pPr>
        <w:pStyle w:val="BodyText"/>
        <w:ind w:left="810" w:right="197"/>
      </w:pPr>
      <w:r>
        <w:rPr/>
        <w:t>African Journal Ecology. 43. 197-200</w:t>
      </w:r>
    </w:p>
    <w:p>
      <w:pPr>
        <w:pStyle w:val="BodyText"/>
      </w:pPr>
    </w:p>
    <w:p>
      <w:pPr>
        <w:pStyle w:val="BodyText"/>
        <w:ind w:left="102" w:right="197"/>
      </w:pPr>
      <w:r>
        <w:rPr/>
        <w:t>Kronfeld-Schor, N. and Dayan, T., 2003. Partitioning of time as an ecological resource.</w:t>
      </w:r>
    </w:p>
    <w:p>
      <w:pPr>
        <w:pStyle w:val="BodyText"/>
      </w:pPr>
    </w:p>
    <w:p>
      <w:pPr>
        <w:pStyle w:val="BodyText"/>
        <w:ind w:left="810" w:right="197"/>
      </w:pPr>
      <w:r>
        <w:rPr/>
        <w:t>Annual Review of Ecology, Evolution and Systematics 34, 153–181.</w:t>
      </w:r>
    </w:p>
    <w:p>
      <w:pPr>
        <w:pStyle w:val="BodyText"/>
      </w:pPr>
    </w:p>
    <w:p>
      <w:pPr>
        <w:pStyle w:val="BodyText"/>
        <w:spacing w:line="480" w:lineRule="auto"/>
        <w:ind w:left="810" w:right="197" w:hanging="708"/>
      </w:pPr>
      <w:r>
        <w:rPr/>
        <w:t>Kolowski, J.M. and Alonso, A. 2010. Density and activity patterns of ocelots (Leopardus pardalis) in northern Peru and the impact of oil exploration activities. Biological Conservation. 143. 917-925</w:t>
      </w:r>
    </w:p>
    <w:p>
      <w:pPr>
        <w:pStyle w:val="BodyText"/>
        <w:spacing w:line="480" w:lineRule="auto" w:before="10"/>
        <w:ind w:left="810" w:right="197" w:hanging="708"/>
      </w:pPr>
      <w:r>
        <w:rPr/>
        <w:t>Lucherini, M., Reppucci, J.I., Walker, R.S., Villalba, M.L., Wursttens, A., Gallardo G., Iriarte, A., Villalobos, R. and Perovic, P. 2009. Activity pattern segregation of carnivores in the High Andes. Journal of Mammalogy. 90(6). 1404-1409.</w:t>
      </w:r>
    </w:p>
    <w:p>
      <w:pPr>
        <w:pStyle w:val="BodyText"/>
        <w:spacing w:line="480" w:lineRule="auto" w:before="10"/>
        <w:ind w:left="821" w:right="117" w:hanging="660"/>
        <w:jc w:val="both"/>
      </w:pPr>
      <w:r>
        <w:rPr/>
        <w:t>Maffei, L., E. Cuéllar &amp;A. J. Noss. 2002. Uso de trampas-cámara para la evaluación de mamíferos en el ecotono Chaco-Chiquitanía. Revista Boliviana de Ecología y Conservación Ambiental; 11. 55-65</w:t>
      </w:r>
    </w:p>
    <w:p>
      <w:pPr>
        <w:pStyle w:val="BodyText"/>
        <w:spacing w:line="480" w:lineRule="auto" w:before="10"/>
        <w:ind w:left="821" w:right="197" w:hanging="720"/>
      </w:pPr>
      <w:r>
        <w:rPr/>
        <w:t>Monroy-Vilchis, O., O. Sánchez, U. Aguilera, P. Suárez, and V. Urios. 2008b. Jaguar (</w:t>
      </w:r>
      <w:r>
        <w:rPr>
          <w:i/>
        </w:rPr>
        <w:t>Panthera onca </w:t>
      </w:r>
      <w:r>
        <w:rPr/>
        <w:t>) in the State of Mexico. Southwest. Nat. 53: 533 – 537.</w:t>
      </w:r>
    </w:p>
    <w:p>
      <w:pPr>
        <w:pStyle w:val="BodyText"/>
        <w:spacing w:line="480" w:lineRule="auto" w:before="10"/>
        <w:ind w:left="821" w:right="197" w:hanging="720"/>
      </w:pPr>
      <w:r>
        <w:rPr/>
        <w:t>Monroy-Vilchis, O., Gómez, Y., Janczur, M., Urios, V., 2009a. Food niche of </w:t>
      </w:r>
      <w:r>
        <w:rPr>
          <w:i/>
        </w:rPr>
        <w:t>Puma </w:t>
      </w:r>
      <w:r>
        <w:rPr>
          <w:i/>
        </w:rPr>
        <w:t>concolor </w:t>
      </w:r>
      <w:r>
        <w:rPr/>
        <w:t>in central Mexico. Wildl. Biol. 15, 97-105</w:t>
      </w:r>
    </w:p>
    <w:p>
      <w:pPr>
        <w:spacing w:after="0" w:line="480" w:lineRule="auto"/>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821" w:right="120" w:hanging="720"/>
        <w:jc w:val="both"/>
      </w:pPr>
      <w:r>
        <w:rPr/>
        <w:t>Monroy-Vilchis, O., Rodríguez-Soto, C., Zarco-González, M. &amp; Urios, V. 2009b: Cougar and jaguar habitat use and activity patterns in central Mexico. - Animal Biology 59: 145-157</w:t>
      </w:r>
    </w:p>
    <w:p>
      <w:pPr>
        <w:pStyle w:val="BodyText"/>
        <w:spacing w:line="480" w:lineRule="auto" w:before="10"/>
        <w:ind w:left="821" w:right="118" w:hanging="720"/>
        <w:jc w:val="both"/>
      </w:pPr>
      <w:r>
        <w:rPr/>
        <w:t>Monroy-Vilchis, O., Zarco-González, M. M., Rodríguez-Soto, C., Soria-Díaz, L., Urios, V., 2011. Fototrampeo de mamíferos en la Sierra Nanchititla, México; abundancia relativa y patrón de actividad. Revista de Biología Tropical. 59 (1), 373-383.</w:t>
      </w:r>
    </w:p>
    <w:p>
      <w:pPr>
        <w:pStyle w:val="BodyText"/>
        <w:spacing w:line="480" w:lineRule="auto" w:before="10"/>
        <w:ind w:left="821" w:right="119" w:hanging="720"/>
        <w:jc w:val="both"/>
      </w:pPr>
      <w:r>
        <w:rPr/>
        <w:t>Núñez, R., B. Miller y F. Lindzey. 2002. Ecología del jaguar en la Reserva de la Biosfera Chamela-Cuixmala, Jalisco, México. In. Medellín, R. A., C. Equihua, C. L. B. Chetkiewicz, P. G. Crawshaw, A. Rabinowitz, K. H. Redford, J. G. Robinson, E. W. Sanderson y A. B. Taber (Eds). 2002. El jaguar en el nuevo milenio. Fondo de la cultura económica. pp. 107-126</w:t>
      </w:r>
    </w:p>
    <w:p>
      <w:pPr>
        <w:pStyle w:val="BodyText"/>
        <w:spacing w:line="480" w:lineRule="auto" w:before="10"/>
        <w:ind w:left="821" w:right="116" w:hanging="720"/>
        <w:jc w:val="both"/>
      </w:pPr>
      <w:r>
        <w:rPr/>
        <w:t>O’Brien, T. G., Kinnaird, M. F., Wibisono, H. T., 2003. Crouching tigers, hidden prey: Sumatran tiger and prey populations in a tropical forest landscape. Anim. Conserv. 6, 131–139</w:t>
      </w:r>
    </w:p>
    <w:p>
      <w:pPr>
        <w:pStyle w:val="BodyText"/>
        <w:spacing w:line="480" w:lineRule="auto" w:before="10"/>
        <w:ind w:left="821" w:right="115" w:hanging="720"/>
        <w:jc w:val="both"/>
      </w:pPr>
      <w:r>
        <w:rPr/>
        <w:t>Paviolo, A. N., Di Blanco Y. E., De Angelo C. D. &amp; Di Bitetti M. S. 2009. Protection affects the abundance and activity patterns of pumas in the Atlantic forest. Journal  of Mammalogy</w:t>
      </w:r>
      <w:r>
        <w:rPr>
          <w:spacing w:val="-3"/>
        </w:rPr>
        <w:t> </w:t>
      </w:r>
      <w:r>
        <w:rPr/>
        <w:t>90:926-934</w:t>
      </w:r>
    </w:p>
    <w:p>
      <w:pPr>
        <w:pStyle w:val="BodyText"/>
        <w:spacing w:line="480" w:lineRule="auto" w:before="10"/>
        <w:ind w:left="821" w:right="123" w:hanging="720"/>
        <w:jc w:val="both"/>
      </w:pPr>
      <w:r>
        <w:rPr/>
        <w:t>Pianka, E.R. 1974. Niche overlap and diffuse competition. Proceedings of the National Academy of Science, 7:2141-2145</w:t>
      </w:r>
    </w:p>
    <w:p>
      <w:pPr>
        <w:pStyle w:val="BodyText"/>
        <w:spacing w:line="480" w:lineRule="auto" w:before="11"/>
        <w:ind w:left="102" w:right="115"/>
        <w:jc w:val="right"/>
      </w:pPr>
      <w:r>
        <w:rPr/>
        <w:t>Pizzatto, L. Child, T. and R. Shine. 2008. Why be diurnal? Shifts in activity time enable</w:t>
      </w:r>
      <w:r>
        <w:rPr>
          <w:w w:val="99"/>
        </w:rPr>
        <w:t> </w:t>
      </w:r>
      <w:r>
        <w:rPr/>
        <w:t>young cane toads to evade cannibalistic conspecifics. Behavioral Ecology. 990-997 Romero-Muñoz, A., Maffeí L. Cuéllar E. &amp; Noss A. J. 2010. Temporal separation between jaguar and puma in the dry forest of southern Bolivia.    Journal of Tropical Ecology</w:t>
      </w:r>
    </w:p>
    <w:p>
      <w:pPr>
        <w:pStyle w:val="BodyText"/>
        <w:spacing w:before="10"/>
        <w:ind w:left="821" w:right="6695"/>
      </w:pPr>
      <w:r>
        <w:rPr/>
        <w:t>26: 303-311</w:t>
      </w:r>
    </w:p>
    <w:p>
      <w:pPr>
        <w:spacing w:after="0"/>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810" w:right="115" w:hanging="708"/>
        <w:jc w:val="both"/>
      </w:pPr>
      <w:r>
        <w:rPr/>
        <w:t>Sánchez, O., J. Ramírez-Púlido, U. Aguilera-Reyes, and O. Monroy-Vilchis. 2002. Felid record from the state of Mexico. Mammalia. 66: 289-294.</w:t>
      </w:r>
    </w:p>
    <w:p>
      <w:pPr>
        <w:pStyle w:val="BodyText"/>
        <w:spacing w:line="480" w:lineRule="auto" w:before="10"/>
        <w:ind w:left="810" w:right="115" w:hanging="708"/>
        <w:jc w:val="both"/>
      </w:pPr>
      <w:r>
        <w:rPr/>
        <w:t>Schai-Braun, S. C., Rödel, H. G. and Hackländer, K. 2012. The influence of daylight  regime on diurnal locomotor activity patterns of the European hare (</w:t>
      </w:r>
      <w:r>
        <w:rPr>
          <w:i/>
        </w:rPr>
        <w:t>Lepus </w:t>
      </w:r>
      <w:r>
        <w:rPr>
          <w:i/>
        </w:rPr>
        <w:t>europaeus</w:t>
      </w:r>
      <w:r>
        <w:rPr/>
        <w:t>) during summer. Mammalian Biology. 77.</w:t>
      </w:r>
      <w:r>
        <w:rPr>
          <w:spacing w:val="-7"/>
        </w:rPr>
        <w:t> </w:t>
      </w:r>
      <w:r>
        <w:rPr/>
        <w:t>434-440</w:t>
      </w:r>
    </w:p>
    <w:p>
      <w:pPr>
        <w:pStyle w:val="BodyText"/>
        <w:spacing w:line="480" w:lineRule="auto" w:before="10"/>
        <w:ind w:left="810" w:right="118" w:hanging="708"/>
        <w:jc w:val="both"/>
      </w:pPr>
      <w:r>
        <w:rPr/>
        <w:t>Schmidt, K., Nakanishi, N., Izawa, M., Okamura, M., Watanabe, S. Tanaka, S. and Doi, T. 2009. The reproductive tactics and activity patterns of solitary carnivores: the Iriomote cat. Journal of Ethology. 27. 165-174</w:t>
      </w:r>
    </w:p>
    <w:p>
      <w:pPr>
        <w:pStyle w:val="BodyText"/>
        <w:spacing w:before="10"/>
        <w:ind w:left="102" w:right="197"/>
      </w:pPr>
      <w:r>
        <w:rPr/>
        <w:t>Scognamillo D., I. Maxit, M. Sunquist y J. Polisar. 2003. Coexistence of</w:t>
      </w:r>
    </w:p>
    <w:p>
      <w:pPr>
        <w:pStyle w:val="BodyText"/>
      </w:pPr>
    </w:p>
    <w:p>
      <w:pPr>
        <w:pStyle w:val="BodyText"/>
        <w:spacing w:line="480" w:lineRule="auto"/>
        <w:ind w:left="810" w:right="992"/>
      </w:pPr>
      <w:r>
        <w:rPr/>
        <w:t>jaguar (</w:t>
      </w:r>
      <w:r>
        <w:rPr>
          <w:i/>
        </w:rPr>
        <w:t>Panthera onca</w:t>
      </w:r>
      <w:r>
        <w:rPr/>
        <w:t>) and puma (</w:t>
      </w:r>
      <w:r>
        <w:rPr>
          <w:i/>
        </w:rPr>
        <w:t>Puma concolor</w:t>
      </w:r>
      <w:r>
        <w:rPr/>
        <w:t>) in a mosaic landscape in the Venezuelan llanos. Journal of Zoology (Lond.) 259: 269-279pp.</w:t>
      </w:r>
    </w:p>
    <w:p>
      <w:pPr>
        <w:pStyle w:val="BodyText"/>
        <w:spacing w:line="480" w:lineRule="auto" w:before="10"/>
        <w:ind w:left="810" w:right="117" w:hanging="708"/>
        <w:jc w:val="both"/>
      </w:pPr>
      <w:r>
        <w:rPr/>
        <w:t>Soria-Díaz, L., Monroy-Vilchis, O., Rodríguez-Soto, C., Zarco-González, M. M., Urios, V., 2010. Variation of abundance and density of </w:t>
      </w:r>
      <w:r>
        <w:rPr>
          <w:i/>
        </w:rPr>
        <w:t>Puma concolor </w:t>
      </w:r>
      <w:r>
        <w:rPr/>
        <w:t>in zones of high and low concentration of camera trap in Central Mexico. Anim. Biol. 60, 361-371.</w:t>
      </w:r>
    </w:p>
    <w:p>
      <w:pPr>
        <w:pStyle w:val="BodyText"/>
        <w:spacing w:line="360" w:lineRule="auto" w:before="12"/>
        <w:ind w:left="1095" w:right="123" w:hanging="994"/>
        <w:jc w:val="both"/>
      </w:pPr>
      <w:r>
        <w:rPr/>
        <w:t>Sunquist M y F. Sunquist. 2002. Wild Cats of the World. University Of Chicago Press. pp 452.</w:t>
      </w:r>
    </w:p>
    <w:p>
      <w:pPr>
        <w:pStyle w:val="BodyText"/>
        <w:spacing w:line="360" w:lineRule="auto" w:before="4"/>
        <w:ind w:left="1095" w:right="121" w:hanging="994"/>
        <w:jc w:val="both"/>
      </w:pPr>
      <w:r>
        <w:rPr/>
        <w:t>Valenzuela, D. and Ceballos, G. 2000. Habitat selection, home range, and activity of the whited-nosed coati (</w:t>
      </w:r>
      <w:r>
        <w:rPr>
          <w:i/>
        </w:rPr>
        <w:t>Nasua narica</w:t>
      </w:r>
      <w:r>
        <w:rPr/>
        <w:t>) in a Mexican tropical dry forest. Journal of Mammalogy. 81(3). 810-819.</w:t>
      </w:r>
    </w:p>
    <w:p>
      <w:pPr>
        <w:spacing w:after="0" w:line="360" w:lineRule="auto"/>
        <w:jc w:val="both"/>
        <w:sectPr>
          <w:pgSz w:w="12240" w:h="15840"/>
          <w:pgMar w:header="740" w:footer="779" w:top="960" w:bottom="9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Heading1"/>
        <w:spacing w:before="22"/>
        <w:ind w:left="114" w:right="230"/>
        <w:jc w:val="center"/>
      </w:pPr>
      <w:bookmarkStart w:name="_bookmark34" w:id="40"/>
      <w:bookmarkEnd w:id="40"/>
      <w:r>
        <w:rPr>
          <w:b w:val="0"/>
        </w:rPr>
      </w:r>
      <w:r>
        <w:rPr/>
        <w:t>CAPÍTULO VI.</w:t>
      </w:r>
    </w:p>
    <w:p>
      <w:pPr>
        <w:spacing w:after="0"/>
        <w:jc w:val="center"/>
        <w:sectPr>
          <w:pgSz w:w="12240" w:h="15840"/>
          <w:pgMar w:header="740" w:footer="779" w:top="960" w:bottom="960" w:left="1720" w:right="1600"/>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3"/>
        <w:rPr>
          <w:rFonts w:ascii="Palatino Linotype"/>
          <w:b/>
        </w:rPr>
      </w:pPr>
    </w:p>
    <w:p>
      <w:pPr>
        <w:pStyle w:val="Heading2"/>
        <w:numPr>
          <w:ilvl w:val="0"/>
          <w:numId w:val="5"/>
        </w:numPr>
        <w:tabs>
          <w:tab w:pos="594" w:val="left" w:leader="none"/>
        </w:tabs>
        <w:spacing w:line="480" w:lineRule="auto" w:before="69" w:after="0"/>
        <w:ind w:left="2266" w:right="205" w:hanging="2059"/>
        <w:jc w:val="left"/>
      </w:pPr>
      <w:bookmarkStart w:name="_bookmark35" w:id="41"/>
      <w:bookmarkEnd w:id="41"/>
      <w:r>
        <w:rPr>
          <w:b w:val="0"/>
        </w:rPr>
      </w:r>
      <w:bookmarkStart w:name="_bookmark35" w:id="42"/>
      <w:bookmarkEnd w:id="42"/>
      <w:r>
        <w:rPr/>
        <w:t>Eff</w:t>
      </w:r>
      <w:r>
        <w:rPr/>
        <w:t>ect top-down or bottom-up on population </w:t>
      </w:r>
      <w:r>
        <w:rPr>
          <w:i/>
        </w:rPr>
        <w:t>Puma concolor </w:t>
      </w:r>
      <w:r>
        <w:rPr/>
        <w:t>and its main prey</w:t>
      </w:r>
      <w:r>
        <w:rPr>
          <w:spacing w:val="-22"/>
        </w:rPr>
        <w:t> </w:t>
      </w:r>
      <w:r>
        <w:rPr/>
        <w:t>in Sierra Nanchititla Natural Reserve,</w:t>
      </w:r>
      <w:r>
        <w:rPr>
          <w:spacing w:val="-6"/>
        </w:rPr>
        <w:t> </w:t>
      </w:r>
      <w:r>
        <w:rPr/>
        <w:t>México.</w:t>
      </w:r>
    </w:p>
    <w:p>
      <w:pPr>
        <w:pStyle w:val="BodyText"/>
        <w:rPr>
          <w:b/>
        </w:rPr>
      </w:pPr>
    </w:p>
    <w:p>
      <w:pPr>
        <w:pStyle w:val="BodyText"/>
        <w:spacing w:before="9"/>
        <w:rPr>
          <w:b/>
          <w:sz w:val="21"/>
        </w:rPr>
      </w:pPr>
    </w:p>
    <w:p>
      <w:pPr>
        <w:spacing w:before="0"/>
        <w:ind w:left="102" w:right="0" w:firstLine="0"/>
        <w:jc w:val="left"/>
        <w:rPr>
          <w:b/>
          <w:sz w:val="24"/>
        </w:rPr>
      </w:pPr>
      <w:r>
        <w:rPr>
          <w:b/>
          <w:sz w:val="24"/>
        </w:rPr>
        <w:t>Leroy Soria-Díaz</w:t>
      </w:r>
      <w:r>
        <w:rPr>
          <w:b/>
          <w:position w:val="11"/>
          <w:sz w:val="16"/>
        </w:rPr>
        <w:t>A</w:t>
      </w:r>
      <w:r>
        <w:rPr>
          <w:b/>
          <w:sz w:val="24"/>
        </w:rPr>
        <w:t>, Octavio Monroy</w:t>
      </w:r>
      <w:r>
        <w:rPr>
          <w:b/>
          <w:position w:val="11"/>
          <w:sz w:val="16"/>
        </w:rPr>
        <w:t>A* </w:t>
      </w:r>
      <w:r>
        <w:rPr>
          <w:b/>
          <w:sz w:val="24"/>
        </w:rPr>
        <w:t>and Mike S. Fowler</w:t>
      </w:r>
      <w:r>
        <w:rPr>
          <w:b/>
          <w:position w:val="11"/>
          <w:sz w:val="16"/>
        </w:rPr>
        <w:t>B</w:t>
      </w:r>
      <w:r>
        <w:rPr>
          <w:b/>
          <w:sz w:val="24"/>
        </w:rPr>
        <w:t>.</w:t>
      </w:r>
    </w:p>
    <w:p>
      <w:pPr>
        <w:pStyle w:val="BodyText"/>
        <w:spacing w:line="480" w:lineRule="auto" w:before="236"/>
        <w:ind w:left="102" w:right="384"/>
      </w:pPr>
      <w:r>
        <w:rPr>
          <w:position w:val="11"/>
          <w:sz w:val="16"/>
        </w:rPr>
        <w:t>A</w:t>
      </w:r>
      <w:r>
        <w:rPr/>
        <w:t>Estación Biológica Sierra Nanchititla, Facultad de Ciencias, Universidad Autónoma del Estado de México, Instituto Literario 100, Centro, 50000 Toluca, México. </w:t>
      </w:r>
      <w:hyperlink r:id="rId29">
        <w:r>
          <w:rPr>
            <w:color w:val="0000FF"/>
            <w:u w:val="single" w:color="0000FF"/>
          </w:rPr>
          <w:t>leroysoriadiaz@gmail.com</w:t>
        </w:r>
      </w:hyperlink>
      <w:r>
        <w:rPr/>
        <w:t>, </w:t>
      </w:r>
      <w:hyperlink r:id="rId24">
        <w:r>
          <w:rPr/>
          <w:t>tavomonroyvilchis@gmail.com</w:t>
        </w:r>
      </w:hyperlink>
    </w:p>
    <w:p>
      <w:pPr>
        <w:pStyle w:val="BodyText"/>
        <w:spacing w:before="10"/>
        <w:ind w:left="102"/>
      </w:pPr>
      <w:r>
        <w:rPr/>
        <w:t>Tel: +01 722 2 96 55 53</w:t>
      </w:r>
    </w:p>
    <w:p>
      <w:pPr>
        <w:pStyle w:val="BodyText"/>
      </w:pPr>
    </w:p>
    <w:p>
      <w:pPr>
        <w:pStyle w:val="BodyText"/>
      </w:pPr>
    </w:p>
    <w:p>
      <w:pPr>
        <w:pStyle w:val="BodyText"/>
        <w:spacing w:before="10"/>
        <w:rPr>
          <w:sz w:val="20"/>
        </w:rPr>
      </w:pPr>
    </w:p>
    <w:p>
      <w:pPr>
        <w:pStyle w:val="BodyText"/>
        <w:spacing w:line="480" w:lineRule="auto"/>
        <w:ind w:left="102"/>
      </w:pPr>
      <w:r>
        <w:rPr>
          <w:position w:val="11"/>
          <w:sz w:val="16"/>
        </w:rPr>
        <w:t>B </w:t>
      </w:r>
      <w:r>
        <w:rPr/>
        <w:t>Department of Biociences, Wallace Building, Swansea University, Singleton Park, Gales, UK.</w:t>
      </w:r>
    </w:p>
    <w:p>
      <w:pPr>
        <w:pStyle w:val="BodyText"/>
        <w:spacing w:before="10"/>
        <w:ind w:left="102"/>
      </w:pPr>
      <w:hyperlink r:id="rId40">
        <w:r>
          <w:rPr/>
          <w:t>M.S.Fowler@swansea.ac.uk</w:t>
        </w:r>
      </w:hyperlink>
    </w:p>
    <w:p>
      <w:pPr>
        <w:pStyle w:val="BodyText"/>
      </w:pPr>
    </w:p>
    <w:p>
      <w:pPr>
        <w:pStyle w:val="BodyText"/>
      </w:pPr>
    </w:p>
    <w:p>
      <w:pPr>
        <w:pStyle w:val="BodyText"/>
        <w:spacing w:before="9"/>
        <w:rPr>
          <w:sz w:val="23"/>
        </w:rPr>
      </w:pPr>
    </w:p>
    <w:p>
      <w:pPr>
        <w:pStyle w:val="BodyText"/>
        <w:ind w:left="102"/>
      </w:pPr>
      <w:r>
        <w:rPr/>
        <w:t>*Corresponding author. Email: tavomonroyvilchis@gmail.</w:t>
      </w:r>
    </w:p>
    <w:p>
      <w:pPr>
        <w:pStyle w:val="BodyText"/>
      </w:pPr>
    </w:p>
    <w:p>
      <w:pPr>
        <w:pStyle w:val="BodyText"/>
      </w:pPr>
    </w:p>
    <w:p>
      <w:pPr>
        <w:pStyle w:val="BodyText"/>
        <w:spacing w:before="4"/>
      </w:pPr>
    </w:p>
    <w:p>
      <w:pPr>
        <w:pStyle w:val="Heading2"/>
        <w:spacing w:before="1"/>
      </w:pPr>
      <w:r>
        <w:rPr/>
        <w:t>Introduction</w:t>
      </w:r>
    </w:p>
    <w:p>
      <w:pPr>
        <w:pStyle w:val="BodyText"/>
        <w:rPr>
          <w:b/>
        </w:rPr>
      </w:pPr>
    </w:p>
    <w:p>
      <w:pPr>
        <w:pStyle w:val="BodyText"/>
        <w:rPr>
          <w:b/>
        </w:rPr>
      </w:pPr>
    </w:p>
    <w:p>
      <w:pPr>
        <w:pStyle w:val="BodyText"/>
        <w:spacing w:before="6"/>
        <w:rPr>
          <w:b/>
          <w:sz w:val="23"/>
        </w:rPr>
      </w:pPr>
    </w:p>
    <w:p>
      <w:pPr>
        <w:pStyle w:val="BodyText"/>
        <w:spacing w:line="480" w:lineRule="auto"/>
        <w:ind w:left="102" w:right="132" w:firstLine="707"/>
      </w:pPr>
      <w:r>
        <w:rPr/>
        <w:t>Predator-prey models, have an indispensable role in applied ecology of large mammals (Hutchinson 1980), the knowledge of these models provide enough information to control top predators or to formulate strategies to conserve prey that are threatened (Gasaway et al. 1992, Sinclair et al. 1998). Natural ecosystem the top-down (predation) and buttom-up (food/nutriments) effects, are present and influence tropic cascades and regulate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346"/>
      </w:pPr>
      <w:r>
        <w:rPr/>
        <w:t>the population structure (Hunter 2001; Denno et al. 2002; Vucetich and Peterson 2004; Keeler et al. 2006). In the top-down effect the predator apex keep control of herbivore populations and these regulate the amount of primary production (plants). The buttom-up effect, determined that the amount and quality of the plant, limited to population of herbivores and in turn that of top predator (Dawes-Gromadzki 2002; Keeler et al. 2006; Gandiwa 2013). The importance of understanding top-down and bottom-up control mechanism is necessary for affective management of ecosystems to preserve biodiversity (Elmhagen and Rushton 2007).</w:t>
      </w:r>
    </w:p>
    <w:p>
      <w:pPr>
        <w:pStyle w:val="BodyText"/>
        <w:spacing w:line="480" w:lineRule="auto" w:before="10"/>
        <w:ind w:left="102" w:right="93" w:firstLine="707"/>
      </w:pPr>
      <w:r>
        <w:rPr/>
        <w:t>Some studies have reported that only one top-down or bottom-up effect is regulating the population structure (Huryn 1998; Menge 2000; Hunter 2001; Walker and Jones 2001; Vucetich and Peterson 2004), but the patters and processes of buttom-up effects are less well document than the other effects (Brose 2003; Scherber et al. 2010). On the other hand, many studies over insects parasitoid and other arthropods are unlikely to provided sufficient insights in predator-prey dynamics for large mammals and issues related to top-down and bottom-up population regulation (Dyer and Letourneau 2003; Gratton and Denno 2003; Gruner 2004; Bowyer et al. 2005; Pierce et al. 2012). Some experimental studies have simultaneously manipulated productivity and predation to assess their effects on prey assemblages (Horppila et al. 1998; Jiang and Morin 2005), but few studies has the opportunities to analyze both effects in natural environment where it is difficult to manipulate biotic and a biotic factors.</w:t>
      </w:r>
    </w:p>
    <w:p>
      <w:pPr>
        <w:pStyle w:val="BodyText"/>
        <w:spacing w:line="480" w:lineRule="auto" w:before="10"/>
        <w:ind w:left="102" w:right="107" w:firstLine="707"/>
      </w:pPr>
      <w:r>
        <w:rPr/>
        <w:t>In larger mammals, Grange and Duncan (2006) describe that zebras (</w:t>
      </w:r>
      <w:r>
        <w:rPr>
          <w:i/>
        </w:rPr>
        <w:t>Equus quagga</w:t>
      </w:r>
      <w:r>
        <w:rPr/>
        <w:t>) to be influenced by top-down factors by African lions (</w:t>
      </w:r>
      <w:r>
        <w:rPr>
          <w:i/>
        </w:rPr>
        <w:t>Panthera leo</w:t>
      </w:r>
      <w:r>
        <w:rPr/>
        <w:t>). In the Serengueti, Tanzania, have provided evidence but both factors combined, in migratory wildebeest (</w:t>
      </w:r>
      <w:r>
        <w:rPr>
          <w:i/>
        </w:rPr>
        <w:t>Connochaetes taurinus</w:t>
      </w:r>
      <w:r>
        <w:rPr/>
        <w:t>) were regulated by food (grasses), whereas residents herbivores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33"/>
      </w:pPr>
      <w:r>
        <w:rPr/>
        <w:t>were limited by top predators such as lions and hyenas (</w:t>
      </w:r>
      <w:r>
        <w:rPr>
          <w:i/>
        </w:rPr>
        <w:t>Crocuta crocuta</w:t>
      </w:r>
      <w:r>
        <w:rPr/>
        <w:t>; Mduma et al. 1999; Sinclair et al. 2003). In North American, top-down factors are reported, wolf (</w:t>
      </w:r>
      <w:r>
        <w:rPr>
          <w:i/>
        </w:rPr>
        <w:t>Canis </w:t>
      </w:r>
      <w:r>
        <w:rPr>
          <w:i/>
        </w:rPr>
        <w:t>lupus</w:t>
      </w:r>
      <w:r>
        <w:rPr/>
        <w:t>), cougar (</w:t>
      </w:r>
      <w:r>
        <w:rPr>
          <w:i/>
        </w:rPr>
        <w:t>Puma concolor</w:t>
      </w:r>
      <w:r>
        <w:rPr/>
        <w:t>) and grizzly bear (</w:t>
      </w:r>
      <w:r>
        <w:rPr>
          <w:i/>
        </w:rPr>
        <w:t>Ursus arctos</w:t>
      </w:r>
      <w:r>
        <w:rPr/>
        <w:t>), affect ungulate density, foraging patterns and plant species (Peterson 1999; Ripple and Beschta 2008) and in other site, cougar and mule deer (</w:t>
      </w:r>
      <w:r>
        <w:rPr>
          <w:i/>
        </w:rPr>
        <w:t>Adocoileus hemionus</w:t>
      </w:r>
      <w:r>
        <w:rPr/>
        <w:t>) find, top-down and bottom-up forces can act on populations simultaneously (Pierce et al. 2012).</w:t>
      </w:r>
    </w:p>
    <w:p>
      <w:pPr>
        <w:pStyle w:val="BodyText"/>
        <w:spacing w:line="480" w:lineRule="auto" w:before="10"/>
        <w:ind w:left="102" w:right="104" w:firstLine="707"/>
      </w:pPr>
      <w:r>
        <w:rPr/>
        <w:t>The population grown rate (</w:t>
      </w:r>
      <w:r>
        <w:rPr>
          <w:i/>
        </w:rPr>
        <w:t>pgr</w:t>
      </w:r>
      <w:r>
        <w:rPr/>
        <w:t>) is a parameter of trends in population abundance, this indicates the weather abundance is increasing, stable or decreasing, and how fast they are changing (Sibly and Hone 2002). The calculation of this parameter can help analyze the variation in population trend and related with biotic and abiotic factors.</w:t>
      </w:r>
    </w:p>
    <w:p>
      <w:pPr>
        <w:pStyle w:val="BodyText"/>
        <w:spacing w:line="480" w:lineRule="auto" w:before="10"/>
        <w:ind w:left="102" w:right="133" w:firstLine="707"/>
      </w:pPr>
      <w:r>
        <w:rPr/>
        <w:t>In the study area, through ten years on trophic niche studies have determinate that cougar (</w:t>
      </w:r>
      <w:r>
        <w:rPr>
          <w:i/>
        </w:rPr>
        <w:t>P. concolor</w:t>
      </w:r>
      <w:r>
        <w:rPr/>
        <w:t>)</w:t>
      </w:r>
      <w:r>
        <w:rPr>
          <w:i/>
        </w:rPr>
        <w:t>, </w:t>
      </w:r>
      <w:r>
        <w:rPr/>
        <w:t>is an opportunistic predator. The big cat, eat 21 different mammals species of which armadillo (</w:t>
      </w:r>
      <w:r>
        <w:rPr>
          <w:i/>
        </w:rPr>
        <w:t>Dasypus novemcinctus</w:t>
      </w:r>
      <w:r>
        <w:rPr/>
        <w:t>) is the most consumed (54% of occurrence), followed by coati (</w:t>
      </w:r>
      <w:r>
        <w:rPr>
          <w:i/>
        </w:rPr>
        <w:t>Nasua narica </w:t>
      </w:r>
      <w:r>
        <w:rPr/>
        <w:t>16% of occurrence) and white-tailed deer (</w:t>
      </w:r>
      <w:r>
        <w:rPr>
          <w:i/>
        </w:rPr>
        <w:t>Odocoileus virginianus </w:t>
      </w:r>
      <w:r>
        <w:rPr/>
        <w:t>8% of occurrence)(Monroy-Vilchis et al. 2009; Gómez-Ortíz et al. 2011; Gómez-Ortíz and Monroy-Vilchis 2013). In this paper, we analyzed if the relative abundance index (RAI) obtained of camera trap of cougar and their main prey, have effect on the population grown rate (</w:t>
      </w:r>
      <w:r>
        <w:rPr>
          <w:i/>
        </w:rPr>
        <w:t>pgr</w:t>
      </w:r>
      <w:r>
        <w:rPr/>
        <w:t>) of cougar in a direction bottom-up. We analyzed if the variation on the precipitation (as indicator of vegetation cover) have effect on the </w:t>
      </w:r>
      <w:r>
        <w:rPr>
          <w:i/>
        </w:rPr>
        <w:t>pgr </w:t>
      </w:r>
      <w:r>
        <w:rPr/>
        <w:t>of the main prey for cougar, and analyzed if the predator RAI have effect in the </w:t>
      </w:r>
      <w:r>
        <w:rPr>
          <w:i/>
        </w:rPr>
        <w:t>pgr </w:t>
      </w:r>
      <w:r>
        <w:rPr/>
        <w:t>of their main prey in direction top-down. The objective of the present was analyzed if top-down or bottom-up factors regulate the dynamic population the cougar and their main prey in the SNNR, Mexico.</w:t>
      </w:r>
    </w:p>
    <w:p>
      <w:pPr>
        <w:spacing w:after="0" w:line="480" w:lineRule="auto"/>
        <w:sectPr>
          <w:pgSz w:w="12240" w:h="15840"/>
          <w:pgMar w:header="740" w:footer="779" w:top="960" w:bottom="96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Heading2"/>
        <w:spacing w:line="480" w:lineRule="auto" w:before="69"/>
        <w:ind w:right="7804"/>
      </w:pPr>
      <w:r>
        <w:rPr/>
        <w:t>Method Study area</w:t>
      </w:r>
    </w:p>
    <w:p>
      <w:pPr>
        <w:pStyle w:val="BodyText"/>
        <w:spacing w:line="472" w:lineRule="auto" w:before="5"/>
        <w:ind w:left="102" w:right="102" w:firstLine="707"/>
      </w:pPr>
      <w:r>
        <w:rPr/>
        <w:t>The study was carried in Sierra Nanchititla Natural Reserve (SNNR), located in central Mexico, extending from 19° 04´46” to 18° 45´54” north latitude and 100° 15´ 54” to 100° 36´28” west longitude, at altitudes ranging from 410 to 2080 m.a.s.l. It has an extension of 663.93 km</w:t>
      </w:r>
      <w:r>
        <w:rPr>
          <w:position w:val="11"/>
          <w:sz w:val="16"/>
        </w:rPr>
        <w:t>2  </w:t>
      </w:r>
      <w:r>
        <w:rPr/>
        <w:t>and marked seasonality characterized by a wet season from June to Octuber and dry season from November to May. This is characterized by pine-oak</w:t>
      </w:r>
      <w:r>
        <w:rPr>
          <w:spacing w:val="-13"/>
        </w:rPr>
        <w:t> </w:t>
      </w:r>
      <w:r>
        <w:rPr/>
        <w:t>forest</w:t>
      </w:r>
    </w:p>
    <w:p>
      <w:pPr>
        <w:spacing w:line="470" w:lineRule="auto" w:before="18"/>
        <w:ind w:left="102" w:right="520" w:firstLine="0"/>
        <w:jc w:val="left"/>
        <w:rPr>
          <w:sz w:val="24"/>
        </w:rPr>
      </w:pPr>
      <w:r>
        <w:rPr>
          <w:sz w:val="24"/>
        </w:rPr>
        <w:t>with an average annual temperature of 14° C. The SNNR hold 53 mammals species, including five out of six species of felines registered for Mexico (</w:t>
      </w:r>
      <w:r>
        <w:rPr>
          <w:i/>
          <w:sz w:val="24"/>
        </w:rPr>
        <w:t>Panthera onca, Puma </w:t>
      </w:r>
      <w:r>
        <w:rPr>
          <w:i/>
          <w:sz w:val="24"/>
        </w:rPr>
        <w:t>concolor, P. yagoaroundi, Leopardus pardalis </w:t>
      </w:r>
      <w:r>
        <w:rPr>
          <w:sz w:val="24"/>
        </w:rPr>
        <w:t>y </w:t>
      </w:r>
      <w:r>
        <w:rPr>
          <w:i/>
          <w:sz w:val="24"/>
        </w:rPr>
        <w:t>L. wiedii</w:t>
      </w:r>
      <w:r>
        <w:rPr>
          <w:sz w:val="24"/>
        </w:rPr>
        <w:t>. This study was realized in a protected area with minimum human disturbance (72.8 km</w:t>
      </w:r>
      <w:r>
        <w:rPr>
          <w:position w:val="11"/>
          <w:sz w:val="16"/>
        </w:rPr>
        <w:t>2</w:t>
      </w:r>
      <w:r>
        <w:rPr>
          <w:sz w:val="24"/>
        </w:rPr>
        <w:t>).</w:t>
      </w:r>
    </w:p>
    <w:p>
      <w:pPr>
        <w:pStyle w:val="BodyText"/>
        <w:spacing w:line="260" w:lineRule="exact"/>
        <w:ind w:left="810"/>
      </w:pPr>
      <w:r>
        <w:rPr/>
        <w:t>We realized the study for six years from January 2004 to December 2009, and used</w:t>
      </w:r>
    </w:p>
    <w:p>
      <w:pPr>
        <w:pStyle w:val="BodyText"/>
      </w:pPr>
    </w:p>
    <w:p>
      <w:pPr>
        <w:pStyle w:val="BodyText"/>
        <w:spacing w:line="472" w:lineRule="auto"/>
        <w:ind w:left="102" w:right="268"/>
      </w:pPr>
      <w:r>
        <w:rPr/>
        <w:t>overage 15 tramp-camera, with passive movement and temperature detector with an average separation between cameras of 1.6 km, covering a area of 72.8 km</w:t>
      </w:r>
      <w:r>
        <w:rPr>
          <w:position w:val="11"/>
          <w:sz w:val="16"/>
        </w:rPr>
        <w:t>2 </w:t>
      </w:r>
      <w:r>
        <w:rPr/>
        <w:t>(Soria-Díaz et al 2010). Each camera was attached to tree trunks at 30-40 cm off the ground, on wide roads, droves, gorges and near water bodies. The cameras were programmed for 24 hours and to print the date and time in each photographic register; they were checked once a</w:t>
      </w:r>
    </w:p>
    <w:p>
      <w:pPr>
        <w:pStyle w:val="BodyText"/>
        <w:spacing w:before="19"/>
        <w:ind w:left="102"/>
      </w:pPr>
      <w:r>
        <w:rPr/>
        <w:t>month.</w:t>
      </w:r>
    </w:p>
    <w:p>
      <w:pPr>
        <w:pStyle w:val="BodyText"/>
      </w:pPr>
    </w:p>
    <w:p>
      <w:pPr>
        <w:pStyle w:val="BodyText"/>
        <w:spacing w:line="480" w:lineRule="auto"/>
        <w:ind w:left="102" w:right="428" w:firstLine="707"/>
      </w:pPr>
      <w:r>
        <w:rPr/>
        <w:t>A relative abundance index (RAI) per seasonal (wet and dry) was calculated for cougar and each prey (armadillo, coati and white tailed deer). The RAI is defined as the number of independent photographic records of each specie per 100 camera-trap days or sampling effort (O´Brien et al. 2003). This effort was calculated as the sum of trap days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pPr>
      <w:r>
        <w:rPr/>
        <w:t>each camera was active plus the records. Only the following cases were considered in the analysis: (1) consecutive photographic records of different individuals; (2) consecutive photographic recoirds of the same species taken with a difference of 24 hours or longer and</w:t>
      </w:r>
    </w:p>
    <w:p>
      <w:pPr>
        <w:pStyle w:val="BodyText"/>
        <w:spacing w:before="10"/>
        <w:ind w:left="102"/>
      </w:pPr>
      <w:r>
        <w:rPr/>
        <w:t>(3) non consecutive photographic records (Monroy-Vilchis et al. 2011).</w:t>
      </w:r>
    </w:p>
    <w:p>
      <w:pPr>
        <w:pStyle w:val="BodyText"/>
      </w:pPr>
    </w:p>
    <w:p>
      <w:pPr>
        <w:pStyle w:val="BodyText"/>
        <w:spacing w:line="480" w:lineRule="auto"/>
        <w:ind w:left="102" w:right="146" w:firstLine="707"/>
      </w:pPr>
      <w:r>
        <w:rPr/>
        <w:t>Meteorological data of precipitation were obtained monthly of the nearest weather station to 50-60 km from SNNR (Comisión Nacional del Agua (CONAGUA) servicio metereológico nacional; smn.conagua.gob.mx). And obtained the average rainfall for each station, during the sampling period and used this as indicator of vegetation cover. We obtained the population grown rate (</w:t>
      </w:r>
      <w:r>
        <w:rPr>
          <w:i/>
        </w:rPr>
        <w:t>pgr</w:t>
      </w:r>
      <w:r>
        <w:rPr/>
        <w:t>) for cougar and their main prey, estimating the natural logarithm (LN) of RAI per specie in each station, with the following formula; </w:t>
      </w:r>
      <w:r>
        <w:rPr>
          <w:i/>
        </w:rPr>
        <w:t>pgr</w:t>
      </w:r>
      <w:r>
        <w:rPr/>
        <w:t>=LN (RAI</w:t>
      </w:r>
      <w:r>
        <w:rPr>
          <w:i/>
          <w:position w:val="-2"/>
          <w:sz w:val="16"/>
        </w:rPr>
        <w:t>t</w:t>
      </w:r>
      <w:r>
        <w:rPr>
          <w:position w:val="-2"/>
          <w:sz w:val="16"/>
        </w:rPr>
        <w:t>+1</w:t>
      </w:r>
      <w:r>
        <w:rPr/>
        <w:t>/RAI</w:t>
      </w:r>
      <w:r>
        <w:rPr>
          <w:i/>
          <w:position w:val="-2"/>
          <w:sz w:val="16"/>
        </w:rPr>
        <w:t>t</w:t>
      </w:r>
      <w:r>
        <w:rPr/>
        <w:t>). In order to assess the relative influence of top-down and bottom-up on population, we constructed several multiple linear-regression models in MatLab program, based on </w:t>
      </w:r>
      <w:r>
        <w:rPr>
          <w:i/>
        </w:rPr>
        <w:t>a priori </w:t>
      </w:r>
      <w:r>
        <w:rPr/>
        <w:t>biological hypotheses; a) Considered than cougar is a strict carnivore, depends of prey available in the environment and their territorial behavior (Sunquist and Sunquist 2002). b) Is likely that the per-capita change in </w:t>
      </w:r>
      <w:r>
        <w:rPr>
          <w:i/>
        </w:rPr>
        <w:t>pgr </w:t>
      </w:r>
      <w:r>
        <w:rPr/>
        <w:t>for cougar will be affected by the RAI of their main prey and by individuals of the same species. c) and how prey are herbivorous and omnivorous depend on vegetation (Valenzuela 1998; Aguilera-Reyes et al. 2013), is likely the precipitation (as indicator of vegetation cover) will affected the RAI of prey too, find a buttom-up control (Table 6.1). In other hand,considering that armadillo, coati and white tailed deer are the main prey, is likely that the per-capita </w:t>
      </w:r>
      <w:r>
        <w:rPr>
          <w:i/>
        </w:rPr>
        <w:t>pgr </w:t>
      </w:r>
      <w:r>
        <w:rPr/>
        <w:t>of each prey will be affected by the RAI of cougar per predation, find a top-down control and the intraspecific competition of the prey may also have an effect.</w:t>
      </w:r>
      <w:r>
        <w:rPr>
          <w:spacing w:val="-12"/>
        </w:rPr>
        <w:t> </w:t>
      </w:r>
      <w:r>
        <w:rPr/>
        <w:t>The RAI of cougar and their prey were transformed to </w:t>
      </w:r>
      <w:r>
        <w:rPr>
          <w:spacing w:val="-3"/>
        </w:rPr>
        <w:t>LN </w:t>
      </w:r>
      <w:r>
        <w:rPr/>
        <w:t>prior to correlation multiple analyzes (Weimer</w:t>
      </w:r>
      <w:r>
        <w:rPr>
          <w:spacing w:val="-4"/>
        </w:rPr>
        <w:t> </w:t>
      </w:r>
      <w:r>
        <w:rPr/>
        <w:t>2007).</w:t>
      </w:r>
    </w:p>
    <w:p>
      <w:pPr>
        <w:spacing w:after="0" w:line="480" w:lineRule="auto"/>
        <w:sectPr>
          <w:pgSz w:w="12240" w:h="15840"/>
          <w:pgMar w:header="740" w:footer="779" w:top="960" w:bottom="96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Heading2"/>
        <w:spacing w:before="69"/>
      </w:pPr>
      <w:r>
        <w:rPr/>
        <w:t>Results</w:t>
      </w:r>
    </w:p>
    <w:p>
      <w:pPr>
        <w:pStyle w:val="BodyText"/>
        <w:spacing w:before="6"/>
        <w:rPr>
          <w:b/>
          <w:sz w:val="23"/>
        </w:rPr>
      </w:pPr>
    </w:p>
    <w:p>
      <w:pPr>
        <w:pStyle w:val="BodyText"/>
        <w:spacing w:line="480" w:lineRule="auto"/>
        <w:ind w:left="102" w:right="139"/>
      </w:pPr>
      <w:r>
        <w:rPr/>
        <w:t>We obtained a sampling effort from 12,576 trap-days during the six years of sampling, 635 photographic independent records were obtained, 57.3% for coati, 19.52% cougar, 19% white tailed deer and 4.2% armadillo</w:t>
      </w:r>
      <w:r>
        <w:rPr>
          <w:i/>
        </w:rPr>
        <w:t>. </w:t>
      </w:r>
      <w:r>
        <w:rPr/>
        <w:t>Analyzes across season of these data show that cougar have RAI of 0.82 to 7.32 and </w:t>
      </w:r>
      <w:r>
        <w:rPr>
          <w:i/>
        </w:rPr>
        <w:t>pgr </w:t>
      </w:r>
      <w:r>
        <w:rPr/>
        <w:t>from -1.80 to 1.91, the RAI per white tailed deer was of 0.48 to 9.76. and </w:t>
      </w:r>
      <w:r>
        <w:rPr>
          <w:i/>
        </w:rPr>
        <w:t>pgr </w:t>
      </w:r>
      <w:r>
        <w:rPr/>
        <w:t>of -1.35 to 1.39, the RAI per coati was of 1.1 to 7.32 and </w:t>
      </w:r>
      <w:r>
        <w:rPr>
          <w:i/>
        </w:rPr>
        <w:t>pgr </w:t>
      </w:r>
      <w:r>
        <w:rPr/>
        <w:t>of -1.04 to 1.33 and the RAI per armadillo was of 0.21 to 0.49 and </w:t>
      </w:r>
      <w:r>
        <w:rPr>
          <w:i/>
        </w:rPr>
        <w:t>pgr </w:t>
      </w:r>
      <w:r>
        <w:rPr/>
        <w:t>of -0.80 to 1.58, la precipitation was of 1 to 217.5 mm (Table 6.1). In 2004 we don´t have data of armadillo because the sample was not suitable for this specie and for rain station of 2007 over 50% of camera-trap did not work properly and for this reason we not included this data per analyzes.</w:t>
      </w:r>
    </w:p>
    <w:p>
      <w:pPr>
        <w:spacing w:after="0" w:line="480" w:lineRule="auto"/>
        <w:sectPr>
          <w:pgSz w:w="12240" w:h="15840"/>
          <w:pgMar w:header="740" w:footer="779" w:top="960" w:bottom="960" w:left="1600" w:right="1600"/>
        </w:sectPr>
      </w:pPr>
    </w:p>
    <w:p>
      <w:pPr>
        <w:pStyle w:val="BodyText"/>
        <w:rPr>
          <w:sz w:val="20"/>
        </w:rPr>
      </w:pPr>
    </w:p>
    <w:p>
      <w:pPr>
        <w:pStyle w:val="BodyText"/>
        <w:rPr>
          <w:sz w:val="19"/>
        </w:rPr>
      </w:pPr>
    </w:p>
    <w:p>
      <w:pPr>
        <w:pStyle w:val="BodyText"/>
        <w:spacing w:line="477" w:lineRule="auto"/>
        <w:ind w:left="393" w:right="369"/>
        <w:jc w:val="center"/>
      </w:pPr>
      <w:bookmarkStart w:name="_bookmark36" w:id="43"/>
      <w:bookmarkEnd w:id="43"/>
      <w:r>
        <w:rPr/>
      </w:r>
      <w:r>
        <w:rPr/>
        <w:t>Table 6.1 Seasonal results of RAI (Relative Abundance Index) and </w:t>
      </w:r>
      <w:r>
        <w:rPr>
          <w:i/>
        </w:rPr>
        <w:t>pgr </w:t>
      </w:r>
      <w:r>
        <w:rPr/>
        <w:t>(population grown rate) of </w:t>
      </w:r>
      <w:r>
        <w:rPr>
          <w:i/>
        </w:rPr>
        <w:t>P. concolor </w:t>
      </w:r>
      <w:r>
        <w:rPr/>
        <w:t>and their prey and precipitation.</w:t>
      </w:r>
    </w:p>
    <w:p>
      <w:pPr>
        <w:pStyle w:val="BodyText"/>
        <w:spacing w:before="13"/>
        <w:ind w:left="387" w:right="369"/>
        <w:jc w:val="center"/>
      </w:pPr>
      <w:r>
        <w:rPr/>
        <w:t>*R is rain and D is the dry season.</w:t>
      </w:r>
    </w:p>
    <w:p>
      <w:pPr>
        <w:pStyle w:val="BodyText"/>
        <w:rPr>
          <w:sz w:val="20"/>
        </w:rPr>
      </w:pPr>
    </w:p>
    <w:p>
      <w:pPr>
        <w:pStyle w:val="BodyText"/>
        <w:spacing w:before="8"/>
        <w:rPr>
          <w:sz w:val="28"/>
        </w:rPr>
      </w:pPr>
    </w:p>
    <w:tbl>
      <w:tblPr>
        <w:tblW w:w="0" w:type="auto"/>
        <w:jc w:val="left"/>
        <w:tblInd w:w="11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77"/>
        <w:gridCol w:w="689"/>
        <w:gridCol w:w="722"/>
        <w:gridCol w:w="730"/>
        <w:gridCol w:w="843"/>
        <w:gridCol w:w="680"/>
        <w:gridCol w:w="743"/>
        <w:gridCol w:w="854"/>
        <w:gridCol w:w="1081"/>
        <w:gridCol w:w="1877"/>
      </w:tblGrid>
      <w:tr>
        <w:trPr>
          <w:trHeight w:val="533" w:hRule="exact"/>
        </w:trPr>
        <w:tc>
          <w:tcPr>
            <w:tcW w:w="977" w:type="dxa"/>
            <w:tcBorders>
              <w:left w:val="nil"/>
              <w:bottom w:val="nil"/>
              <w:right w:val="nil"/>
            </w:tcBorders>
          </w:tcPr>
          <w:p>
            <w:pPr>
              <w:pStyle w:val="TableParagraph"/>
              <w:spacing w:before="1"/>
              <w:ind w:left="142" w:right="136"/>
              <w:rPr>
                <w:b/>
                <w:sz w:val="22"/>
              </w:rPr>
            </w:pPr>
            <w:r>
              <w:rPr>
                <w:b/>
                <w:sz w:val="22"/>
              </w:rPr>
              <w:t>Year</w:t>
            </w:r>
          </w:p>
        </w:tc>
        <w:tc>
          <w:tcPr>
            <w:tcW w:w="1411" w:type="dxa"/>
            <w:gridSpan w:val="2"/>
            <w:tcBorders>
              <w:left w:val="nil"/>
              <w:bottom w:val="nil"/>
              <w:right w:val="nil"/>
            </w:tcBorders>
          </w:tcPr>
          <w:p>
            <w:pPr>
              <w:pStyle w:val="TableParagraph"/>
              <w:spacing w:before="1"/>
              <w:ind w:left="181"/>
              <w:jc w:val="left"/>
              <w:rPr>
                <w:b/>
                <w:i/>
                <w:sz w:val="22"/>
              </w:rPr>
            </w:pPr>
            <w:r>
              <w:rPr>
                <w:b/>
                <w:i/>
                <w:sz w:val="22"/>
              </w:rPr>
              <w:t>P. concolor</w:t>
            </w:r>
          </w:p>
        </w:tc>
        <w:tc>
          <w:tcPr>
            <w:tcW w:w="1573" w:type="dxa"/>
            <w:gridSpan w:val="2"/>
            <w:tcBorders>
              <w:left w:val="nil"/>
              <w:bottom w:val="nil"/>
              <w:right w:val="nil"/>
            </w:tcBorders>
          </w:tcPr>
          <w:p>
            <w:pPr>
              <w:pStyle w:val="TableParagraph"/>
              <w:spacing w:before="1"/>
              <w:ind w:left="125"/>
              <w:jc w:val="left"/>
              <w:rPr>
                <w:b/>
                <w:i/>
                <w:sz w:val="22"/>
              </w:rPr>
            </w:pPr>
            <w:r>
              <w:rPr>
                <w:b/>
                <w:i/>
                <w:sz w:val="22"/>
              </w:rPr>
              <w:t>O. virginianus</w:t>
            </w:r>
          </w:p>
        </w:tc>
        <w:tc>
          <w:tcPr>
            <w:tcW w:w="1423" w:type="dxa"/>
            <w:gridSpan w:val="2"/>
            <w:tcBorders>
              <w:left w:val="nil"/>
              <w:bottom w:val="nil"/>
              <w:right w:val="nil"/>
            </w:tcBorders>
          </w:tcPr>
          <w:p>
            <w:pPr>
              <w:pStyle w:val="TableParagraph"/>
              <w:spacing w:before="1"/>
              <w:ind w:left="265"/>
              <w:jc w:val="left"/>
              <w:rPr>
                <w:b/>
                <w:i/>
                <w:sz w:val="22"/>
              </w:rPr>
            </w:pPr>
            <w:r>
              <w:rPr>
                <w:b/>
                <w:i/>
                <w:sz w:val="22"/>
              </w:rPr>
              <w:t>N. narica</w:t>
            </w:r>
          </w:p>
        </w:tc>
        <w:tc>
          <w:tcPr>
            <w:tcW w:w="1935" w:type="dxa"/>
            <w:gridSpan w:val="2"/>
            <w:tcBorders>
              <w:left w:val="nil"/>
              <w:bottom w:val="nil"/>
              <w:right w:val="nil"/>
            </w:tcBorders>
          </w:tcPr>
          <w:p>
            <w:pPr>
              <w:pStyle w:val="TableParagraph"/>
              <w:spacing w:before="1"/>
              <w:ind w:left="146"/>
              <w:jc w:val="left"/>
              <w:rPr>
                <w:b/>
                <w:i/>
                <w:sz w:val="22"/>
              </w:rPr>
            </w:pPr>
            <w:r>
              <w:rPr>
                <w:b/>
                <w:i/>
                <w:sz w:val="22"/>
              </w:rPr>
              <w:t>D. novemcinctus</w:t>
            </w:r>
          </w:p>
        </w:tc>
        <w:tc>
          <w:tcPr>
            <w:tcW w:w="1877" w:type="dxa"/>
            <w:tcBorders>
              <w:left w:val="nil"/>
              <w:bottom w:val="nil"/>
              <w:right w:val="nil"/>
            </w:tcBorders>
          </w:tcPr>
          <w:p>
            <w:pPr>
              <w:pStyle w:val="TableParagraph"/>
              <w:spacing w:before="1"/>
              <w:ind w:left="626" w:right="364" w:hanging="356"/>
              <w:jc w:val="left"/>
              <w:rPr>
                <w:b/>
                <w:sz w:val="22"/>
              </w:rPr>
            </w:pPr>
            <w:r>
              <w:rPr>
                <w:b/>
                <w:sz w:val="22"/>
              </w:rPr>
              <w:t>Precipitation (mm)</w:t>
            </w:r>
          </w:p>
        </w:tc>
      </w:tr>
      <w:tr>
        <w:trPr>
          <w:trHeight w:val="509" w:hRule="exact"/>
        </w:trPr>
        <w:tc>
          <w:tcPr>
            <w:tcW w:w="977" w:type="dxa"/>
            <w:tcBorders>
              <w:top w:val="nil"/>
              <w:left w:val="nil"/>
              <w:right w:val="nil"/>
            </w:tcBorders>
          </w:tcPr>
          <w:p>
            <w:pPr/>
          </w:p>
        </w:tc>
        <w:tc>
          <w:tcPr>
            <w:tcW w:w="689" w:type="dxa"/>
            <w:tcBorders>
              <w:top w:val="nil"/>
              <w:left w:val="nil"/>
              <w:right w:val="nil"/>
            </w:tcBorders>
          </w:tcPr>
          <w:p>
            <w:pPr>
              <w:pStyle w:val="TableParagraph"/>
              <w:spacing w:line="242" w:lineRule="exact"/>
              <w:ind w:left="124" w:right="120"/>
              <w:rPr>
                <w:b/>
                <w:sz w:val="22"/>
              </w:rPr>
            </w:pPr>
            <w:r>
              <w:rPr>
                <w:b/>
                <w:sz w:val="22"/>
              </w:rPr>
              <w:t>RAI</w:t>
            </w:r>
          </w:p>
        </w:tc>
        <w:tc>
          <w:tcPr>
            <w:tcW w:w="722" w:type="dxa"/>
            <w:tcBorders>
              <w:top w:val="nil"/>
              <w:left w:val="nil"/>
              <w:right w:val="nil"/>
            </w:tcBorders>
          </w:tcPr>
          <w:p>
            <w:pPr>
              <w:pStyle w:val="TableParagraph"/>
              <w:spacing w:line="242" w:lineRule="exact"/>
              <w:ind w:left="120" w:right="100"/>
              <w:rPr>
                <w:b/>
                <w:i/>
                <w:sz w:val="22"/>
              </w:rPr>
            </w:pPr>
            <w:r>
              <w:rPr>
                <w:b/>
                <w:i/>
                <w:sz w:val="22"/>
              </w:rPr>
              <w:t>pgr</w:t>
            </w:r>
          </w:p>
        </w:tc>
        <w:tc>
          <w:tcPr>
            <w:tcW w:w="730" w:type="dxa"/>
            <w:tcBorders>
              <w:top w:val="nil"/>
              <w:left w:val="nil"/>
              <w:right w:val="nil"/>
            </w:tcBorders>
          </w:tcPr>
          <w:p>
            <w:pPr>
              <w:pStyle w:val="TableParagraph"/>
              <w:spacing w:line="242" w:lineRule="exact"/>
              <w:ind w:left="132" w:right="155"/>
              <w:rPr>
                <w:b/>
                <w:sz w:val="22"/>
              </w:rPr>
            </w:pPr>
            <w:r>
              <w:rPr>
                <w:b/>
                <w:sz w:val="22"/>
              </w:rPr>
              <w:t>RAI</w:t>
            </w:r>
          </w:p>
        </w:tc>
        <w:tc>
          <w:tcPr>
            <w:tcW w:w="843" w:type="dxa"/>
            <w:tcBorders>
              <w:top w:val="nil"/>
              <w:left w:val="nil"/>
              <w:right w:val="nil"/>
            </w:tcBorders>
          </w:tcPr>
          <w:p>
            <w:pPr>
              <w:pStyle w:val="TableParagraph"/>
              <w:spacing w:line="242" w:lineRule="exact"/>
              <w:ind w:right="281"/>
              <w:jc w:val="right"/>
              <w:rPr>
                <w:b/>
                <w:i/>
                <w:sz w:val="22"/>
              </w:rPr>
            </w:pPr>
            <w:r>
              <w:rPr>
                <w:b/>
                <w:i/>
                <w:sz w:val="22"/>
              </w:rPr>
              <w:t>pgr</w:t>
            </w:r>
          </w:p>
        </w:tc>
        <w:tc>
          <w:tcPr>
            <w:tcW w:w="680" w:type="dxa"/>
            <w:tcBorders>
              <w:top w:val="nil"/>
              <w:left w:val="nil"/>
              <w:right w:val="nil"/>
            </w:tcBorders>
          </w:tcPr>
          <w:p>
            <w:pPr>
              <w:pStyle w:val="TableParagraph"/>
              <w:spacing w:line="242" w:lineRule="exact"/>
              <w:ind w:left="117" w:right="118"/>
              <w:rPr>
                <w:b/>
                <w:sz w:val="22"/>
              </w:rPr>
            </w:pPr>
            <w:r>
              <w:rPr>
                <w:b/>
                <w:sz w:val="22"/>
              </w:rPr>
              <w:t>RAI</w:t>
            </w:r>
          </w:p>
        </w:tc>
        <w:tc>
          <w:tcPr>
            <w:tcW w:w="743" w:type="dxa"/>
            <w:tcBorders>
              <w:top w:val="nil"/>
              <w:left w:val="nil"/>
              <w:right w:val="nil"/>
            </w:tcBorders>
          </w:tcPr>
          <w:p>
            <w:pPr>
              <w:pStyle w:val="TableParagraph"/>
              <w:spacing w:line="242" w:lineRule="exact"/>
              <w:ind w:left="120" w:right="120"/>
              <w:rPr>
                <w:b/>
                <w:i/>
                <w:sz w:val="22"/>
              </w:rPr>
            </w:pPr>
            <w:r>
              <w:rPr>
                <w:b/>
                <w:i/>
                <w:sz w:val="22"/>
              </w:rPr>
              <w:t>pgr</w:t>
            </w:r>
          </w:p>
        </w:tc>
        <w:tc>
          <w:tcPr>
            <w:tcW w:w="854" w:type="dxa"/>
            <w:tcBorders>
              <w:top w:val="nil"/>
              <w:left w:val="nil"/>
              <w:right w:val="nil"/>
            </w:tcBorders>
          </w:tcPr>
          <w:p>
            <w:pPr>
              <w:pStyle w:val="TableParagraph"/>
              <w:spacing w:line="242" w:lineRule="exact"/>
              <w:ind w:left="187" w:right="223"/>
              <w:rPr>
                <w:b/>
                <w:sz w:val="22"/>
              </w:rPr>
            </w:pPr>
            <w:r>
              <w:rPr>
                <w:b/>
                <w:sz w:val="22"/>
              </w:rPr>
              <w:t>RAI</w:t>
            </w:r>
          </w:p>
        </w:tc>
        <w:tc>
          <w:tcPr>
            <w:tcW w:w="1081" w:type="dxa"/>
            <w:tcBorders>
              <w:top w:val="nil"/>
              <w:left w:val="nil"/>
              <w:right w:val="nil"/>
            </w:tcBorders>
          </w:tcPr>
          <w:p>
            <w:pPr>
              <w:pStyle w:val="TableParagraph"/>
              <w:spacing w:line="242" w:lineRule="exact"/>
              <w:ind w:left="307"/>
              <w:jc w:val="left"/>
              <w:rPr>
                <w:b/>
                <w:i/>
                <w:sz w:val="22"/>
              </w:rPr>
            </w:pPr>
            <w:r>
              <w:rPr>
                <w:b/>
                <w:i/>
                <w:sz w:val="22"/>
              </w:rPr>
              <w:t>Pgr</w:t>
            </w:r>
          </w:p>
        </w:tc>
        <w:tc>
          <w:tcPr>
            <w:tcW w:w="1877" w:type="dxa"/>
            <w:tcBorders>
              <w:top w:val="nil"/>
              <w:left w:val="nil"/>
              <w:right w:val="nil"/>
            </w:tcBorders>
          </w:tcPr>
          <w:p>
            <w:pPr/>
          </w:p>
        </w:tc>
      </w:tr>
      <w:tr>
        <w:trPr>
          <w:trHeight w:val="402" w:hRule="exact"/>
        </w:trPr>
        <w:tc>
          <w:tcPr>
            <w:tcW w:w="977" w:type="dxa"/>
            <w:tcBorders>
              <w:left w:val="nil"/>
              <w:bottom w:val="nil"/>
              <w:right w:val="nil"/>
            </w:tcBorders>
          </w:tcPr>
          <w:p>
            <w:pPr>
              <w:pStyle w:val="TableParagraph"/>
              <w:spacing w:line="249" w:lineRule="exact"/>
              <w:ind w:left="146" w:right="136"/>
              <w:rPr>
                <w:sz w:val="22"/>
              </w:rPr>
            </w:pPr>
            <w:r>
              <w:rPr>
                <w:sz w:val="22"/>
              </w:rPr>
              <w:t>2004 D</w:t>
            </w:r>
          </w:p>
        </w:tc>
        <w:tc>
          <w:tcPr>
            <w:tcW w:w="689" w:type="dxa"/>
            <w:tcBorders>
              <w:left w:val="nil"/>
              <w:bottom w:val="nil"/>
              <w:right w:val="nil"/>
            </w:tcBorders>
          </w:tcPr>
          <w:p>
            <w:pPr>
              <w:pStyle w:val="TableParagraph"/>
              <w:spacing w:line="249" w:lineRule="exact"/>
              <w:ind w:left="124" w:right="116"/>
              <w:rPr>
                <w:sz w:val="22"/>
              </w:rPr>
            </w:pPr>
            <w:r>
              <w:rPr>
                <w:sz w:val="22"/>
              </w:rPr>
              <w:t>3.33</w:t>
            </w:r>
          </w:p>
        </w:tc>
        <w:tc>
          <w:tcPr>
            <w:tcW w:w="722" w:type="dxa"/>
            <w:tcBorders>
              <w:left w:val="nil"/>
              <w:bottom w:val="nil"/>
              <w:right w:val="nil"/>
            </w:tcBorders>
          </w:tcPr>
          <w:p>
            <w:pPr>
              <w:pStyle w:val="TableParagraph"/>
              <w:spacing w:line="249" w:lineRule="exact"/>
              <w:ind w:left="120" w:right="104"/>
              <w:rPr>
                <w:sz w:val="22"/>
              </w:rPr>
            </w:pPr>
            <w:r>
              <w:rPr>
                <w:sz w:val="22"/>
              </w:rPr>
              <w:t>-1.00</w:t>
            </w:r>
          </w:p>
        </w:tc>
        <w:tc>
          <w:tcPr>
            <w:tcW w:w="730" w:type="dxa"/>
            <w:tcBorders>
              <w:left w:val="nil"/>
              <w:bottom w:val="nil"/>
              <w:right w:val="nil"/>
            </w:tcBorders>
          </w:tcPr>
          <w:p>
            <w:pPr>
              <w:pStyle w:val="TableParagraph"/>
              <w:spacing w:line="249" w:lineRule="exact"/>
              <w:ind w:left="132" w:right="151"/>
              <w:rPr>
                <w:sz w:val="22"/>
              </w:rPr>
            </w:pPr>
            <w:r>
              <w:rPr>
                <w:sz w:val="22"/>
              </w:rPr>
              <w:t>1.85</w:t>
            </w:r>
          </w:p>
        </w:tc>
        <w:tc>
          <w:tcPr>
            <w:tcW w:w="843" w:type="dxa"/>
            <w:tcBorders>
              <w:left w:val="nil"/>
              <w:bottom w:val="nil"/>
              <w:right w:val="nil"/>
            </w:tcBorders>
          </w:tcPr>
          <w:p>
            <w:pPr>
              <w:pStyle w:val="TableParagraph"/>
              <w:spacing w:line="249" w:lineRule="exact"/>
              <w:ind w:right="207"/>
              <w:jc w:val="right"/>
              <w:rPr>
                <w:sz w:val="22"/>
              </w:rPr>
            </w:pPr>
            <w:r>
              <w:rPr>
                <w:sz w:val="22"/>
              </w:rPr>
              <w:t>-1.35</w:t>
            </w:r>
          </w:p>
        </w:tc>
        <w:tc>
          <w:tcPr>
            <w:tcW w:w="680" w:type="dxa"/>
            <w:tcBorders>
              <w:left w:val="nil"/>
              <w:bottom w:val="nil"/>
              <w:right w:val="nil"/>
            </w:tcBorders>
          </w:tcPr>
          <w:p>
            <w:pPr>
              <w:pStyle w:val="TableParagraph"/>
              <w:spacing w:line="249" w:lineRule="exact"/>
              <w:ind w:left="117" w:right="115"/>
              <w:rPr>
                <w:sz w:val="22"/>
              </w:rPr>
            </w:pPr>
            <w:r>
              <w:rPr>
                <w:sz w:val="22"/>
              </w:rPr>
              <w:t>1.35</w:t>
            </w:r>
          </w:p>
        </w:tc>
        <w:tc>
          <w:tcPr>
            <w:tcW w:w="743" w:type="dxa"/>
            <w:tcBorders>
              <w:left w:val="nil"/>
              <w:bottom w:val="nil"/>
              <w:right w:val="nil"/>
            </w:tcBorders>
          </w:tcPr>
          <w:p>
            <w:pPr>
              <w:pStyle w:val="TableParagraph"/>
              <w:spacing w:line="249" w:lineRule="exact"/>
              <w:ind w:left="120" w:right="122"/>
              <w:rPr>
                <w:sz w:val="22"/>
              </w:rPr>
            </w:pPr>
            <w:r>
              <w:rPr>
                <w:sz w:val="22"/>
              </w:rPr>
              <w:t>0.60</w:t>
            </w:r>
          </w:p>
        </w:tc>
        <w:tc>
          <w:tcPr>
            <w:tcW w:w="854" w:type="dxa"/>
            <w:tcBorders>
              <w:left w:val="nil"/>
              <w:bottom w:val="nil"/>
              <w:right w:val="nil"/>
            </w:tcBorders>
          </w:tcPr>
          <w:p>
            <w:pPr/>
          </w:p>
        </w:tc>
        <w:tc>
          <w:tcPr>
            <w:tcW w:w="1081" w:type="dxa"/>
            <w:tcBorders>
              <w:left w:val="nil"/>
              <w:bottom w:val="nil"/>
              <w:right w:val="nil"/>
            </w:tcBorders>
          </w:tcPr>
          <w:p>
            <w:pPr/>
          </w:p>
        </w:tc>
        <w:tc>
          <w:tcPr>
            <w:tcW w:w="1877" w:type="dxa"/>
            <w:tcBorders>
              <w:left w:val="nil"/>
              <w:bottom w:val="nil"/>
              <w:right w:val="nil"/>
            </w:tcBorders>
          </w:tcPr>
          <w:p>
            <w:pPr>
              <w:pStyle w:val="TableParagraph"/>
              <w:spacing w:line="249" w:lineRule="exact"/>
              <w:ind w:left="617" w:right="724"/>
              <w:rPr>
                <w:sz w:val="22"/>
              </w:rPr>
            </w:pPr>
            <w:r>
              <w:rPr>
                <w:sz w:val="22"/>
              </w:rPr>
              <w:t>15.4</w:t>
            </w:r>
          </w:p>
        </w:tc>
      </w:tr>
      <w:tr>
        <w:trPr>
          <w:trHeight w:val="507" w:hRule="exact"/>
        </w:trPr>
        <w:tc>
          <w:tcPr>
            <w:tcW w:w="977" w:type="dxa"/>
            <w:tcBorders>
              <w:top w:val="nil"/>
              <w:left w:val="nil"/>
              <w:bottom w:val="nil"/>
              <w:right w:val="nil"/>
            </w:tcBorders>
          </w:tcPr>
          <w:p>
            <w:pPr>
              <w:pStyle w:val="TableParagraph"/>
              <w:spacing w:before="115"/>
              <w:ind w:left="143" w:right="136"/>
              <w:rPr>
                <w:sz w:val="22"/>
              </w:rPr>
            </w:pPr>
            <w:r>
              <w:rPr>
                <w:sz w:val="22"/>
              </w:rPr>
              <w:t>2004 R</w:t>
            </w:r>
          </w:p>
        </w:tc>
        <w:tc>
          <w:tcPr>
            <w:tcW w:w="689" w:type="dxa"/>
            <w:tcBorders>
              <w:top w:val="nil"/>
              <w:left w:val="nil"/>
              <w:bottom w:val="nil"/>
              <w:right w:val="nil"/>
            </w:tcBorders>
          </w:tcPr>
          <w:p>
            <w:pPr>
              <w:pStyle w:val="TableParagraph"/>
              <w:spacing w:before="115"/>
              <w:ind w:left="124" w:right="116"/>
              <w:rPr>
                <w:sz w:val="22"/>
              </w:rPr>
            </w:pPr>
            <w:r>
              <w:rPr>
                <w:sz w:val="22"/>
              </w:rPr>
              <w:t>1.22</w:t>
            </w:r>
          </w:p>
        </w:tc>
        <w:tc>
          <w:tcPr>
            <w:tcW w:w="722" w:type="dxa"/>
            <w:tcBorders>
              <w:top w:val="nil"/>
              <w:left w:val="nil"/>
              <w:bottom w:val="nil"/>
              <w:right w:val="nil"/>
            </w:tcBorders>
          </w:tcPr>
          <w:p>
            <w:pPr>
              <w:pStyle w:val="TableParagraph"/>
              <w:spacing w:before="115"/>
              <w:ind w:left="120" w:right="102"/>
              <w:rPr>
                <w:sz w:val="22"/>
              </w:rPr>
            </w:pPr>
            <w:r>
              <w:rPr>
                <w:sz w:val="22"/>
              </w:rPr>
              <w:t>0.20</w:t>
            </w:r>
          </w:p>
        </w:tc>
        <w:tc>
          <w:tcPr>
            <w:tcW w:w="730" w:type="dxa"/>
            <w:tcBorders>
              <w:top w:val="nil"/>
              <w:left w:val="nil"/>
              <w:bottom w:val="nil"/>
              <w:right w:val="nil"/>
            </w:tcBorders>
          </w:tcPr>
          <w:p>
            <w:pPr>
              <w:pStyle w:val="TableParagraph"/>
              <w:spacing w:before="115"/>
              <w:ind w:left="132" w:right="151"/>
              <w:rPr>
                <w:sz w:val="22"/>
              </w:rPr>
            </w:pPr>
            <w:r>
              <w:rPr>
                <w:sz w:val="22"/>
              </w:rPr>
              <w:t>0.48</w:t>
            </w:r>
          </w:p>
        </w:tc>
        <w:tc>
          <w:tcPr>
            <w:tcW w:w="843" w:type="dxa"/>
            <w:tcBorders>
              <w:top w:val="nil"/>
              <w:left w:val="nil"/>
              <w:bottom w:val="nil"/>
              <w:right w:val="nil"/>
            </w:tcBorders>
          </w:tcPr>
          <w:p>
            <w:pPr>
              <w:pStyle w:val="TableParagraph"/>
              <w:spacing w:before="115"/>
              <w:ind w:right="241"/>
              <w:jc w:val="right"/>
              <w:rPr>
                <w:sz w:val="22"/>
              </w:rPr>
            </w:pPr>
            <w:r>
              <w:rPr>
                <w:sz w:val="22"/>
              </w:rPr>
              <w:t>1.17</w:t>
            </w:r>
          </w:p>
        </w:tc>
        <w:tc>
          <w:tcPr>
            <w:tcW w:w="680" w:type="dxa"/>
            <w:tcBorders>
              <w:top w:val="nil"/>
              <w:left w:val="nil"/>
              <w:bottom w:val="nil"/>
              <w:right w:val="nil"/>
            </w:tcBorders>
          </w:tcPr>
          <w:p>
            <w:pPr>
              <w:pStyle w:val="TableParagraph"/>
              <w:spacing w:before="115"/>
              <w:ind w:left="117" w:right="115"/>
              <w:rPr>
                <w:sz w:val="22"/>
              </w:rPr>
            </w:pPr>
            <w:r>
              <w:rPr>
                <w:sz w:val="22"/>
              </w:rPr>
              <w:t>2.45</w:t>
            </w:r>
          </w:p>
        </w:tc>
        <w:tc>
          <w:tcPr>
            <w:tcW w:w="743" w:type="dxa"/>
            <w:tcBorders>
              <w:top w:val="nil"/>
              <w:left w:val="nil"/>
              <w:bottom w:val="nil"/>
              <w:right w:val="nil"/>
            </w:tcBorders>
          </w:tcPr>
          <w:p>
            <w:pPr>
              <w:pStyle w:val="TableParagraph"/>
              <w:spacing w:before="115"/>
              <w:ind w:left="120" w:right="122"/>
              <w:rPr>
                <w:sz w:val="22"/>
              </w:rPr>
            </w:pPr>
            <w:r>
              <w:rPr>
                <w:sz w:val="22"/>
              </w:rPr>
              <w:t>0.45</w:t>
            </w:r>
          </w:p>
        </w:tc>
        <w:tc>
          <w:tcPr>
            <w:tcW w:w="854" w:type="dxa"/>
            <w:tcBorders>
              <w:top w:val="nil"/>
              <w:left w:val="nil"/>
              <w:bottom w:val="nil"/>
              <w:right w:val="nil"/>
            </w:tcBorders>
          </w:tcPr>
          <w:p>
            <w:pPr/>
          </w:p>
        </w:tc>
        <w:tc>
          <w:tcPr>
            <w:tcW w:w="1081" w:type="dxa"/>
            <w:tcBorders>
              <w:top w:val="nil"/>
              <w:left w:val="nil"/>
              <w:bottom w:val="nil"/>
              <w:right w:val="nil"/>
            </w:tcBorders>
          </w:tcPr>
          <w:p>
            <w:pPr/>
          </w:p>
        </w:tc>
        <w:tc>
          <w:tcPr>
            <w:tcW w:w="1877" w:type="dxa"/>
            <w:tcBorders>
              <w:top w:val="nil"/>
              <w:left w:val="nil"/>
              <w:bottom w:val="nil"/>
              <w:right w:val="nil"/>
            </w:tcBorders>
          </w:tcPr>
          <w:p>
            <w:pPr>
              <w:pStyle w:val="TableParagraph"/>
              <w:spacing w:before="115"/>
              <w:ind w:left="616" w:right="724"/>
              <w:rPr>
                <w:sz w:val="22"/>
              </w:rPr>
            </w:pPr>
            <w:r>
              <w:rPr>
                <w:sz w:val="22"/>
              </w:rPr>
              <w:t>164</w:t>
            </w:r>
          </w:p>
        </w:tc>
      </w:tr>
      <w:tr>
        <w:trPr>
          <w:trHeight w:val="505" w:hRule="exact"/>
        </w:trPr>
        <w:tc>
          <w:tcPr>
            <w:tcW w:w="977" w:type="dxa"/>
            <w:tcBorders>
              <w:top w:val="nil"/>
              <w:left w:val="nil"/>
              <w:bottom w:val="nil"/>
              <w:right w:val="nil"/>
            </w:tcBorders>
          </w:tcPr>
          <w:p>
            <w:pPr>
              <w:pStyle w:val="TableParagraph"/>
              <w:spacing w:before="115"/>
              <w:ind w:left="146" w:right="136"/>
              <w:rPr>
                <w:sz w:val="22"/>
              </w:rPr>
            </w:pPr>
            <w:r>
              <w:rPr>
                <w:sz w:val="22"/>
              </w:rPr>
              <w:t>2005 D</w:t>
            </w:r>
          </w:p>
        </w:tc>
        <w:tc>
          <w:tcPr>
            <w:tcW w:w="689" w:type="dxa"/>
            <w:tcBorders>
              <w:top w:val="nil"/>
              <w:left w:val="nil"/>
              <w:bottom w:val="nil"/>
              <w:right w:val="nil"/>
            </w:tcBorders>
          </w:tcPr>
          <w:p>
            <w:pPr>
              <w:pStyle w:val="TableParagraph"/>
              <w:spacing w:before="115"/>
              <w:ind w:left="124" w:right="116"/>
              <w:rPr>
                <w:sz w:val="22"/>
              </w:rPr>
            </w:pPr>
            <w:r>
              <w:rPr>
                <w:sz w:val="22"/>
              </w:rPr>
              <w:t>1.49</w:t>
            </w:r>
          </w:p>
        </w:tc>
        <w:tc>
          <w:tcPr>
            <w:tcW w:w="722" w:type="dxa"/>
            <w:tcBorders>
              <w:top w:val="nil"/>
              <w:left w:val="nil"/>
              <w:bottom w:val="nil"/>
              <w:right w:val="nil"/>
            </w:tcBorders>
          </w:tcPr>
          <w:p>
            <w:pPr>
              <w:pStyle w:val="TableParagraph"/>
              <w:spacing w:before="115"/>
              <w:ind w:left="120" w:right="104"/>
              <w:rPr>
                <w:sz w:val="22"/>
              </w:rPr>
            </w:pPr>
            <w:r>
              <w:rPr>
                <w:sz w:val="22"/>
              </w:rPr>
              <w:t>-0.05</w:t>
            </w:r>
          </w:p>
        </w:tc>
        <w:tc>
          <w:tcPr>
            <w:tcW w:w="730" w:type="dxa"/>
            <w:tcBorders>
              <w:top w:val="nil"/>
              <w:left w:val="nil"/>
              <w:bottom w:val="nil"/>
              <w:right w:val="nil"/>
            </w:tcBorders>
          </w:tcPr>
          <w:p>
            <w:pPr>
              <w:pStyle w:val="TableParagraph"/>
              <w:spacing w:before="115"/>
              <w:ind w:left="132" w:right="151"/>
              <w:rPr>
                <w:sz w:val="22"/>
              </w:rPr>
            </w:pPr>
            <w:r>
              <w:rPr>
                <w:sz w:val="22"/>
              </w:rPr>
              <w:t>1.55</w:t>
            </w:r>
          </w:p>
        </w:tc>
        <w:tc>
          <w:tcPr>
            <w:tcW w:w="843" w:type="dxa"/>
            <w:tcBorders>
              <w:top w:val="nil"/>
              <w:left w:val="nil"/>
              <w:bottom w:val="nil"/>
              <w:right w:val="nil"/>
            </w:tcBorders>
          </w:tcPr>
          <w:p>
            <w:pPr>
              <w:pStyle w:val="TableParagraph"/>
              <w:spacing w:before="115"/>
              <w:ind w:right="207"/>
              <w:jc w:val="right"/>
              <w:rPr>
                <w:sz w:val="22"/>
              </w:rPr>
            </w:pPr>
            <w:r>
              <w:rPr>
                <w:sz w:val="22"/>
              </w:rPr>
              <w:t>-0.48</w:t>
            </w:r>
          </w:p>
        </w:tc>
        <w:tc>
          <w:tcPr>
            <w:tcW w:w="680" w:type="dxa"/>
            <w:tcBorders>
              <w:top w:val="nil"/>
              <w:left w:val="nil"/>
              <w:bottom w:val="nil"/>
              <w:right w:val="nil"/>
            </w:tcBorders>
          </w:tcPr>
          <w:p>
            <w:pPr>
              <w:pStyle w:val="TableParagraph"/>
              <w:spacing w:before="115"/>
              <w:ind w:left="117" w:right="115"/>
              <w:rPr>
                <w:sz w:val="22"/>
              </w:rPr>
            </w:pPr>
            <w:r>
              <w:rPr>
                <w:sz w:val="22"/>
              </w:rPr>
              <w:t>3.83</w:t>
            </w:r>
          </w:p>
        </w:tc>
        <w:tc>
          <w:tcPr>
            <w:tcW w:w="743" w:type="dxa"/>
            <w:tcBorders>
              <w:top w:val="nil"/>
              <w:left w:val="nil"/>
              <w:bottom w:val="nil"/>
              <w:right w:val="nil"/>
            </w:tcBorders>
          </w:tcPr>
          <w:p>
            <w:pPr>
              <w:pStyle w:val="TableParagraph"/>
              <w:spacing w:before="115"/>
              <w:ind w:left="120" w:right="124"/>
              <w:rPr>
                <w:sz w:val="22"/>
              </w:rPr>
            </w:pPr>
            <w:r>
              <w:rPr>
                <w:sz w:val="22"/>
              </w:rPr>
              <w:t>-0.21</w:t>
            </w:r>
          </w:p>
        </w:tc>
        <w:tc>
          <w:tcPr>
            <w:tcW w:w="854" w:type="dxa"/>
            <w:tcBorders>
              <w:top w:val="nil"/>
              <w:left w:val="nil"/>
              <w:bottom w:val="nil"/>
              <w:right w:val="nil"/>
            </w:tcBorders>
          </w:tcPr>
          <w:p>
            <w:pPr>
              <w:pStyle w:val="TableParagraph"/>
              <w:spacing w:before="115"/>
              <w:ind w:left="187" w:right="220"/>
              <w:rPr>
                <w:sz w:val="22"/>
              </w:rPr>
            </w:pPr>
            <w:r>
              <w:rPr>
                <w:sz w:val="22"/>
              </w:rPr>
              <w:t>0.21</w:t>
            </w:r>
          </w:p>
        </w:tc>
        <w:tc>
          <w:tcPr>
            <w:tcW w:w="1081" w:type="dxa"/>
            <w:tcBorders>
              <w:top w:val="nil"/>
              <w:left w:val="nil"/>
              <w:bottom w:val="nil"/>
              <w:right w:val="nil"/>
            </w:tcBorders>
          </w:tcPr>
          <w:p>
            <w:pPr>
              <w:pStyle w:val="TableParagraph"/>
              <w:spacing w:before="115"/>
              <w:ind w:left="281"/>
              <w:jc w:val="left"/>
              <w:rPr>
                <w:sz w:val="22"/>
              </w:rPr>
            </w:pPr>
            <w:r>
              <w:rPr>
                <w:sz w:val="22"/>
              </w:rPr>
              <w:t>0.05</w:t>
            </w:r>
          </w:p>
        </w:tc>
        <w:tc>
          <w:tcPr>
            <w:tcW w:w="1877" w:type="dxa"/>
            <w:tcBorders>
              <w:top w:val="nil"/>
              <w:left w:val="nil"/>
              <w:bottom w:val="nil"/>
              <w:right w:val="nil"/>
            </w:tcBorders>
          </w:tcPr>
          <w:p>
            <w:pPr>
              <w:pStyle w:val="TableParagraph"/>
              <w:spacing w:before="115"/>
              <w:ind w:left="617" w:right="724"/>
              <w:rPr>
                <w:sz w:val="22"/>
              </w:rPr>
            </w:pPr>
            <w:r>
              <w:rPr>
                <w:sz w:val="22"/>
              </w:rPr>
              <w:t>2.5</w:t>
            </w:r>
          </w:p>
        </w:tc>
      </w:tr>
      <w:tr>
        <w:trPr>
          <w:trHeight w:val="505" w:hRule="exact"/>
        </w:trPr>
        <w:tc>
          <w:tcPr>
            <w:tcW w:w="977" w:type="dxa"/>
            <w:tcBorders>
              <w:top w:val="nil"/>
              <w:left w:val="nil"/>
              <w:bottom w:val="nil"/>
              <w:right w:val="nil"/>
            </w:tcBorders>
          </w:tcPr>
          <w:p>
            <w:pPr>
              <w:pStyle w:val="TableParagraph"/>
              <w:spacing w:before="114"/>
              <w:ind w:left="143" w:right="136"/>
              <w:rPr>
                <w:sz w:val="22"/>
              </w:rPr>
            </w:pPr>
            <w:r>
              <w:rPr>
                <w:sz w:val="22"/>
              </w:rPr>
              <w:t>2005 R</w:t>
            </w:r>
          </w:p>
        </w:tc>
        <w:tc>
          <w:tcPr>
            <w:tcW w:w="689" w:type="dxa"/>
            <w:tcBorders>
              <w:top w:val="nil"/>
              <w:left w:val="nil"/>
              <w:bottom w:val="nil"/>
              <w:right w:val="nil"/>
            </w:tcBorders>
          </w:tcPr>
          <w:p>
            <w:pPr>
              <w:pStyle w:val="TableParagraph"/>
              <w:spacing w:before="114"/>
              <w:ind w:left="124" w:right="116"/>
              <w:rPr>
                <w:sz w:val="22"/>
              </w:rPr>
            </w:pPr>
            <w:r>
              <w:rPr>
                <w:sz w:val="22"/>
              </w:rPr>
              <w:t>1.42</w:t>
            </w:r>
          </w:p>
        </w:tc>
        <w:tc>
          <w:tcPr>
            <w:tcW w:w="722" w:type="dxa"/>
            <w:tcBorders>
              <w:top w:val="nil"/>
              <w:left w:val="nil"/>
              <w:bottom w:val="nil"/>
              <w:right w:val="nil"/>
            </w:tcBorders>
          </w:tcPr>
          <w:p>
            <w:pPr>
              <w:pStyle w:val="TableParagraph"/>
              <w:spacing w:before="114"/>
              <w:ind w:left="120" w:right="104"/>
              <w:rPr>
                <w:sz w:val="22"/>
              </w:rPr>
            </w:pPr>
            <w:r>
              <w:rPr>
                <w:sz w:val="22"/>
              </w:rPr>
              <w:t>-0.55</w:t>
            </w:r>
          </w:p>
        </w:tc>
        <w:tc>
          <w:tcPr>
            <w:tcW w:w="730" w:type="dxa"/>
            <w:tcBorders>
              <w:top w:val="nil"/>
              <w:left w:val="nil"/>
              <w:bottom w:val="nil"/>
              <w:right w:val="nil"/>
            </w:tcBorders>
          </w:tcPr>
          <w:p>
            <w:pPr>
              <w:pStyle w:val="TableParagraph"/>
              <w:spacing w:before="114"/>
              <w:ind w:left="132" w:right="151"/>
              <w:rPr>
                <w:sz w:val="22"/>
              </w:rPr>
            </w:pPr>
            <w:r>
              <w:rPr>
                <w:sz w:val="22"/>
              </w:rPr>
              <w:t>0.96</w:t>
            </w:r>
          </w:p>
        </w:tc>
        <w:tc>
          <w:tcPr>
            <w:tcW w:w="843" w:type="dxa"/>
            <w:tcBorders>
              <w:top w:val="nil"/>
              <w:left w:val="nil"/>
              <w:bottom w:val="nil"/>
              <w:right w:val="nil"/>
            </w:tcBorders>
          </w:tcPr>
          <w:p>
            <w:pPr>
              <w:pStyle w:val="TableParagraph"/>
              <w:spacing w:before="114"/>
              <w:ind w:right="207"/>
              <w:jc w:val="right"/>
              <w:rPr>
                <w:sz w:val="22"/>
              </w:rPr>
            </w:pPr>
            <w:r>
              <w:rPr>
                <w:sz w:val="22"/>
              </w:rPr>
              <w:t>-0.52</w:t>
            </w:r>
          </w:p>
        </w:tc>
        <w:tc>
          <w:tcPr>
            <w:tcW w:w="680" w:type="dxa"/>
            <w:tcBorders>
              <w:top w:val="nil"/>
              <w:left w:val="nil"/>
              <w:bottom w:val="nil"/>
              <w:right w:val="nil"/>
            </w:tcBorders>
          </w:tcPr>
          <w:p>
            <w:pPr>
              <w:pStyle w:val="TableParagraph"/>
              <w:spacing w:before="114"/>
              <w:ind w:left="117" w:right="115"/>
              <w:rPr>
                <w:sz w:val="22"/>
              </w:rPr>
            </w:pPr>
            <w:r>
              <w:rPr>
                <w:sz w:val="22"/>
              </w:rPr>
              <w:t>3.1</w:t>
            </w:r>
          </w:p>
        </w:tc>
        <w:tc>
          <w:tcPr>
            <w:tcW w:w="743" w:type="dxa"/>
            <w:tcBorders>
              <w:top w:val="nil"/>
              <w:left w:val="nil"/>
              <w:bottom w:val="nil"/>
              <w:right w:val="nil"/>
            </w:tcBorders>
          </w:tcPr>
          <w:p>
            <w:pPr>
              <w:pStyle w:val="TableParagraph"/>
              <w:spacing w:before="114"/>
              <w:ind w:left="120" w:right="124"/>
              <w:rPr>
                <w:sz w:val="22"/>
              </w:rPr>
            </w:pPr>
            <w:r>
              <w:rPr>
                <w:sz w:val="22"/>
              </w:rPr>
              <w:t>-1.04</w:t>
            </w:r>
          </w:p>
        </w:tc>
        <w:tc>
          <w:tcPr>
            <w:tcW w:w="854" w:type="dxa"/>
            <w:tcBorders>
              <w:top w:val="nil"/>
              <w:left w:val="nil"/>
              <w:bottom w:val="nil"/>
              <w:right w:val="nil"/>
            </w:tcBorders>
          </w:tcPr>
          <w:p>
            <w:pPr>
              <w:pStyle w:val="TableParagraph"/>
              <w:spacing w:before="114"/>
              <w:ind w:left="187" w:right="220"/>
              <w:rPr>
                <w:sz w:val="22"/>
              </w:rPr>
            </w:pPr>
            <w:r>
              <w:rPr>
                <w:sz w:val="22"/>
              </w:rPr>
              <w:t>0.22</w:t>
            </w:r>
          </w:p>
        </w:tc>
        <w:tc>
          <w:tcPr>
            <w:tcW w:w="1081" w:type="dxa"/>
            <w:tcBorders>
              <w:top w:val="nil"/>
              <w:left w:val="nil"/>
              <w:bottom w:val="nil"/>
              <w:right w:val="nil"/>
            </w:tcBorders>
          </w:tcPr>
          <w:p>
            <w:pPr>
              <w:pStyle w:val="TableParagraph"/>
              <w:spacing w:before="114"/>
              <w:ind w:left="281"/>
              <w:jc w:val="left"/>
              <w:rPr>
                <w:sz w:val="22"/>
              </w:rPr>
            </w:pPr>
            <w:r>
              <w:rPr>
                <w:sz w:val="22"/>
              </w:rPr>
              <w:t>0.24</w:t>
            </w:r>
          </w:p>
        </w:tc>
        <w:tc>
          <w:tcPr>
            <w:tcW w:w="1877" w:type="dxa"/>
            <w:tcBorders>
              <w:top w:val="nil"/>
              <w:left w:val="nil"/>
              <w:bottom w:val="nil"/>
              <w:right w:val="nil"/>
            </w:tcBorders>
          </w:tcPr>
          <w:p>
            <w:pPr>
              <w:pStyle w:val="TableParagraph"/>
              <w:spacing w:before="114"/>
              <w:ind w:left="617" w:right="724"/>
              <w:rPr>
                <w:sz w:val="22"/>
              </w:rPr>
            </w:pPr>
            <w:r>
              <w:rPr>
                <w:sz w:val="22"/>
              </w:rPr>
              <w:t>146.4</w:t>
            </w:r>
          </w:p>
        </w:tc>
      </w:tr>
      <w:tr>
        <w:trPr>
          <w:trHeight w:val="506" w:hRule="exact"/>
        </w:trPr>
        <w:tc>
          <w:tcPr>
            <w:tcW w:w="977" w:type="dxa"/>
            <w:tcBorders>
              <w:top w:val="nil"/>
              <w:left w:val="nil"/>
              <w:bottom w:val="nil"/>
              <w:right w:val="nil"/>
            </w:tcBorders>
          </w:tcPr>
          <w:p>
            <w:pPr>
              <w:pStyle w:val="TableParagraph"/>
              <w:spacing w:before="115"/>
              <w:ind w:left="146" w:right="136"/>
              <w:rPr>
                <w:sz w:val="22"/>
              </w:rPr>
            </w:pPr>
            <w:r>
              <w:rPr>
                <w:sz w:val="22"/>
              </w:rPr>
              <w:t>2006 D</w:t>
            </w:r>
          </w:p>
        </w:tc>
        <w:tc>
          <w:tcPr>
            <w:tcW w:w="689" w:type="dxa"/>
            <w:tcBorders>
              <w:top w:val="nil"/>
              <w:left w:val="nil"/>
              <w:bottom w:val="nil"/>
              <w:right w:val="nil"/>
            </w:tcBorders>
          </w:tcPr>
          <w:p>
            <w:pPr>
              <w:pStyle w:val="TableParagraph"/>
              <w:spacing w:before="115"/>
              <w:ind w:left="124" w:right="116"/>
              <w:rPr>
                <w:sz w:val="22"/>
              </w:rPr>
            </w:pPr>
            <w:r>
              <w:rPr>
                <w:sz w:val="22"/>
              </w:rPr>
              <w:t>0.82</w:t>
            </w:r>
          </w:p>
        </w:tc>
        <w:tc>
          <w:tcPr>
            <w:tcW w:w="722" w:type="dxa"/>
            <w:tcBorders>
              <w:top w:val="nil"/>
              <w:left w:val="nil"/>
              <w:bottom w:val="nil"/>
              <w:right w:val="nil"/>
            </w:tcBorders>
          </w:tcPr>
          <w:p>
            <w:pPr>
              <w:pStyle w:val="TableParagraph"/>
              <w:spacing w:before="115"/>
              <w:ind w:left="120" w:right="102"/>
              <w:rPr>
                <w:sz w:val="22"/>
              </w:rPr>
            </w:pPr>
            <w:r>
              <w:rPr>
                <w:sz w:val="22"/>
              </w:rPr>
              <w:t>0.15</w:t>
            </w:r>
          </w:p>
        </w:tc>
        <w:tc>
          <w:tcPr>
            <w:tcW w:w="730" w:type="dxa"/>
            <w:tcBorders>
              <w:top w:val="nil"/>
              <w:left w:val="nil"/>
              <w:bottom w:val="nil"/>
              <w:right w:val="nil"/>
            </w:tcBorders>
          </w:tcPr>
          <w:p>
            <w:pPr>
              <w:pStyle w:val="TableParagraph"/>
              <w:spacing w:before="115"/>
              <w:ind w:left="132" w:right="151"/>
              <w:rPr>
                <w:sz w:val="22"/>
              </w:rPr>
            </w:pPr>
            <w:r>
              <w:rPr>
                <w:sz w:val="22"/>
              </w:rPr>
              <w:t>0.57</w:t>
            </w:r>
          </w:p>
        </w:tc>
        <w:tc>
          <w:tcPr>
            <w:tcW w:w="843" w:type="dxa"/>
            <w:tcBorders>
              <w:top w:val="nil"/>
              <w:left w:val="nil"/>
              <w:bottom w:val="nil"/>
              <w:right w:val="nil"/>
            </w:tcBorders>
          </w:tcPr>
          <w:p>
            <w:pPr>
              <w:pStyle w:val="TableParagraph"/>
              <w:spacing w:before="115"/>
              <w:ind w:right="241"/>
              <w:jc w:val="right"/>
              <w:rPr>
                <w:sz w:val="22"/>
              </w:rPr>
            </w:pPr>
            <w:r>
              <w:rPr>
                <w:sz w:val="22"/>
              </w:rPr>
              <w:t>0.47</w:t>
            </w:r>
          </w:p>
        </w:tc>
        <w:tc>
          <w:tcPr>
            <w:tcW w:w="680" w:type="dxa"/>
            <w:tcBorders>
              <w:top w:val="nil"/>
              <w:left w:val="nil"/>
              <w:bottom w:val="nil"/>
              <w:right w:val="nil"/>
            </w:tcBorders>
          </w:tcPr>
          <w:p>
            <w:pPr>
              <w:pStyle w:val="TableParagraph"/>
              <w:spacing w:before="115"/>
              <w:ind w:left="117" w:right="115"/>
              <w:rPr>
                <w:sz w:val="22"/>
              </w:rPr>
            </w:pPr>
            <w:r>
              <w:rPr>
                <w:sz w:val="22"/>
              </w:rPr>
              <w:t>1.1</w:t>
            </w:r>
          </w:p>
        </w:tc>
        <w:tc>
          <w:tcPr>
            <w:tcW w:w="743" w:type="dxa"/>
            <w:tcBorders>
              <w:top w:val="nil"/>
              <w:left w:val="nil"/>
              <w:bottom w:val="nil"/>
              <w:right w:val="nil"/>
            </w:tcBorders>
          </w:tcPr>
          <w:p>
            <w:pPr>
              <w:pStyle w:val="TableParagraph"/>
              <w:spacing w:before="115"/>
              <w:ind w:left="120" w:right="122"/>
              <w:rPr>
                <w:sz w:val="22"/>
              </w:rPr>
            </w:pPr>
            <w:r>
              <w:rPr>
                <w:sz w:val="22"/>
              </w:rPr>
              <w:t>0.42</w:t>
            </w:r>
          </w:p>
        </w:tc>
        <w:tc>
          <w:tcPr>
            <w:tcW w:w="854" w:type="dxa"/>
            <w:tcBorders>
              <w:top w:val="nil"/>
              <w:left w:val="nil"/>
              <w:bottom w:val="nil"/>
              <w:right w:val="nil"/>
            </w:tcBorders>
          </w:tcPr>
          <w:p>
            <w:pPr>
              <w:pStyle w:val="TableParagraph"/>
              <w:spacing w:before="115"/>
              <w:ind w:left="187" w:right="220"/>
              <w:rPr>
                <w:sz w:val="22"/>
              </w:rPr>
            </w:pPr>
            <w:r>
              <w:rPr>
                <w:sz w:val="22"/>
              </w:rPr>
              <w:t>0.28</w:t>
            </w:r>
          </w:p>
        </w:tc>
        <w:tc>
          <w:tcPr>
            <w:tcW w:w="1081" w:type="dxa"/>
            <w:tcBorders>
              <w:top w:val="nil"/>
              <w:left w:val="nil"/>
              <w:bottom w:val="nil"/>
              <w:right w:val="nil"/>
            </w:tcBorders>
          </w:tcPr>
          <w:p>
            <w:pPr>
              <w:pStyle w:val="TableParagraph"/>
              <w:spacing w:before="115"/>
              <w:ind w:left="281"/>
              <w:jc w:val="left"/>
              <w:rPr>
                <w:sz w:val="22"/>
              </w:rPr>
            </w:pPr>
            <w:r>
              <w:rPr>
                <w:sz w:val="22"/>
              </w:rPr>
              <w:t>0.00</w:t>
            </w:r>
          </w:p>
        </w:tc>
        <w:tc>
          <w:tcPr>
            <w:tcW w:w="1877" w:type="dxa"/>
            <w:tcBorders>
              <w:top w:val="nil"/>
              <w:left w:val="nil"/>
              <w:bottom w:val="nil"/>
              <w:right w:val="nil"/>
            </w:tcBorders>
          </w:tcPr>
          <w:p>
            <w:pPr>
              <w:pStyle w:val="TableParagraph"/>
              <w:spacing w:before="115"/>
              <w:ind w:left="616" w:right="724"/>
              <w:rPr>
                <w:sz w:val="22"/>
              </w:rPr>
            </w:pPr>
            <w:r>
              <w:rPr>
                <w:sz w:val="22"/>
              </w:rPr>
              <w:t>36</w:t>
            </w:r>
          </w:p>
        </w:tc>
      </w:tr>
      <w:tr>
        <w:trPr>
          <w:trHeight w:val="506" w:hRule="exact"/>
        </w:trPr>
        <w:tc>
          <w:tcPr>
            <w:tcW w:w="977" w:type="dxa"/>
            <w:tcBorders>
              <w:top w:val="nil"/>
              <w:left w:val="nil"/>
              <w:bottom w:val="nil"/>
              <w:right w:val="nil"/>
            </w:tcBorders>
          </w:tcPr>
          <w:p>
            <w:pPr>
              <w:pStyle w:val="TableParagraph"/>
              <w:spacing w:before="115"/>
              <w:ind w:left="143" w:right="136"/>
              <w:rPr>
                <w:sz w:val="22"/>
              </w:rPr>
            </w:pPr>
            <w:r>
              <w:rPr>
                <w:sz w:val="22"/>
              </w:rPr>
              <w:t>2006 R</w:t>
            </w:r>
          </w:p>
        </w:tc>
        <w:tc>
          <w:tcPr>
            <w:tcW w:w="689" w:type="dxa"/>
            <w:tcBorders>
              <w:top w:val="nil"/>
              <w:left w:val="nil"/>
              <w:bottom w:val="nil"/>
              <w:right w:val="nil"/>
            </w:tcBorders>
          </w:tcPr>
          <w:p>
            <w:pPr>
              <w:pStyle w:val="TableParagraph"/>
              <w:spacing w:before="115"/>
              <w:ind w:left="124" w:right="116"/>
              <w:rPr>
                <w:sz w:val="22"/>
              </w:rPr>
            </w:pPr>
            <w:r>
              <w:rPr>
                <w:sz w:val="22"/>
              </w:rPr>
              <w:t>0.95</w:t>
            </w:r>
          </w:p>
        </w:tc>
        <w:tc>
          <w:tcPr>
            <w:tcW w:w="722" w:type="dxa"/>
            <w:tcBorders>
              <w:top w:val="nil"/>
              <w:left w:val="nil"/>
              <w:bottom w:val="nil"/>
              <w:right w:val="nil"/>
            </w:tcBorders>
          </w:tcPr>
          <w:p>
            <w:pPr>
              <w:pStyle w:val="TableParagraph"/>
              <w:spacing w:before="115"/>
              <w:ind w:left="120" w:right="102"/>
              <w:rPr>
                <w:sz w:val="22"/>
              </w:rPr>
            </w:pPr>
            <w:r>
              <w:rPr>
                <w:sz w:val="22"/>
              </w:rPr>
              <w:t>0.06</w:t>
            </w:r>
          </w:p>
        </w:tc>
        <w:tc>
          <w:tcPr>
            <w:tcW w:w="730" w:type="dxa"/>
            <w:tcBorders>
              <w:top w:val="nil"/>
              <w:left w:val="nil"/>
              <w:bottom w:val="nil"/>
              <w:right w:val="nil"/>
            </w:tcBorders>
          </w:tcPr>
          <w:p>
            <w:pPr>
              <w:pStyle w:val="TableParagraph"/>
              <w:spacing w:before="115"/>
              <w:ind w:left="132" w:right="151"/>
              <w:rPr>
                <w:sz w:val="22"/>
              </w:rPr>
            </w:pPr>
            <w:r>
              <w:rPr>
                <w:sz w:val="22"/>
              </w:rPr>
              <w:t>0.91</w:t>
            </w:r>
          </w:p>
        </w:tc>
        <w:tc>
          <w:tcPr>
            <w:tcW w:w="843" w:type="dxa"/>
            <w:tcBorders>
              <w:top w:val="nil"/>
              <w:left w:val="nil"/>
              <w:bottom w:val="nil"/>
              <w:right w:val="nil"/>
            </w:tcBorders>
          </w:tcPr>
          <w:p>
            <w:pPr>
              <w:pStyle w:val="TableParagraph"/>
              <w:spacing w:before="115"/>
              <w:ind w:right="241"/>
              <w:jc w:val="right"/>
              <w:rPr>
                <w:sz w:val="22"/>
              </w:rPr>
            </w:pPr>
            <w:r>
              <w:rPr>
                <w:sz w:val="22"/>
              </w:rPr>
              <w:t>0.28</w:t>
            </w:r>
          </w:p>
        </w:tc>
        <w:tc>
          <w:tcPr>
            <w:tcW w:w="680" w:type="dxa"/>
            <w:tcBorders>
              <w:top w:val="nil"/>
              <w:left w:val="nil"/>
              <w:bottom w:val="nil"/>
              <w:right w:val="nil"/>
            </w:tcBorders>
          </w:tcPr>
          <w:p>
            <w:pPr>
              <w:pStyle w:val="TableParagraph"/>
              <w:spacing w:before="115"/>
              <w:ind w:left="117" w:right="115"/>
              <w:rPr>
                <w:sz w:val="22"/>
              </w:rPr>
            </w:pPr>
            <w:r>
              <w:rPr>
                <w:sz w:val="22"/>
              </w:rPr>
              <w:t>1.67</w:t>
            </w:r>
          </w:p>
        </w:tc>
        <w:tc>
          <w:tcPr>
            <w:tcW w:w="743" w:type="dxa"/>
            <w:tcBorders>
              <w:top w:val="nil"/>
              <w:left w:val="nil"/>
              <w:bottom w:val="nil"/>
              <w:right w:val="nil"/>
            </w:tcBorders>
          </w:tcPr>
          <w:p>
            <w:pPr>
              <w:pStyle w:val="TableParagraph"/>
              <w:spacing w:before="115"/>
              <w:ind w:left="120" w:right="124"/>
              <w:rPr>
                <w:sz w:val="22"/>
              </w:rPr>
            </w:pPr>
            <w:r>
              <w:rPr>
                <w:sz w:val="22"/>
              </w:rPr>
              <w:t>-0.16</w:t>
            </w:r>
          </w:p>
        </w:tc>
        <w:tc>
          <w:tcPr>
            <w:tcW w:w="854" w:type="dxa"/>
            <w:tcBorders>
              <w:top w:val="nil"/>
              <w:left w:val="nil"/>
              <w:bottom w:val="nil"/>
              <w:right w:val="nil"/>
            </w:tcBorders>
          </w:tcPr>
          <w:p>
            <w:pPr>
              <w:pStyle w:val="TableParagraph"/>
              <w:spacing w:before="115"/>
              <w:ind w:left="187" w:right="220"/>
              <w:rPr>
                <w:sz w:val="22"/>
              </w:rPr>
            </w:pPr>
            <w:r>
              <w:rPr>
                <w:sz w:val="22"/>
              </w:rPr>
              <w:t>0.28</w:t>
            </w:r>
          </w:p>
        </w:tc>
        <w:tc>
          <w:tcPr>
            <w:tcW w:w="1081" w:type="dxa"/>
            <w:tcBorders>
              <w:top w:val="nil"/>
              <w:left w:val="nil"/>
              <w:bottom w:val="nil"/>
              <w:right w:val="nil"/>
            </w:tcBorders>
          </w:tcPr>
          <w:p>
            <w:pPr>
              <w:pStyle w:val="TableParagraph"/>
              <w:spacing w:before="115"/>
              <w:ind w:left="281"/>
              <w:jc w:val="left"/>
              <w:rPr>
                <w:sz w:val="22"/>
              </w:rPr>
            </w:pPr>
            <w:r>
              <w:rPr>
                <w:sz w:val="22"/>
              </w:rPr>
              <w:t>0.19</w:t>
            </w:r>
          </w:p>
        </w:tc>
        <w:tc>
          <w:tcPr>
            <w:tcW w:w="1877" w:type="dxa"/>
            <w:tcBorders>
              <w:top w:val="nil"/>
              <w:left w:val="nil"/>
              <w:bottom w:val="nil"/>
              <w:right w:val="nil"/>
            </w:tcBorders>
          </w:tcPr>
          <w:p>
            <w:pPr>
              <w:pStyle w:val="TableParagraph"/>
              <w:spacing w:before="115"/>
              <w:ind w:left="617" w:right="724"/>
              <w:rPr>
                <w:sz w:val="22"/>
              </w:rPr>
            </w:pPr>
            <w:r>
              <w:rPr>
                <w:sz w:val="22"/>
              </w:rPr>
              <w:t>181.9</w:t>
            </w:r>
          </w:p>
        </w:tc>
      </w:tr>
      <w:tr>
        <w:trPr>
          <w:trHeight w:val="506" w:hRule="exact"/>
        </w:trPr>
        <w:tc>
          <w:tcPr>
            <w:tcW w:w="977" w:type="dxa"/>
            <w:tcBorders>
              <w:top w:val="nil"/>
              <w:left w:val="nil"/>
              <w:bottom w:val="nil"/>
              <w:right w:val="nil"/>
            </w:tcBorders>
          </w:tcPr>
          <w:p>
            <w:pPr>
              <w:pStyle w:val="TableParagraph"/>
              <w:spacing w:before="115"/>
              <w:ind w:left="146" w:right="136"/>
              <w:rPr>
                <w:sz w:val="22"/>
              </w:rPr>
            </w:pPr>
            <w:r>
              <w:rPr>
                <w:sz w:val="22"/>
              </w:rPr>
              <w:t>2007 D</w:t>
            </w:r>
          </w:p>
        </w:tc>
        <w:tc>
          <w:tcPr>
            <w:tcW w:w="689" w:type="dxa"/>
            <w:tcBorders>
              <w:top w:val="nil"/>
              <w:left w:val="nil"/>
              <w:bottom w:val="nil"/>
              <w:right w:val="nil"/>
            </w:tcBorders>
          </w:tcPr>
          <w:p>
            <w:pPr>
              <w:pStyle w:val="TableParagraph"/>
              <w:spacing w:before="115"/>
              <w:ind w:left="124" w:right="116"/>
              <w:rPr>
                <w:sz w:val="22"/>
              </w:rPr>
            </w:pPr>
            <w:r>
              <w:rPr>
                <w:sz w:val="22"/>
              </w:rPr>
              <w:t>1.01</w:t>
            </w:r>
          </w:p>
        </w:tc>
        <w:tc>
          <w:tcPr>
            <w:tcW w:w="722" w:type="dxa"/>
            <w:tcBorders>
              <w:top w:val="nil"/>
              <w:left w:val="nil"/>
              <w:bottom w:val="nil"/>
              <w:right w:val="nil"/>
            </w:tcBorders>
          </w:tcPr>
          <w:p>
            <w:pPr>
              <w:pStyle w:val="TableParagraph"/>
              <w:spacing w:before="115"/>
              <w:ind w:left="120" w:right="102"/>
              <w:rPr>
                <w:sz w:val="22"/>
              </w:rPr>
            </w:pPr>
            <w:r>
              <w:rPr>
                <w:sz w:val="22"/>
              </w:rPr>
              <w:t>0.07</w:t>
            </w:r>
          </w:p>
        </w:tc>
        <w:tc>
          <w:tcPr>
            <w:tcW w:w="730" w:type="dxa"/>
            <w:tcBorders>
              <w:top w:val="nil"/>
              <w:left w:val="nil"/>
              <w:bottom w:val="nil"/>
              <w:right w:val="nil"/>
            </w:tcBorders>
          </w:tcPr>
          <w:p>
            <w:pPr>
              <w:pStyle w:val="TableParagraph"/>
              <w:spacing w:before="115"/>
              <w:ind w:left="132" w:right="151"/>
              <w:rPr>
                <w:sz w:val="22"/>
              </w:rPr>
            </w:pPr>
            <w:r>
              <w:rPr>
                <w:sz w:val="22"/>
              </w:rPr>
              <w:t>1.21</w:t>
            </w:r>
          </w:p>
        </w:tc>
        <w:tc>
          <w:tcPr>
            <w:tcW w:w="843" w:type="dxa"/>
            <w:tcBorders>
              <w:top w:val="nil"/>
              <w:left w:val="nil"/>
              <w:bottom w:val="nil"/>
              <w:right w:val="nil"/>
            </w:tcBorders>
          </w:tcPr>
          <w:p>
            <w:pPr>
              <w:pStyle w:val="TableParagraph"/>
              <w:spacing w:before="115"/>
              <w:ind w:right="241"/>
              <w:jc w:val="right"/>
              <w:rPr>
                <w:sz w:val="22"/>
              </w:rPr>
            </w:pPr>
            <w:r>
              <w:rPr>
                <w:sz w:val="22"/>
              </w:rPr>
              <w:t>0.70</w:t>
            </w:r>
          </w:p>
        </w:tc>
        <w:tc>
          <w:tcPr>
            <w:tcW w:w="680" w:type="dxa"/>
            <w:tcBorders>
              <w:top w:val="nil"/>
              <w:left w:val="nil"/>
              <w:bottom w:val="nil"/>
              <w:right w:val="nil"/>
            </w:tcBorders>
          </w:tcPr>
          <w:p>
            <w:pPr>
              <w:pStyle w:val="TableParagraph"/>
              <w:spacing w:before="115"/>
              <w:ind w:left="117" w:right="115"/>
              <w:rPr>
                <w:sz w:val="22"/>
              </w:rPr>
            </w:pPr>
            <w:r>
              <w:rPr>
                <w:sz w:val="22"/>
              </w:rPr>
              <w:t>1.43</w:t>
            </w:r>
          </w:p>
        </w:tc>
        <w:tc>
          <w:tcPr>
            <w:tcW w:w="743" w:type="dxa"/>
            <w:tcBorders>
              <w:top w:val="nil"/>
              <w:left w:val="nil"/>
              <w:bottom w:val="nil"/>
              <w:right w:val="nil"/>
            </w:tcBorders>
          </w:tcPr>
          <w:p>
            <w:pPr>
              <w:pStyle w:val="TableParagraph"/>
              <w:spacing w:before="115"/>
              <w:ind w:left="120" w:right="122"/>
              <w:rPr>
                <w:sz w:val="22"/>
              </w:rPr>
            </w:pPr>
            <w:r>
              <w:rPr>
                <w:sz w:val="22"/>
              </w:rPr>
              <w:t>1.33</w:t>
            </w:r>
          </w:p>
        </w:tc>
        <w:tc>
          <w:tcPr>
            <w:tcW w:w="854" w:type="dxa"/>
            <w:tcBorders>
              <w:top w:val="nil"/>
              <w:left w:val="nil"/>
              <w:bottom w:val="nil"/>
              <w:right w:val="nil"/>
            </w:tcBorders>
          </w:tcPr>
          <w:p>
            <w:pPr>
              <w:pStyle w:val="TableParagraph"/>
              <w:spacing w:before="115"/>
              <w:ind w:left="187" w:right="220"/>
              <w:rPr>
                <w:sz w:val="22"/>
              </w:rPr>
            </w:pPr>
            <w:r>
              <w:rPr>
                <w:sz w:val="22"/>
              </w:rPr>
              <w:t>0.34</w:t>
            </w:r>
          </w:p>
        </w:tc>
        <w:tc>
          <w:tcPr>
            <w:tcW w:w="1081" w:type="dxa"/>
            <w:tcBorders>
              <w:top w:val="nil"/>
              <w:left w:val="nil"/>
              <w:bottom w:val="nil"/>
              <w:right w:val="nil"/>
            </w:tcBorders>
          </w:tcPr>
          <w:p>
            <w:pPr>
              <w:pStyle w:val="TableParagraph"/>
              <w:spacing w:before="115"/>
              <w:ind w:left="245"/>
              <w:jc w:val="left"/>
              <w:rPr>
                <w:sz w:val="22"/>
              </w:rPr>
            </w:pPr>
            <w:r>
              <w:rPr>
                <w:sz w:val="22"/>
              </w:rPr>
              <w:t>-0.23</w:t>
            </w:r>
          </w:p>
        </w:tc>
        <w:tc>
          <w:tcPr>
            <w:tcW w:w="1877" w:type="dxa"/>
            <w:tcBorders>
              <w:top w:val="nil"/>
              <w:left w:val="nil"/>
              <w:bottom w:val="nil"/>
              <w:right w:val="nil"/>
            </w:tcBorders>
          </w:tcPr>
          <w:p>
            <w:pPr>
              <w:pStyle w:val="TableParagraph"/>
              <w:spacing w:before="115"/>
              <w:ind w:left="617" w:right="724"/>
              <w:rPr>
                <w:sz w:val="22"/>
              </w:rPr>
            </w:pPr>
            <w:r>
              <w:rPr>
                <w:sz w:val="22"/>
              </w:rPr>
              <w:t>6.9</w:t>
            </w:r>
          </w:p>
        </w:tc>
      </w:tr>
      <w:tr>
        <w:trPr>
          <w:trHeight w:val="507" w:hRule="exact"/>
        </w:trPr>
        <w:tc>
          <w:tcPr>
            <w:tcW w:w="977" w:type="dxa"/>
            <w:tcBorders>
              <w:top w:val="nil"/>
              <w:left w:val="nil"/>
              <w:bottom w:val="nil"/>
              <w:right w:val="nil"/>
            </w:tcBorders>
          </w:tcPr>
          <w:p>
            <w:pPr>
              <w:pStyle w:val="TableParagraph"/>
              <w:spacing w:before="115"/>
              <w:ind w:left="146" w:right="136"/>
              <w:rPr>
                <w:sz w:val="22"/>
              </w:rPr>
            </w:pPr>
            <w:r>
              <w:rPr>
                <w:sz w:val="22"/>
              </w:rPr>
              <w:t>2008 D</w:t>
            </w:r>
          </w:p>
        </w:tc>
        <w:tc>
          <w:tcPr>
            <w:tcW w:w="689" w:type="dxa"/>
            <w:tcBorders>
              <w:top w:val="nil"/>
              <w:left w:val="nil"/>
              <w:bottom w:val="nil"/>
              <w:right w:val="nil"/>
            </w:tcBorders>
          </w:tcPr>
          <w:p>
            <w:pPr>
              <w:pStyle w:val="TableParagraph"/>
              <w:spacing w:before="115"/>
              <w:ind w:left="124" w:right="116"/>
              <w:rPr>
                <w:sz w:val="22"/>
              </w:rPr>
            </w:pPr>
            <w:r>
              <w:rPr>
                <w:sz w:val="22"/>
              </w:rPr>
              <w:t>1.08</w:t>
            </w:r>
          </w:p>
        </w:tc>
        <w:tc>
          <w:tcPr>
            <w:tcW w:w="722" w:type="dxa"/>
            <w:tcBorders>
              <w:top w:val="nil"/>
              <w:left w:val="nil"/>
              <w:bottom w:val="nil"/>
              <w:right w:val="nil"/>
            </w:tcBorders>
          </w:tcPr>
          <w:p>
            <w:pPr>
              <w:pStyle w:val="TableParagraph"/>
              <w:spacing w:before="115"/>
              <w:ind w:left="120" w:right="102"/>
              <w:rPr>
                <w:sz w:val="22"/>
              </w:rPr>
            </w:pPr>
            <w:r>
              <w:rPr>
                <w:sz w:val="22"/>
              </w:rPr>
              <w:t>1.91</w:t>
            </w:r>
          </w:p>
        </w:tc>
        <w:tc>
          <w:tcPr>
            <w:tcW w:w="730" w:type="dxa"/>
            <w:tcBorders>
              <w:top w:val="nil"/>
              <w:left w:val="nil"/>
              <w:bottom w:val="nil"/>
              <w:right w:val="nil"/>
            </w:tcBorders>
          </w:tcPr>
          <w:p>
            <w:pPr>
              <w:pStyle w:val="TableParagraph"/>
              <w:spacing w:before="115"/>
              <w:ind w:left="132" w:right="151"/>
              <w:rPr>
                <w:sz w:val="22"/>
              </w:rPr>
            </w:pPr>
            <w:r>
              <w:rPr>
                <w:sz w:val="22"/>
              </w:rPr>
              <w:t>2.43</w:t>
            </w:r>
          </w:p>
        </w:tc>
        <w:tc>
          <w:tcPr>
            <w:tcW w:w="843" w:type="dxa"/>
            <w:tcBorders>
              <w:top w:val="nil"/>
              <w:left w:val="nil"/>
              <w:bottom w:val="nil"/>
              <w:right w:val="nil"/>
            </w:tcBorders>
          </w:tcPr>
          <w:p>
            <w:pPr>
              <w:pStyle w:val="TableParagraph"/>
              <w:spacing w:before="115"/>
              <w:ind w:right="241"/>
              <w:jc w:val="right"/>
              <w:rPr>
                <w:sz w:val="22"/>
              </w:rPr>
            </w:pPr>
            <w:r>
              <w:rPr>
                <w:sz w:val="22"/>
              </w:rPr>
              <w:t>1.39</w:t>
            </w:r>
          </w:p>
        </w:tc>
        <w:tc>
          <w:tcPr>
            <w:tcW w:w="680" w:type="dxa"/>
            <w:tcBorders>
              <w:top w:val="nil"/>
              <w:left w:val="nil"/>
              <w:bottom w:val="nil"/>
              <w:right w:val="nil"/>
            </w:tcBorders>
          </w:tcPr>
          <w:p>
            <w:pPr>
              <w:pStyle w:val="TableParagraph"/>
              <w:spacing w:before="115"/>
              <w:ind w:left="117" w:right="115"/>
              <w:rPr>
                <w:sz w:val="22"/>
              </w:rPr>
            </w:pPr>
            <w:r>
              <w:rPr>
                <w:sz w:val="22"/>
              </w:rPr>
              <w:t>5.38</w:t>
            </w:r>
          </w:p>
        </w:tc>
        <w:tc>
          <w:tcPr>
            <w:tcW w:w="743" w:type="dxa"/>
            <w:tcBorders>
              <w:top w:val="nil"/>
              <w:left w:val="nil"/>
              <w:bottom w:val="nil"/>
              <w:right w:val="nil"/>
            </w:tcBorders>
          </w:tcPr>
          <w:p>
            <w:pPr>
              <w:pStyle w:val="TableParagraph"/>
              <w:spacing w:before="115"/>
              <w:ind w:left="120" w:right="122"/>
              <w:rPr>
                <w:sz w:val="22"/>
              </w:rPr>
            </w:pPr>
            <w:r>
              <w:rPr>
                <w:sz w:val="22"/>
              </w:rPr>
              <w:t>0.13</w:t>
            </w:r>
          </w:p>
        </w:tc>
        <w:tc>
          <w:tcPr>
            <w:tcW w:w="854" w:type="dxa"/>
            <w:tcBorders>
              <w:top w:val="nil"/>
              <w:left w:val="nil"/>
              <w:bottom w:val="nil"/>
              <w:right w:val="nil"/>
            </w:tcBorders>
          </w:tcPr>
          <w:p>
            <w:pPr>
              <w:pStyle w:val="TableParagraph"/>
              <w:spacing w:before="115"/>
              <w:ind w:left="187" w:right="220"/>
              <w:rPr>
                <w:sz w:val="22"/>
              </w:rPr>
            </w:pPr>
            <w:r>
              <w:rPr>
                <w:sz w:val="22"/>
              </w:rPr>
              <w:t>0.27</w:t>
            </w:r>
          </w:p>
        </w:tc>
        <w:tc>
          <w:tcPr>
            <w:tcW w:w="1081" w:type="dxa"/>
            <w:tcBorders>
              <w:top w:val="nil"/>
              <w:left w:val="nil"/>
              <w:bottom w:val="nil"/>
              <w:right w:val="nil"/>
            </w:tcBorders>
          </w:tcPr>
          <w:p>
            <w:pPr>
              <w:pStyle w:val="TableParagraph"/>
              <w:spacing w:before="115"/>
              <w:ind w:left="281"/>
              <w:jc w:val="left"/>
              <w:rPr>
                <w:sz w:val="22"/>
              </w:rPr>
            </w:pPr>
            <w:r>
              <w:rPr>
                <w:sz w:val="22"/>
              </w:rPr>
              <w:t>0.60</w:t>
            </w:r>
          </w:p>
        </w:tc>
        <w:tc>
          <w:tcPr>
            <w:tcW w:w="1877" w:type="dxa"/>
            <w:tcBorders>
              <w:top w:val="nil"/>
              <w:left w:val="nil"/>
              <w:bottom w:val="nil"/>
              <w:right w:val="nil"/>
            </w:tcBorders>
          </w:tcPr>
          <w:p>
            <w:pPr>
              <w:pStyle w:val="TableParagraph"/>
              <w:spacing w:before="115"/>
              <w:ind w:right="108"/>
              <w:rPr>
                <w:sz w:val="22"/>
              </w:rPr>
            </w:pPr>
            <w:r>
              <w:rPr>
                <w:w w:val="100"/>
                <w:sz w:val="22"/>
              </w:rPr>
              <w:t>1</w:t>
            </w:r>
          </w:p>
        </w:tc>
      </w:tr>
      <w:tr>
        <w:trPr>
          <w:trHeight w:val="505" w:hRule="exact"/>
        </w:trPr>
        <w:tc>
          <w:tcPr>
            <w:tcW w:w="977" w:type="dxa"/>
            <w:tcBorders>
              <w:top w:val="nil"/>
              <w:left w:val="nil"/>
              <w:bottom w:val="nil"/>
              <w:right w:val="nil"/>
            </w:tcBorders>
          </w:tcPr>
          <w:p>
            <w:pPr>
              <w:pStyle w:val="TableParagraph"/>
              <w:spacing w:before="115"/>
              <w:ind w:left="143" w:right="136"/>
              <w:rPr>
                <w:sz w:val="22"/>
              </w:rPr>
            </w:pPr>
            <w:r>
              <w:rPr>
                <w:sz w:val="22"/>
              </w:rPr>
              <w:t>2008 R</w:t>
            </w:r>
          </w:p>
        </w:tc>
        <w:tc>
          <w:tcPr>
            <w:tcW w:w="689" w:type="dxa"/>
            <w:tcBorders>
              <w:top w:val="nil"/>
              <w:left w:val="nil"/>
              <w:bottom w:val="nil"/>
              <w:right w:val="nil"/>
            </w:tcBorders>
          </w:tcPr>
          <w:p>
            <w:pPr>
              <w:pStyle w:val="TableParagraph"/>
              <w:spacing w:before="115"/>
              <w:ind w:left="124" w:right="116"/>
              <w:rPr>
                <w:sz w:val="22"/>
              </w:rPr>
            </w:pPr>
            <w:r>
              <w:rPr>
                <w:sz w:val="22"/>
              </w:rPr>
              <w:t>7.32</w:t>
            </w:r>
          </w:p>
        </w:tc>
        <w:tc>
          <w:tcPr>
            <w:tcW w:w="722" w:type="dxa"/>
            <w:tcBorders>
              <w:top w:val="nil"/>
              <w:left w:val="nil"/>
              <w:bottom w:val="nil"/>
              <w:right w:val="nil"/>
            </w:tcBorders>
          </w:tcPr>
          <w:p>
            <w:pPr>
              <w:pStyle w:val="TableParagraph"/>
              <w:spacing w:before="115"/>
              <w:ind w:left="120" w:right="104"/>
              <w:rPr>
                <w:sz w:val="22"/>
              </w:rPr>
            </w:pPr>
            <w:r>
              <w:rPr>
                <w:sz w:val="22"/>
              </w:rPr>
              <w:t>-1.80</w:t>
            </w:r>
          </w:p>
        </w:tc>
        <w:tc>
          <w:tcPr>
            <w:tcW w:w="730" w:type="dxa"/>
            <w:tcBorders>
              <w:top w:val="nil"/>
              <w:left w:val="nil"/>
              <w:bottom w:val="nil"/>
              <w:right w:val="nil"/>
            </w:tcBorders>
          </w:tcPr>
          <w:p>
            <w:pPr>
              <w:pStyle w:val="TableParagraph"/>
              <w:spacing w:before="115"/>
              <w:ind w:left="132" w:right="151"/>
              <w:rPr>
                <w:sz w:val="22"/>
              </w:rPr>
            </w:pPr>
            <w:r>
              <w:rPr>
                <w:sz w:val="22"/>
              </w:rPr>
              <w:t>9.76</w:t>
            </w:r>
          </w:p>
        </w:tc>
        <w:tc>
          <w:tcPr>
            <w:tcW w:w="843" w:type="dxa"/>
            <w:tcBorders>
              <w:top w:val="nil"/>
              <w:left w:val="nil"/>
              <w:bottom w:val="nil"/>
              <w:right w:val="nil"/>
            </w:tcBorders>
          </w:tcPr>
          <w:p>
            <w:pPr>
              <w:pStyle w:val="TableParagraph"/>
              <w:spacing w:before="115"/>
              <w:ind w:right="207"/>
              <w:jc w:val="right"/>
              <w:rPr>
                <w:sz w:val="22"/>
              </w:rPr>
            </w:pPr>
            <w:r>
              <w:rPr>
                <w:sz w:val="22"/>
              </w:rPr>
              <w:t>-0.93</w:t>
            </w:r>
          </w:p>
        </w:tc>
        <w:tc>
          <w:tcPr>
            <w:tcW w:w="680" w:type="dxa"/>
            <w:tcBorders>
              <w:top w:val="nil"/>
              <w:left w:val="nil"/>
              <w:bottom w:val="nil"/>
              <w:right w:val="nil"/>
            </w:tcBorders>
          </w:tcPr>
          <w:p>
            <w:pPr>
              <w:pStyle w:val="TableParagraph"/>
              <w:spacing w:before="115"/>
              <w:ind w:left="117" w:right="115"/>
              <w:rPr>
                <w:sz w:val="22"/>
              </w:rPr>
            </w:pPr>
            <w:r>
              <w:rPr>
                <w:sz w:val="22"/>
              </w:rPr>
              <w:t>7.32</w:t>
            </w:r>
          </w:p>
        </w:tc>
        <w:tc>
          <w:tcPr>
            <w:tcW w:w="743" w:type="dxa"/>
            <w:tcBorders>
              <w:top w:val="nil"/>
              <w:left w:val="nil"/>
              <w:bottom w:val="nil"/>
              <w:right w:val="nil"/>
            </w:tcBorders>
          </w:tcPr>
          <w:p>
            <w:pPr>
              <w:pStyle w:val="TableParagraph"/>
              <w:spacing w:before="115"/>
              <w:ind w:left="120" w:right="124"/>
              <w:rPr>
                <w:sz w:val="22"/>
              </w:rPr>
            </w:pPr>
            <w:r>
              <w:rPr>
                <w:sz w:val="22"/>
              </w:rPr>
              <w:t>-0.40</w:t>
            </w:r>
          </w:p>
        </w:tc>
        <w:tc>
          <w:tcPr>
            <w:tcW w:w="854" w:type="dxa"/>
            <w:tcBorders>
              <w:top w:val="nil"/>
              <w:left w:val="nil"/>
              <w:bottom w:val="nil"/>
              <w:right w:val="nil"/>
            </w:tcBorders>
          </w:tcPr>
          <w:p>
            <w:pPr>
              <w:pStyle w:val="TableParagraph"/>
              <w:spacing w:before="115"/>
              <w:ind w:left="187" w:right="220"/>
              <w:rPr>
                <w:sz w:val="22"/>
              </w:rPr>
            </w:pPr>
            <w:r>
              <w:rPr>
                <w:sz w:val="22"/>
              </w:rPr>
              <w:t>0.49</w:t>
            </w:r>
          </w:p>
        </w:tc>
        <w:tc>
          <w:tcPr>
            <w:tcW w:w="1081" w:type="dxa"/>
            <w:tcBorders>
              <w:top w:val="nil"/>
              <w:left w:val="nil"/>
              <w:bottom w:val="nil"/>
              <w:right w:val="nil"/>
            </w:tcBorders>
          </w:tcPr>
          <w:p>
            <w:pPr>
              <w:pStyle w:val="TableParagraph"/>
              <w:spacing w:before="115"/>
              <w:ind w:left="245"/>
              <w:jc w:val="left"/>
              <w:rPr>
                <w:sz w:val="22"/>
              </w:rPr>
            </w:pPr>
            <w:r>
              <w:rPr>
                <w:sz w:val="22"/>
              </w:rPr>
              <w:t>-0.80</w:t>
            </w:r>
          </w:p>
        </w:tc>
        <w:tc>
          <w:tcPr>
            <w:tcW w:w="1877" w:type="dxa"/>
            <w:tcBorders>
              <w:top w:val="nil"/>
              <w:left w:val="nil"/>
              <w:bottom w:val="nil"/>
              <w:right w:val="nil"/>
            </w:tcBorders>
          </w:tcPr>
          <w:p>
            <w:pPr>
              <w:pStyle w:val="TableParagraph"/>
              <w:spacing w:before="115"/>
              <w:ind w:left="617" w:right="724"/>
              <w:rPr>
                <w:sz w:val="22"/>
              </w:rPr>
            </w:pPr>
            <w:r>
              <w:rPr>
                <w:sz w:val="22"/>
              </w:rPr>
              <w:t>217.5</w:t>
            </w:r>
          </w:p>
        </w:tc>
      </w:tr>
      <w:tr>
        <w:trPr>
          <w:trHeight w:val="505" w:hRule="exact"/>
        </w:trPr>
        <w:tc>
          <w:tcPr>
            <w:tcW w:w="977" w:type="dxa"/>
            <w:tcBorders>
              <w:top w:val="nil"/>
              <w:left w:val="nil"/>
              <w:bottom w:val="nil"/>
              <w:right w:val="nil"/>
            </w:tcBorders>
          </w:tcPr>
          <w:p>
            <w:pPr>
              <w:pStyle w:val="TableParagraph"/>
              <w:spacing w:before="114"/>
              <w:ind w:left="146" w:right="136"/>
              <w:rPr>
                <w:sz w:val="22"/>
              </w:rPr>
            </w:pPr>
            <w:r>
              <w:rPr>
                <w:sz w:val="22"/>
              </w:rPr>
              <w:t>2009 D</w:t>
            </w:r>
          </w:p>
        </w:tc>
        <w:tc>
          <w:tcPr>
            <w:tcW w:w="689" w:type="dxa"/>
            <w:tcBorders>
              <w:top w:val="nil"/>
              <w:left w:val="nil"/>
              <w:bottom w:val="nil"/>
              <w:right w:val="nil"/>
            </w:tcBorders>
          </w:tcPr>
          <w:p>
            <w:pPr>
              <w:pStyle w:val="TableParagraph"/>
              <w:spacing w:before="114"/>
              <w:ind w:left="124" w:right="116"/>
              <w:rPr>
                <w:sz w:val="22"/>
              </w:rPr>
            </w:pPr>
            <w:r>
              <w:rPr>
                <w:sz w:val="22"/>
              </w:rPr>
              <w:t>1.21</w:t>
            </w:r>
          </w:p>
        </w:tc>
        <w:tc>
          <w:tcPr>
            <w:tcW w:w="722" w:type="dxa"/>
            <w:tcBorders>
              <w:top w:val="nil"/>
              <w:left w:val="nil"/>
              <w:bottom w:val="nil"/>
              <w:right w:val="nil"/>
            </w:tcBorders>
          </w:tcPr>
          <w:p>
            <w:pPr>
              <w:pStyle w:val="TableParagraph"/>
              <w:spacing w:before="114"/>
              <w:ind w:left="120" w:right="102"/>
              <w:rPr>
                <w:sz w:val="22"/>
              </w:rPr>
            </w:pPr>
            <w:r>
              <w:rPr>
                <w:sz w:val="22"/>
              </w:rPr>
              <w:t>0.85</w:t>
            </w:r>
          </w:p>
        </w:tc>
        <w:tc>
          <w:tcPr>
            <w:tcW w:w="730" w:type="dxa"/>
            <w:tcBorders>
              <w:top w:val="nil"/>
              <w:left w:val="nil"/>
              <w:bottom w:val="nil"/>
              <w:right w:val="nil"/>
            </w:tcBorders>
          </w:tcPr>
          <w:p>
            <w:pPr>
              <w:pStyle w:val="TableParagraph"/>
              <w:spacing w:before="114"/>
              <w:ind w:left="132" w:right="151"/>
              <w:rPr>
                <w:sz w:val="22"/>
              </w:rPr>
            </w:pPr>
            <w:r>
              <w:rPr>
                <w:sz w:val="22"/>
              </w:rPr>
              <w:t>3.86</w:t>
            </w:r>
          </w:p>
        </w:tc>
        <w:tc>
          <w:tcPr>
            <w:tcW w:w="843" w:type="dxa"/>
            <w:tcBorders>
              <w:top w:val="nil"/>
              <w:left w:val="nil"/>
              <w:bottom w:val="nil"/>
              <w:right w:val="nil"/>
            </w:tcBorders>
          </w:tcPr>
          <w:p>
            <w:pPr>
              <w:pStyle w:val="TableParagraph"/>
              <w:spacing w:before="114"/>
              <w:ind w:right="241"/>
              <w:jc w:val="right"/>
              <w:rPr>
                <w:sz w:val="22"/>
              </w:rPr>
            </w:pPr>
            <w:r>
              <w:rPr>
                <w:sz w:val="22"/>
              </w:rPr>
              <w:t>0.24</w:t>
            </w:r>
          </w:p>
        </w:tc>
        <w:tc>
          <w:tcPr>
            <w:tcW w:w="680" w:type="dxa"/>
            <w:tcBorders>
              <w:top w:val="nil"/>
              <w:left w:val="nil"/>
              <w:bottom w:val="nil"/>
              <w:right w:val="nil"/>
            </w:tcBorders>
          </w:tcPr>
          <w:p>
            <w:pPr>
              <w:pStyle w:val="TableParagraph"/>
              <w:spacing w:before="114"/>
              <w:ind w:left="117" w:right="115"/>
              <w:rPr>
                <w:sz w:val="22"/>
              </w:rPr>
            </w:pPr>
            <w:r>
              <w:rPr>
                <w:sz w:val="22"/>
              </w:rPr>
              <w:t>4.91</w:t>
            </w:r>
          </w:p>
        </w:tc>
        <w:tc>
          <w:tcPr>
            <w:tcW w:w="743" w:type="dxa"/>
            <w:tcBorders>
              <w:top w:val="nil"/>
              <w:left w:val="nil"/>
              <w:bottom w:val="nil"/>
              <w:right w:val="nil"/>
            </w:tcBorders>
          </w:tcPr>
          <w:p>
            <w:pPr>
              <w:pStyle w:val="TableParagraph"/>
              <w:spacing w:before="114"/>
              <w:ind w:left="120" w:right="122"/>
              <w:rPr>
                <w:sz w:val="22"/>
              </w:rPr>
            </w:pPr>
            <w:r>
              <w:rPr>
                <w:sz w:val="22"/>
              </w:rPr>
              <w:t>0.05</w:t>
            </w:r>
          </w:p>
        </w:tc>
        <w:tc>
          <w:tcPr>
            <w:tcW w:w="854" w:type="dxa"/>
            <w:tcBorders>
              <w:top w:val="nil"/>
              <w:left w:val="nil"/>
              <w:bottom w:val="nil"/>
              <w:right w:val="nil"/>
            </w:tcBorders>
          </w:tcPr>
          <w:p>
            <w:pPr>
              <w:pStyle w:val="TableParagraph"/>
              <w:spacing w:before="114"/>
              <w:ind w:left="187" w:right="220"/>
              <w:rPr>
                <w:sz w:val="22"/>
              </w:rPr>
            </w:pPr>
            <w:r>
              <w:rPr>
                <w:sz w:val="22"/>
              </w:rPr>
              <w:t>0.22</w:t>
            </w:r>
          </w:p>
        </w:tc>
        <w:tc>
          <w:tcPr>
            <w:tcW w:w="1081" w:type="dxa"/>
            <w:tcBorders>
              <w:top w:val="nil"/>
              <w:left w:val="nil"/>
              <w:bottom w:val="nil"/>
              <w:right w:val="nil"/>
            </w:tcBorders>
          </w:tcPr>
          <w:p>
            <w:pPr>
              <w:pStyle w:val="TableParagraph"/>
              <w:spacing w:before="114"/>
              <w:ind w:left="281"/>
              <w:jc w:val="left"/>
              <w:rPr>
                <w:sz w:val="22"/>
              </w:rPr>
            </w:pPr>
            <w:r>
              <w:rPr>
                <w:sz w:val="22"/>
              </w:rPr>
              <w:t>0.13</w:t>
            </w:r>
          </w:p>
        </w:tc>
        <w:tc>
          <w:tcPr>
            <w:tcW w:w="1877" w:type="dxa"/>
            <w:tcBorders>
              <w:top w:val="nil"/>
              <w:left w:val="nil"/>
              <w:bottom w:val="nil"/>
              <w:right w:val="nil"/>
            </w:tcBorders>
          </w:tcPr>
          <w:p>
            <w:pPr>
              <w:pStyle w:val="TableParagraph"/>
              <w:spacing w:before="114"/>
              <w:ind w:left="617" w:right="724"/>
              <w:rPr>
                <w:sz w:val="22"/>
              </w:rPr>
            </w:pPr>
            <w:r>
              <w:rPr>
                <w:sz w:val="22"/>
              </w:rPr>
              <w:t>18.3</w:t>
            </w:r>
          </w:p>
        </w:tc>
      </w:tr>
      <w:tr>
        <w:trPr>
          <w:trHeight w:val="642" w:hRule="exact"/>
        </w:trPr>
        <w:tc>
          <w:tcPr>
            <w:tcW w:w="977" w:type="dxa"/>
            <w:tcBorders>
              <w:top w:val="nil"/>
              <w:left w:val="nil"/>
              <w:right w:val="nil"/>
            </w:tcBorders>
          </w:tcPr>
          <w:p>
            <w:pPr>
              <w:pStyle w:val="TableParagraph"/>
              <w:spacing w:before="115"/>
              <w:ind w:left="143" w:right="136"/>
              <w:rPr>
                <w:sz w:val="22"/>
              </w:rPr>
            </w:pPr>
            <w:r>
              <w:rPr>
                <w:sz w:val="22"/>
              </w:rPr>
              <w:t>2009 R</w:t>
            </w:r>
          </w:p>
        </w:tc>
        <w:tc>
          <w:tcPr>
            <w:tcW w:w="689" w:type="dxa"/>
            <w:tcBorders>
              <w:top w:val="nil"/>
              <w:left w:val="nil"/>
              <w:right w:val="nil"/>
            </w:tcBorders>
          </w:tcPr>
          <w:p>
            <w:pPr>
              <w:pStyle w:val="TableParagraph"/>
              <w:spacing w:before="115"/>
              <w:ind w:left="124" w:right="116"/>
              <w:rPr>
                <w:sz w:val="22"/>
              </w:rPr>
            </w:pPr>
            <w:r>
              <w:rPr>
                <w:sz w:val="22"/>
              </w:rPr>
              <w:t>2.82</w:t>
            </w:r>
          </w:p>
        </w:tc>
        <w:tc>
          <w:tcPr>
            <w:tcW w:w="722" w:type="dxa"/>
            <w:tcBorders>
              <w:top w:val="nil"/>
              <w:left w:val="nil"/>
              <w:right w:val="nil"/>
            </w:tcBorders>
          </w:tcPr>
          <w:p>
            <w:pPr>
              <w:pStyle w:val="TableParagraph"/>
              <w:spacing w:before="115"/>
              <w:ind w:left="120" w:right="104"/>
              <w:rPr>
                <w:sz w:val="22"/>
              </w:rPr>
            </w:pPr>
            <w:r>
              <w:rPr>
                <w:sz w:val="22"/>
              </w:rPr>
              <w:t>-1.77</w:t>
            </w:r>
          </w:p>
        </w:tc>
        <w:tc>
          <w:tcPr>
            <w:tcW w:w="730" w:type="dxa"/>
            <w:tcBorders>
              <w:top w:val="nil"/>
              <w:left w:val="nil"/>
              <w:right w:val="nil"/>
            </w:tcBorders>
          </w:tcPr>
          <w:p>
            <w:pPr>
              <w:pStyle w:val="TableParagraph"/>
              <w:spacing w:before="115"/>
              <w:ind w:left="132" w:right="151"/>
              <w:rPr>
                <w:sz w:val="22"/>
              </w:rPr>
            </w:pPr>
            <w:r>
              <w:rPr>
                <w:sz w:val="22"/>
              </w:rPr>
              <w:t>4.92</w:t>
            </w:r>
          </w:p>
        </w:tc>
        <w:tc>
          <w:tcPr>
            <w:tcW w:w="843" w:type="dxa"/>
            <w:tcBorders>
              <w:top w:val="nil"/>
              <w:left w:val="nil"/>
              <w:right w:val="nil"/>
            </w:tcBorders>
          </w:tcPr>
          <w:p>
            <w:pPr>
              <w:pStyle w:val="TableParagraph"/>
              <w:spacing w:before="115"/>
              <w:ind w:right="207"/>
              <w:jc w:val="right"/>
              <w:rPr>
                <w:sz w:val="22"/>
              </w:rPr>
            </w:pPr>
            <w:r>
              <w:rPr>
                <w:sz w:val="22"/>
              </w:rPr>
              <w:t>-0.37</w:t>
            </w:r>
          </w:p>
        </w:tc>
        <w:tc>
          <w:tcPr>
            <w:tcW w:w="680" w:type="dxa"/>
            <w:tcBorders>
              <w:top w:val="nil"/>
              <w:left w:val="nil"/>
              <w:right w:val="nil"/>
            </w:tcBorders>
          </w:tcPr>
          <w:p>
            <w:pPr>
              <w:pStyle w:val="TableParagraph"/>
              <w:spacing w:before="115"/>
              <w:ind w:left="117" w:right="115"/>
              <w:rPr>
                <w:sz w:val="22"/>
              </w:rPr>
            </w:pPr>
            <w:r>
              <w:rPr>
                <w:sz w:val="22"/>
              </w:rPr>
              <w:t>5.16</w:t>
            </w:r>
          </w:p>
        </w:tc>
        <w:tc>
          <w:tcPr>
            <w:tcW w:w="743" w:type="dxa"/>
            <w:tcBorders>
              <w:top w:val="nil"/>
              <w:left w:val="nil"/>
              <w:right w:val="nil"/>
            </w:tcBorders>
          </w:tcPr>
          <w:p>
            <w:pPr>
              <w:pStyle w:val="TableParagraph"/>
              <w:spacing w:before="115"/>
              <w:ind w:left="120" w:right="122"/>
              <w:rPr>
                <w:sz w:val="22"/>
              </w:rPr>
            </w:pPr>
            <w:r>
              <w:rPr>
                <w:sz w:val="22"/>
              </w:rPr>
              <w:t>0.07</w:t>
            </w:r>
          </w:p>
        </w:tc>
        <w:tc>
          <w:tcPr>
            <w:tcW w:w="854" w:type="dxa"/>
            <w:tcBorders>
              <w:top w:val="nil"/>
              <w:left w:val="nil"/>
              <w:right w:val="nil"/>
            </w:tcBorders>
          </w:tcPr>
          <w:p>
            <w:pPr>
              <w:pStyle w:val="TableParagraph"/>
              <w:spacing w:before="115"/>
              <w:ind w:left="187" w:right="220"/>
              <w:rPr>
                <w:sz w:val="22"/>
              </w:rPr>
            </w:pPr>
            <w:r>
              <w:rPr>
                <w:sz w:val="22"/>
              </w:rPr>
              <w:t>0.25</w:t>
            </w:r>
          </w:p>
        </w:tc>
        <w:tc>
          <w:tcPr>
            <w:tcW w:w="1081" w:type="dxa"/>
            <w:tcBorders>
              <w:top w:val="nil"/>
              <w:left w:val="nil"/>
              <w:right w:val="nil"/>
            </w:tcBorders>
          </w:tcPr>
          <w:p>
            <w:pPr>
              <w:pStyle w:val="TableParagraph"/>
              <w:spacing w:before="115"/>
              <w:ind w:left="281"/>
              <w:jc w:val="left"/>
              <w:rPr>
                <w:sz w:val="22"/>
              </w:rPr>
            </w:pPr>
            <w:r>
              <w:rPr>
                <w:sz w:val="22"/>
              </w:rPr>
              <w:t>1.58</w:t>
            </w:r>
          </w:p>
        </w:tc>
        <w:tc>
          <w:tcPr>
            <w:tcW w:w="1877" w:type="dxa"/>
            <w:tcBorders>
              <w:top w:val="nil"/>
              <w:left w:val="nil"/>
              <w:right w:val="nil"/>
            </w:tcBorders>
          </w:tcPr>
          <w:p>
            <w:pPr>
              <w:pStyle w:val="TableParagraph"/>
              <w:spacing w:before="115"/>
              <w:ind w:left="617" w:right="724"/>
              <w:rPr>
                <w:sz w:val="22"/>
              </w:rPr>
            </w:pPr>
            <w:r>
              <w:rPr>
                <w:sz w:val="22"/>
              </w:rPr>
              <w:t>137.4</w:t>
            </w:r>
          </w:p>
        </w:tc>
      </w:tr>
    </w:tbl>
    <w:p>
      <w:pPr>
        <w:pStyle w:val="BodyText"/>
        <w:spacing w:before="3"/>
        <w:rPr>
          <w:sz w:val="17"/>
        </w:rPr>
      </w:pPr>
    </w:p>
    <w:p>
      <w:pPr>
        <w:pStyle w:val="BodyText"/>
        <w:spacing w:line="472" w:lineRule="auto" w:before="69"/>
        <w:ind w:left="302" w:right="413" w:firstLine="707"/>
      </w:pPr>
      <w:r>
        <w:rPr/>
        <w:t>The first full model regression multiple analysis, account for 98% of the variability in the </w:t>
      </w:r>
      <w:r>
        <w:rPr>
          <w:i/>
        </w:rPr>
        <w:t>pgr </w:t>
      </w:r>
      <w:r>
        <w:rPr/>
        <w:t>for cougar (Table 6.1), this show than cougar </w:t>
      </w:r>
      <w:r>
        <w:rPr>
          <w:i/>
        </w:rPr>
        <w:t>pgr </w:t>
      </w:r>
      <w:r>
        <w:rPr/>
        <w:t>across seasons (from time </w:t>
      </w:r>
      <w:r>
        <w:rPr>
          <w:i/>
        </w:rPr>
        <w:t>t </w:t>
      </w:r>
      <w:r>
        <w:rPr/>
        <w:t>to </w:t>
      </w:r>
      <w:r>
        <w:rPr>
          <w:i/>
        </w:rPr>
        <w:t>t</w:t>
      </w:r>
      <w:r>
        <w:rPr/>
        <w:t>+1) was significantly affected by RAI (LN) of cougar, coati and armadillo (R</w:t>
      </w:r>
      <w:r>
        <w:rPr>
          <w:position w:val="11"/>
          <w:sz w:val="16"/>
        </w:rPr>
        <w:t>2</w:t>
      </w:r>
      <w:r>
        <w:rPr/>
        <w:t>=98.06; p=0.0046; n=9; Table 2.4). The RAI (LN) of cougar showed negative intraspecific feedback, this suggest that exist competition intraspecific, while increasing the number of</w:t>
      </w:r>
    </w:p>
    <w:p>
      <w:pPr>
        <w:pStyle w:val="BodyText"/>
        <w:spacing w:line="480" w:lineRule="auto" w:before="18"/>
        <w:ind w:left="302" w:right="767"/>
        <w:rPr>
          <w:i/>
        </w:rPr>
      </w:pPr>
      <w:r>
        <w:rPr/>
        <w:t>cougars decreased their </w:t>
      </w:r>
      <w:r>
        <w:rPr>
          <w:i/>
        </w:rPr>
        <w:t>pgr. </w:t>
      </w:r>
      <w:r>
        <w:rPr/>
        <w:t>There were positive effects of prey species (coati and armadillo) on the </w:t>
      </w:r>
      <w:r>
        <w:rPr>
          <w:i/>
        </w:rPr>
        <w:t>pgr </w:t>
      </w:r>
      <w:r>
        <w:rPr/>
        <w:t>of predator. While increased the RAI (LN) of both prey their </w:t>
      </w:r>
      <w:r>
        <w:rPr>
          <w:i/>
        </w:rPr>
        <w:t>pgr</w:t>
      </w:r>
    </w:p>
    <w:p>
      <w:pPr>
        <w:spacing w:after="0" w:line="480" w:lineRule="auto"/>
        <w:sectPr>
          <w:pgSz w:w="12240" w:h="15840"/>
          <w:pgMar w:header="740" w:footer="779" w:top="960" w:bottom="960" w:left="1400" w:right="1420"/>
        </w:sectPr>
      </w:pPr>
    </w:p>
    <w:p>
      <w:pPr>
        <w:pStyle w:val="BodyText"/>
        <w:rPr>
          <w:i/>
          <w:sz w:val="20"/>
        </w:rPr>
      </w:pPr>
    </w:p>
    <w:p>
      <w:pPr>
        <w:pStyle w:val="BodyText"/>
        <w:spacing w:before="9"/>
        <w:rPr>
          <w:i/>
          <w:sz w:val="18"/>
        </w:rPr>
      </w:pPr>
    </w:p>
    <w:p>
      <w:pPr>
        <w:pStyle w:val="BodyText"/>
        <w:spacing w:line="480" w:lineRule="auto"/>
        <w:ind w:left="102" w:right="86"/>
        <w:rPr>
          <w:i/>
        </w:rPr>
      </w:pPr>
      <w:r>
        <w:rPr/>
        <w:t>increased too, this indicate a probably buttom-up control (Figure 6.1). In this model was not included white tailed deer, because this did not show any significant relationship with the predator </w:t>
      </w:r>
      <w:r>
        <w:rPr>
          <w:i/>
        </w:rPr>
        <w:t>pgr.</w:t>
      </w:r>
    </w:p>
    <w:p>
      <w:pPr>
        <w:pStyle w:val="BodyText"/>
        <w:rPr>
          <w:i/>
          <w:sz w:val="20"/>
        </w:rPr>
      </w:pPr>
    </w:p>
    <w:p>
      <w:pPr>
        <w:pStyle w:val="BodyText"/>
        <w:rPr>
          <w:i/>
          <w:sz w:val="20"/>
        </w:rPr>
      </w:pPr>
    </w:p>
    <w:p>
      <w:pPr>
        <w:pStyle w:val="BodyText"/>
        <w:rPr>
          <w:i/>
          <w:sz w:val="17"/>
        </w:rPr>
      </w:pPr>
      <w:r>
        <w:rPr/>
        <w:drawing>
          <wp:anchor distT="0" distB="0" distL="0" distR="0" allowOverlap="1" layoutInCell="1" locked="0" behindDoc="0" simplePos="0" relativeHeight="1216">
            <wp:simplePos x="0" y="0"/>
            <wp:positionH relativeFrom="page">
              <wp:posOffset>3293574</wp:posOffset>
            </wp:positionH>
            <wp:positionV relativeFrom="paragraph">
              <wp:posOffset>154410</wp:posOffset>
            </wp:positionV>
            <wp:extent cx="266717" cy="82581"/>
            <wp:effectExtent l="0" t="0" r="0" b="0"/>
            <wp:wrapTopAndBottom/>
            <wp:docPr id="49" name="image27.png" descr=""/>
            <wp:cNvGraphicFramePr>
              <a:graphicFrameLocks noChangeAspect="1"/>
            </wp:cNvGraphicFramePr>
            <a:graphic>
              <a:graphicData uri="http://schemas.openxmlformats.org/drawingml/2006/picture">
                <pic:pic>
                  <pic:nvPicPr>
                    <pic:cNvPr id="50" name="image27.png"/>
                    <pic:cNvPicPr/>
                  </pic:nvPicPr>
                  <pic:blipFill>
                    <a:blip r:embed="rId41" cstate="print"/>
                    <a:stretch>
                      <a:fillRect/>
                    </a:stretch>
                  </pic:blipFill>
                  <pic:spPr>
                    <a:xfrm>
                      <a:off x="0" y="0"/>
                      <a:ext cx="266717" cy="82581"/>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3606999</wp:posOffset>
            </wp:positionH>
            <wp:positionV relativeFrom="paragraph">
              <wp:posOffset>149094</wp:posOffset>
            </wp:positionV>
            <wp:extent cx="552682" cy="142875"/>
            <wp:effectExtent l="0" t="0" r="0" b="0"/>
            <wp:wrapTopAndBottom/>
            <wp:docPr id="51" name="image28.png" descr=""/>
            <wp:cNvGraphicFramePr>
              <a:graphicFrameLocks noChangeAspect="1"/>
            </wp:cNvGraphicFramePr>
            <a:graphic>
              <a:graphicData uri="http://schemas.openxmlformats.org/drawingml/2006/picture">
                <pic:pic>
                  <pic:nvPicPr>
                    <pic:cNvPr id="52" name="image28.png"/>
                    <pic:cNvPicPr/>
                  </pic:nvPicPr>
                  <pic:blipFill>
                    <a:blip r:embed="rId42" cstate="print"/>
                    <a:stretch>
                      <a:fillRect/>
                    </a:stretch>
                  </pic:blipFill>
                  <pic:spPr>
                    <a:xfrm>
                      <a:off x="0" y="0"/>
                      <a:ext cx="552682" cy="142875"/>
                    </a:xfrm>
                    <a:prstGeom prst="rect">
                      <a:avLst/>
                    </a:prstGeom>
                  </pic:spPr>
                </pic:pic>
              </a:graphicData>
            </a:graphic>
          </wp:anchor>
        </w:drawing>
      </w:r>
    </w:p>
    <w:p>
      <w:pPr>
        <w:pStyle w:val="BodyText"/>
        <w:spacing w:before="8"/>
        <w:rPr>
          <w:i/>
          <w:sz w:val="5"/>
        </w:rPr>
      </w:pPr>
    </w:p>
    <w:p>
      <w:pPr>
        <w:pStyle w:val="BodyText"/>
        <w:ind w:left="925"/>
        <w:rPr>
          <w:sz w:val="20"/>
        </w:rPr>
      </w:pPr>
      <w:r>
        <w:rPr>
          <w:sz w:val="20"/>
        </w:rPr>
        <w:drawing>
          <wp:inline distT="0" distB="0" distL="0" distR="0">
            <wp:extent cx="4389955" cy="3471862"/>
            <wp:effectExtent l="0" t="0" r="0" b="0"/>
            <wp:docPr id="53" name="image29.png" descr=""/>
            <wp:cNvGraphicFramePr>
              <a:graphicFrameLocks noChangeAspect="1"/>
            </wp:cNvGraphicFramePr>
            <a:graphic>
              <a:graphicData uri="http://schemas.openxmlformats.org/drawingml/2006/picture">
                <pic:pic>
                  <pic:nvPicPr>
                    <pic:cNvPr id="54" name="image29.png"/>
                    <pic:cNvPicPr/>
                  </pic:nvPicPr>
                  <pic:blipFill>
                    <a:blip r:embed="rId43" cstate="print"/>
                    <a:stretch>
                      <a:fillRect/>
                    </a:stretch>
                  </pic:blipFill>
                  <pic:spPr>
                    <a:xfrm>
                      <a:off x="0" y="0"/>
                      <a:ext cx="4389955" cy="3471862"/>
                    </a:xfrm>
                    <a:prstGeom prst="rect">
                      <a:avLst/>
                    </a:prstGeom>
                  </pic:spPr>
                </pic:pic>
              </a:graphicData>
            </a:graphic>
          </wp:inline>
        </w:drawing>
      </w:r>
      <w:r>
        <w:rPr>
          <w:sz w:val="20"/>
        </w:rPr>
      </w:r>
    </w:p>
    <w:p>
      <w:pPr>
        <w:pStyle w:val="BodyText"/>
        <w:rPr>
          <w:i/>
        </w:rPr>
      </w:pPr>
    </w:p>
    <w:p>
      <w:pPr>
        <w:pStyle w:val="BodyText"/>
        <w:spacing w:before="5"/>
        <w:rPr>
          <w:i/>
          <w:sz w:val="21"/>
        </w:rPr>
      </w:pPr>
    </w:p>
    <w:p>
      <w:pPr>
        <w:pStyle w:val="BodyText"/>
        <w:spacing w:line="480" w:lineRule="auto"/>
        <w:ind w:left="241" w:right="238" w:firstLine="1"/>
        <w:jc w:val="center"/>
      </w:pPr>
      <w:bookmarkStart w:name="_bookmark37" w:id="44"/>
      <w:bookmarkEnd w:id="44"/>
      <w:r>
        <w:rPr/>
      </w:r>
      <w:r>
        <w:rPr/>
        <w:t>Figure 6.1: Positive impacts of </w:t>
      </w:r>
      <w:r>
        <w:rPr>
          <w:i/>
        </w:rPr>
        <w:t>D. novemcinctus </w:t>
      </w:r>
      <w:r>
        <w:rPr/>
        <w:t>and </w:t>
      </w:r>
      <w:r>
        <w:rPr>
          <w:i/>
        </w:rPr>
        <w:t>N. narica </w:t>
      </w:r>
      <w:r>
        <w:rPr/>
        <w:t>RAI on the change in </w:t>
      </w:r>
      <w:r>
        <w:rPr>
          <w:i/>
        </w:rPr>
        <w:t>P. </w:t>
      </w:r>
      <w:r>
        <w:rPr>
          <w:i/>
        </w:rPr>
        <w:t>concolor pgr </w:t>
      </w:r>
      <w:r>
        <w:rPr/>
        <w:t>over time (across wet and dry seasons, 2004-2009), illustrating bottom-up control at the apex of SNNR food web. Plotted results are based on the mean </w:t>
      </w:r>
      <w:r>
        <w:rPr>
          <w:i/>
        </w:rPr>
        <w:t>P. concolor </w:t>
      </w:r>
      <w:r>
        <w:rPr>
          <w:i/>
        </w:rPr>
        <w:t>pgr </w:t>
      </w:r>
      <w:r>
        <w:rPr/>
        <w:t>mean and the minimum and maximum prey RAI recorded.</w:t>
      </w:r>
    </w:p>
    <w:p>
      <w:pPr>
        <w:pStyle w:val="BodyText"/>
      </w:pPr>
    </w:p>
    <w:p>
      <w:pPr>
        <w:pStyle w:val="BodyText"/>
        <w:spacing w:before="10"/>
      </w:pPr>
    </w:p>
    <w:p>
      <w:pPr>
        <w:pStyle w:val="BodyText"/>
        <w:spacing w:line="480" w:lineRule="auto" w:before="1"/>
        <w:ind w:left="102" w:right="139" w:firstLine="707"/>
      </w:pPr>
      <w:r>
        <w:rPr/>
        <w:t>In other hand, the results for the prey community were less clear, the models of regression multiple analysis show than the RAI (LN) of cougar</w:t>
      </w:r>
      <w:r>
        <w:rPr>
          <w:i/>
        </w:rPr>
        <w:t>, </w:t>
      </w:r>
      <w:r>
        <w:rPr/>
        <w:t>not has a significant effect on the </w:t>
      </w:r>
      <w:r>
        <w:rPr>
          <w:i/>
        </w:rPr>
        <w:t>pgr </w:t>
      </w:r>
      <w:r>
        <w:rPr/>
        <w:t>of the main prey. For armadillo</w:t>
      </w:r>
      <w:r>
        <w:rPr>
          <w:i/>
        </w:rPr>
        <w:t>, </w:t>
      </w:r>
      <w:r>
        <w:rPr/>
        <w:t>the full regression multiple analysis model have</w:t>
      </w:r>
    </w:p>
    <w:p>
      <w:pPr>
        <w:spacing w:after="0" w:line="480" w:lineRule="auto"/>
        <w:sectPr>
          <w:pgSz w:w="12240" w:h="15840"/>
          <w:pgMar w:header="740" w:footer="779" w:top="960" w:bottom="960" w:left="1600" w:right="1600"/>
        </w:sectPr>
      </w:pPr>
    </w:p>
    <w:p>
      <w:pPr>
        <w:pStyle w:val="BodyText"/>
        <w:spacing w:before="8"/>
        <w:rPr>
          <w:sz w:val="28"/>
        </w:rPr>
      </w:pPr>
    </w:p>
    <w:p>
      <w:pPr>
        <w:pStyle w:val="BodyText"/>
        <w:spacing w:line="470" w:lineRule="auto" w:before="81"/>
        <w:ind w:left="102" w:right="152"/>
      </w:pPr>
      <w:r>
        <w:rPr/>
        <w:t>R</w:t>
      </w:r>
      <w:r>
        <w:rPr>
          <w:position w:val="11"/>
          <w:sz w:val="16"/>
        </w:rPr>
        <w:t>2</w:t>
      </w:r>
      <w:r>
        <w:rPr/>
        <w:t>=36.52 but not significant p=0.48, with n=9, for coati the full model have R</w:t>
      </w:r>
      <w:r>
        <w:rPr>
          <w:position w:val="11"/>
          <w:sz w:val="16"/>
        </w:rPr>
        <w:t>2</w:t>
      </w:r>
      <w:r>
        <w:rPr/>
        <w:t>=43.62, p=0.23, n=11 and for white tailed deer R</w:t>
      </w:r>
      <w:r>
        <w:rPr>
          <w:position w:val="11"/>
          <w:sz w:val="16"/>
        </w:rPr>
        <w:t>2</w:t>
      </w:r>
      <w:r>
        <w:rPr/>
        <w:t>=60.51, p=0.07 and n=11, these results not support a control top-down. Likewise, there was no evidence significant of either intraspecific competition or environmental effects on prey species’ </w:t>
      </w:r>
      <w:r>
        <w:rPr>
          <w:i/>
        </w:rPr>
        <w:t>pgr</w:t>
      </w:r>
      <w:r>
        <w:rPr/>
        <w:t>s (Table 6.2). Taken</w:t>
      </w:r>
    </w:p>
    <w:p>
      <w:pPr>
        <w:pStyle w:val="BodyText"/>
        <w:spacing w:line="480" w:lineRule="auto" w:before="21"/>
        <w:ind w:left="102" w:right="625"/>
        <w:jc w:val="both"/>
      </w:pPr>
      <w:r>
        <w:rPr/>
        <w:t>together, these results support bottom-up control of this component of the food web in SNNR, with prey species limiting changes in the top predator RAI, but no effect in the opposite direction.</w:t>
      </w:r>
    </w:p>
    <w:p>
      <w:pPr>
        <w:spacing w:after="0" w:line="480" w:lineRule="auto"/>
        <w:jc w:val="both"/>
        <w:sectPr>
          <w:pgSz w:w="12240" w:h="15840"/>
          <w:pgMar w:header="740" w:footer="779" w:top="960" w:bottom="960" w:left="1600" w:right="1600"/>
        </w:sectPr>
      </w:pPr>
    </w:p>
    <w:p>
      <w:pPr>
        <w:pStyle w:val="BodyText"/>
        <w:rPr>
          <w:sz w:val="20"/>
        </w:rPr>
      </w:pPr>
    </w:p>
    <w:p>
      <w:pPr>
        <w:pStyle w:val="BodyText"/>
        <w:rPr>
          <w:sz w:val="19"/>
        </w:rPr>
      </w:pPr>
    </w:p>
    <w:p>
      <w:pPr>
        <w:pStyle w:val="BodyText"/>
        <w:spacing w:line="477" w:lineRule="auto"/>
        <w:ind w:left="270" w:firstLine="98"/>
      </w:pPr>
      <w:bookmarkStart w:name="_bookmark38" w:id="45"/>
      <w:bookmarkEnd w:id="45"/>
      <w:r>
        <w:rPr/>
      </w:r>
      <w:r>
        <w:rPr/>
        <w:t>Table 6.2: Multiple regression model results showing parameter estimates for trophic and environmental interactions on an apex predator and its prey species in the SNNR food web.</w:t>
      </w:r>
    </w:p>
    <w:p>
      <w:pPr>
        <w:pStyle w:val="BodyText"/>
        <w:rPr>
          <w:sz w:val="20"/>
        </w:rPr>
      </w:pPr>
    </w:p>
    <w:p>
      <w:pPr>
        <w:pStyle w:val="BodyText"/>
        <w:spacing w:before="9"/>
        <w:rPr>
          <w:sz w:val="29"/>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33"/>
        <w:gridCol w:w="1795"/>
        <w:gridCol w:w="1166"/>
        <w:gridCol w:w="1356"/>
        <w:gridCol w:w="1039"/>
      </w:tblGrid>
      <w:tr>
        <w:trPr>
          <w:trHeight w:val="564" w:hRule="exact"/>
        </w:trPr>
        <w:tc>
          <w:tcPr>
            <w:tcW w:w="3833" w:type="dxa"/>
            <w:tcBorders>
              <w:left w:val="nil"/>
              <w:right w:val="nil"/>
            </w:tcBorders>
          </w:tcPr>
          <w:p>
            <w:pPr>
              <w:pStyle w:val="TableParagraph"/>
              <w:spacing w:line="249" w:lineRule="exact"/>
              <w:ind w:left="122" w:right="201"/>
              <w:jc w:val="left"/>
              <w:rPr>
                <w:sz w:val="22"/>
              </w:rPr>
            </w:pPr>
            <w:r>
              <w:rPr>
                <w:sz w:val="22"/>
              </w:rPr>
              <w:t>Model/Parameter</w:t>
            </w:r>
          </w:p>
        </w:tc>
        <w:tc>
          <w:tcPr>
            <w:tcW w:w="1795" w:type="dxa"/>
            <w:tcBorders>
              <w:left w:val="nil"/>
              <w:right w:val="nil"/>
            </w:tcBorders>
          </w:tcPr>
          <w:p>
            <w:pPr>
              <w:pStyle w:val="TableParagraph"/>
              <w:spacing w:line="249" w:lineRule="exact"/>
              <w:ind w:left="129" w:right="183"/>
              <w:rPr>
                <w:sz w:val="22"/>
              </w:rPr>
            </w:pPr>
            <w:r>
              <w:rPr>
                <w:sz w:val="22"/>
              </w:rPr>
              <w:t>Estimate (± s.e.)</w:t>
            </w:r>
          </w:p>
        </w:tc>
        <w:tc>
          <w:tcPr>
            <w:tcW w:w="1166" w:type="dxa"/>
            <w:tcBorders>
              <w:left w:val="nil"/>
              <w:right w:val="nil"/>
            </w:tcBorders>
          </w:tcPr>
          <w:p>
            <w:pPr>
              <w:pStyle w:val="TableParagraph"/>
              <w:spacing w:line="249" w:lineRule="exact"/>
              <w:ind w:left="183" w:right="177"/>
              <w:rPr>
                <w:sz w:val="22"/>
              </w:rPr>
            </w:pPr>
            <w:r>
              <w:rPr>
                <w:sz w:val="22"/>
              </w:rPr>
              <w:t>(Δ)AICc</w:t>
            </w:r>
          </w:p>
        </w:tc>
        <w:tc>
          <w:tcPr>
            <w:tcW w:w="1356" w:type="dxa"/>
            <w:tcBorders>
              <w:left w:val="nil"/>
              <w:right w:val="nil"/>
            </w:tcBorders>
          </w:tcPr>
          <w:p>
            <w:pPr>
              <w:pStyle w:val="TableParagraph"/>
              <w:spacing w:line="249" w:lineRule="exact"/>
              <w:ind w:left="179" w:right="144"/>
              <w:rPr>
                <w:sz w:val="14"/>
              </w:rPr>
            </w:pPr>
            <w:r>
              <w:rPr>
                <w:sz w:val="22"/>
              </w:rPr>
              <w:t>(Partial) R</w:t>
            </w:r>
            <w:r>
              <w:rPr>
                <w:position w:val="10"/>
                <w:sz w:val="14"/>
              </w:rPr>
              <w:t>2</w:t>
            </w:r>
          </w:p>
        </w:tc>
        <w:tc>
          <w:tcPr>
            <w:tcW w:w="1039" w:type="dxa"/>
            <w:tcBorders>
              <w:left w:val="nil"/>
              <w:right w:val="nil"/>
            </w:tcBorders>
          </w:tcPr>
          <w:p>
            <w:pPr>
              <w:pStyle w:val="TableParagraph"/>
              <w:spacing w:line="249" w:lineRule="exact"/>
              <w:ind w:left="163"/>
              <w:jc w:val="left"/>
              <w:rPr>
                <w:sz w:val="22"/>
              </w:rPr>
            </w:pPr>
            <w:r>
              <w:rPr>
                <w:sz w:val="22"/>
              </w:rPr>
              <w:t>P-value</w:t>
            </w:r>
          </w:p>
        </w:tc>
      </w:tr>
      <w:tr>
        <w:trPr>
          <w:trHeight w:val="777" w:hRule="exact"/>
        </w:trPr>
        <w:tc>
          <w:tcPr>
            <w:tcW w:w="3833" w:type="dxa"/>
            <w:tcBorders>
              <w:left w:val="nil"/>
              <w:bottom w:val="nil"/>
              <w:right w:val="nil"/>
            </w:tcBorders>
          </w:tcPr>
          <w:p>
            <w:pPr>
              <w:pStyle w:val="TableParagraph"/>
              <w:spacing w:line="228" w:lineRule="auto" w:before="5"/>
              <w:ind w:left="122" w:right="201"/>
              <w:jc w:val="left"/>
              <w:rPr>
                <w:sz w:val="22"/>
              </w:rPr>
            </w:pPr>
            <w:r>
              <w:rPr>
                <w:i/>
                <w:position w:val="3"/>
                <w:sz w:val="22"/>
              </w:rPr>
              <w:t>pgr</w:t>
            </w:r>
            <w:r>
              <w:rPr>
                <w:i/>
                <w:sz w:val="14"/>
              </w:rPr>
              <w:t>t, P. concolor </w:t>
            </w:r>
            <w:r>
              <w:rPr>
                <w:position w:val="3"/>
                <w:sz w:val="22"/>
              </w:rPr>
              <w:t>= a + b*ln(</w:t>
            </w:r>
            <w:r>
              <w:rPr>
                <w:i/>
                <w:position w:val="3"/>
                <w:sz w:val="22"/>
              </w:rPr>
              <w:t>RAI </w:t>
            </w:r>
            <w:r>
              <w:rPr>
                <w:i/>
                <w:sz w:val="14"/>
              </w:rPr>
              <w:t>t, P. concolor</w:t>
            </w:r>
            <w:r>
              <w:rPr>
                <w:position w:val="3"/>
                <w:sz w:val="22"/>
              </w:rPr>
              <w:t>) + </w:t>
            </w:r>
            <w:r>
              <w:rPr>
                <w:sz w:val="22"/>
              </w:rPr>
              <w:t>c* ln(</w:t>
            </w:r>
            <w:r>
              <w:rPr>
                <w:i/>
                <w:sz w:val="22"/>
              </w:rPr>
              <w:t>RAI </w:t>
            </w:r>
            <w:r>
              <w:rPr>
                <w:i/>
                <w:position w:val="-2"/>
                <w:sz w:val="14"/>
              </w:rPr>
              <w:t>t, N. narica</w:t>
            </w:r>
            <w:r>
              <w:rPr>
                <w:sz w:val="22"/>
              </w:rPr>
              <w:t>) + d*ln(</w:t>
            </w:r>
            <w:r>
              <w:rPr>
                <w:i/>
                <w:sz w:val="22"/>
              </w:rPr>
              <w:t>RAI </w:t>
            </w:r>
            <w:r>
              <w:rPr>
                <w:i/>
                <w:position w:val="-2"/>
                <w:sz w:val="14"/>
              </w:rPr>
              <w:t>t, D. </w:t>
            </w:r>
            <w:r>
              <w:rPr>
                <w:i/>
                <w:sz w:val="14"/>
              </w:rPr>
              <w:t>novemcintus</w:t>
            </w:r>
            <w:r>
              <w:rPr>
                <w:position w:val="3"/>
                <w:sz w:val="22"/>
              </w:rPr>
              <w:t>)</w:t>
            </w:r>
          </w:p>
        </w:tc>
        <w:tc>
          <w:tcPr>
            <w:tcW w:w="1795" w:type="dxa"/>
            <w:tcBorders>
              <w:left w:val="nil"/>
              <w:bottom w:val="nil"/>
              <w:right w:val="nil"/>
            </w:tcBorders>
          </w:tcPr>
          <w:p>
            <w:pPr>
              <w:pStyle w:val="TableParagraph"/>
              <w:spacing w:line="247" w:lineRule="exact"/>
              <w:ind w:right="57"/>
              <w:rPr>
                <w:sz w:val="22"/>
              </w:rPr>
            </w:pPr>
            <w:r>
              <w:rPr>
                <w:w w:val="100"/>
                <w:sz w:val="22"/>
              </w:rPr>
              <w:t>-</w:t>
            </w:r>
          </w:p>
        </w:tc>
        <w:tc>
          <w:tcPr>
            <w:tcW w:w="1166" w:type="dxa"/>
            <w:tcBorders>
              <w:left w:val="nil"/>
              <w:bottom w:val="nil"/>
              <w:right w:val="nil"/>
            </w:tcBorders>
          </w:tcPr>
          <w:p>
            <w:pPr>
              <w:pStyle w:val="TableParagraph"/>
              <w:spacing w:line="247" w:lineRule="exact"/>
              <w:ind w:left="183" w:right="174"/>
              <w:rPr>
                <w:sz w:val="22"/>
              </w:rPr>
            </w:pPr>
            <w:r>
              <w:rPr>
                <w:sz w:val="22"/>
              </w:rPr>
              <w:t>43.24</w:t>
            </w:r>
          </w:p>
        </w:tc>
        <w:tc>
          <w:tcPr>
            <w:tcW w:w="1356" w:type="dxa"/>
            <w:tcBorders>
              <w:left w:val="nil"/>
              <w:bottom w:val="nil"/>
              <w:right w:val="nil"/>
            </w:tcBorders>
          </w:tcPr>
          <w:p>
            <w:pPr>
              <w:pStyle w:val="TableParagraph"/>
              <w:spacing w:line="247" w:lineRule="exact"/>
              <w:ind w:left="179" w:right="143"/>
              <w:rPr>
                <w:sz w:val="22"/>
              </w:rPr>
            </w:pPr>
            <w:r>
              <w:rPr>
                <w:sz w:val="22"/>
              </w:rPr>
              <w:t>98.06</w:t>
            </w:r>
          </w:p>
        </w:tc>
        <w:tc>
          <w:tcPr>
            <w:tcW w:w="1039" w:type="dxa"/>
            <w:tcBorders>
              <w:left w:val="nil"/>
              <w:bottom w:val="nil"/>
              <w:right w:val="nil"/>
            </w:tcBorders>
          </w:tcPr>
          <w:p>
            <w:pPr>
              <w:pStyle w:val="TableParagraph"/>
              <w:spacing w:line="247" w:lineRule="exact"/>
              <w:ind w:left="196"/>
              <w:jc w:val="left"/>
              <w:rPr>
                <w:sz w:val="22"/>
              </w:rPr>
            </w:pPr>
            <w:r>
              <w:rPr>
                <w:sz w:val="22"/>
              </w:rPr>
              <w:t>0.0046</w:t>
            </w:r>
          </w:p>
        </w:tc>
      </w:tr>
      <w:tr>
        <w:trPr>
          <w:trHeight w:val="260" w:hRule="exact"/>
        </w:trPr>
        <w:tc>
          <w:tcPr>
            <w:tcW w:w="3833" w:type="dxa"/>
            <w:tcBorders>
              <w:top w:val="nil"/>
              <w:left w:val="nil"/>
              <w:bottom w:val="nil"/>
              <w:right w:val="nil"/>
            </w:tcBorders>
          </w:tcPr>
          <w:p>
            <w:pPr>
              <w:pStyle w:val="TableParagraph"/>
              <w:spacing w:line="233" w:lineRule="exact"/>
              <w:ind w:right="1853"/>
              <w:jc w:val="right"/>
              <w:rPr>
                <w:sz w:val="22"/>
              </w:rPr>
            </w:pPr>
            <w:r>
              <w:rPr>
                <w:w w:val="100"/>
                <w:sz w:val="22"/>
              </w:rPr>
              <w:t>a</w:t>
            </w:r>
          </w:p>
        </w:tc>
        <w:tc>
          <w:tcPr>
            <w:tcW w:w="1795" w:type="dxa"/>
            <w:tcBorders>
              <w:top w:val="nil"/>
              <w:left w:val="nil"/>
              <w:bottom w:val="nil"/>
              <w:right w:val="nil"/>
            </w:tcBorders>
          </w:tcPr>
          <w:p>
            <w:pPr>
              <w:pStyle w:val="TableParagraph"/>
              <w:spacing w:line="233" w:lineRule="exact"/>
              <w:ind w:left="130" w:right="183"/>
              <w:rPr>
                <w:sz w:val="22"/>
              </w:rPr>
            </w:pPr>
            <w:r>
              <w:rPr>
                <w:sz w:val="22"/>
              </w:rPr>
              <w:t>2.14 (± 0.72)</w:t>
            </w:r>
          </w:p>
        </w:tc>
        <w:tc>
          <w:tcPr>
            <w:tcW w:w="1166" w:type="dxa"/>
            <w:tcBorders>
              <w:top w:val="nil"/>
              <w:left w:val="nil"/>
              <w:bottom w:val="nil"/>
              <w:right w:val="nil"/>
            </w:tcBorders>
          </w:tcPr>
          <w:p>
            <w:pPr>
              <w:pStyle w:val="TableParagraph"/>
              <w:spacing w:line="233" w:lineRule="exact"/>
              <w:ind w:left="183" w:right="176"/>
              <w:rPr>
                <w:sz w:val="22"/>
              </w:rPr>
            </w:pPr>
            <w:r>
              <w:rPr>
                <w:sz w:val="22"/>
              </w:rPr>
              <w:t>-32.43</w:t>
            </w:r>
          </w:p>
        </w:tc>
        <w:tc>
          <w:tcPr>
            <w:tcW w:w="1356" w:type="dxa"/>
            <w:tcBorders>
              <w:top w:val="nil"/>
              <w:left w:val="nil"/>
              <w:bottom w:val="nil"/>
              <w:right w:val="nil"/>
            </w:tcBorders>
          </w:tcPr>
          <w:p>
            <w:pPr>
              <w:pStyle w:val="TableParagraph"/>
              <w:spacing w:line="233" w:lineRule="exact"/>
              <w:ind w:left="179" w:right="143"/>
              <w:rPr>
                <w:sz w:val="22"/>
              </w:rPr>
            </w:pPr>
            <w:r>
              <w:rPr>
                <w:sz w:val="22"/>
              </w:rPr>
              <w:t>74.50</w:t>
            </w:r>
          </w:p>
        </w:tc>
        <w:tc>
          <w:tcPr>
            <w:tcW w:w="1039" w:type="dxa"/>
            <w:tcBorders>
              <w:top w:val="nil"/>
              <w:left w:val="nil"/>
              <w:bottom w:val="nil"/>
              <w:right w:val="nil"/>
            </w:tcBorders>
          </w:tcPr>
          <w:p>
            <w:pPr>
              <w:pStyle w:val="TableParagraph"/>
              <w:spacing w:line="233" w:lineRule="exact"/>
              <w:ind w:left="196"/>
              <w:jc w:val="left"/>
              <w:rPr>
                <w:sz w:val="22"/>
              </w:rPr>
            </w:pPr>
            <w:r>
              <w:rPr>
                <w:sz w:val="22"/>
              </w:rPr>
              <w:t>0.0595</w:t>
            </w:r>
          </w:p>
        </w:tc>
      </w:tr>
      <w:tr>
        <w:trPr>
          <w:trHeight w:val="275" w:hRule="exact"/>
        </w:trPr>
        <w:tc>
          <w:tcPr>
            <w:tcW w:w="3833" w:type="dxa"/>
            <w:tcBorders>
              <w:top w:val="nil"/>
              <w:left w:val="nil"/>
              <w:bottom w:val="nil"/>
              <w:right w:val="nil"/>
            </w:tcBorders>
          </w:tcPr>
          <w:p>
            <w:pPr>
              <w:pStyle w:val="TableParagraph"/>
              <w:spacing w:before="3"/>
              <w:ind w:right="1846"/>
              <w:jc w:val="right"/>
              <w:rPr>
                <w:sz w:val="22"/>
              </w:rPr>
            </w:pPr>
            <w:r>
              <w:rPr>
                <w:w w:val="100"/>
                <w:sz w:val="22"/>
              </w:rPr>
              <w:t>b</w:t>
            </w:r>
          </w:p>
        </w:tc>
        <w:tc>
          <w:tcPr>
            <w:tcW w:w="1795" w:type="dxa"/>
            <w:tcBorders>
              <w:top w:val="nil"/>
              <w:left w:val="nil"/>
              <w:bottom w:val="nil"/>
              <w:right w:val="nil"/>
            </w:tcBorders>
          </w:tcPr>
          <w:p>
            <w:pPr>
              <w:pStyle w:val="TableParagraph"/>
              <w:spacing w:before="3"/>
              <w:ind w:left="127" w:right="183"/>
              <w:rPr>
                <w:sz w:val="22"/>
              </w:rPr>
            </w:pPr>
            <w:r>
              <w:rPr>
                <w:sz w:val="22"/>
              </w:rPr>
              <w:t>-2.91 (± 0.29)</w:t>
            </w:r>
          </w:p>
        </w:tc>
        <w:tc>
          <w:tcPr>
            <w:tcW w:w="1166" w:type="dxa"/>
            <w:tcBorders>
              <w:top w:val="nil"/>
              <w:left w:val="nil"/>
              <w:bottom w:val="nil"/>
              <w:right w:val="nil"/>
            </w:tcBorders>
          </w:tcPr>
          <w:p>
            <w:pPr>
              <w:pStyle w:val="TableParagraph"/>
              <w:spacing w:before="3"/>
              <w:ind w:left="183" w:right="176"/>
              <w:rPr>
                <w:sz w:val="22"/>
              </w:rPr>
            </w:pPr>
            <w:r>
              <w:rPr>
                <w:sz w:val="22"/>
              </w:rPr>
              <w:t>-17.06</w:t>
            </w:r>
          </w:p>
        </w:tc>
        <w:tc>
          <w:tcPr>
            <w:tcW w:w="1356" w:type="dxa"/>
            <w:tcBorders>
              <w:top w:val="nil"/>
              <w:left w:val="nil"/>
              <w:bottom w:val="nil"/>
              <w:right w:val="nil"/>
            </w:tcBorders>
          </w:tcPr>
          <w:p>
            <w:pPr>
              <w:pStyle w:val="TableParagraph"/>
              <w:spacing w:before="3"/>
              <w:ind w:left="179" w:right="143"/>
              <w:rPr>
                <w:sz w:val="22"/>
              </w:rPr>
            </w:pPr>
            <w:r>
              <w:rPr>
                <w:sz w:val="22"/>
              </w:rPr>
              <w:t>97.16</w:t>
            </w:r>
          </w:p>
        </w:tc>
        <w:tc>
          <w:tcPr>
            <w:tcW w:w="1039" w:type="dxa"/>
            <w:tcBorders>
              <w:top w:val="nil"/>
              <w:left w:val="nil"/>
              <w:bottom w:val="nil"/>
              <w:right w:val="nil"/>
            </w:tcBorders>
          </w:tcPr>
          <w:p>
            <w:pPr>
              <w:pStyle w:val="TableParagraph"/>
              <w:spacing w:before="3"/>
              <w:ind w:left="251"/>
              <w:jc w:val="left"/>
              <w:rPr>
                <w:sz w:val="22"/>
              </w:rPr>
            </w:pPr>
            <w:r>
              <w:rPr>
                <w:sz w:val="22"/>
              </w:rPr>
              <w:t>0.002</w:t>
            </w:r>
          </w:p>
        </w:tc>
      </w:tr>
      <w:tr>
        <w:trPr>
          <w:trHeight w:val="275" w:hRule="exact"/>
        </w:trPr>
        <w:tc>
          <w:tcPr>
            <w:tcW w:w="3833" w:type="dxa"/>
            <w:tcBorders>
              <w:top w:val="nil"/>
              <w:left w:val="nil"/>
              <w:bottom w:val="nil"/>
              <w:right w:val="nil"/>
            </w:tcBorders>
          </w:tcPr>
          <w:p>
            <w:pPr>
              <w:pStyle w:val="TableParagraph"/>
              <w:spacing w:line="248" w:lineRule="exact"/>
              <w:ind w:right="1853"/>
              <w:jc w:val="right"/>
              <w:rPr>
                <w:sz w:val="22"/>
              </w:rPr>
            </w:pPr>
            <w:r>
              <w:rPr>
                <w:w w:val="100"/>
                <w:sz w:val="22"/>
              </w:rPr>
              <w:t>c</w:t>
            </w:r>
          </w:p>
        </w:tc>
        <w:tc>
          <w:tcPr>
            <w:tcW w:w="1795" w:type="dxa"/>
            <w:tcBorders>
              <w:top w:val="nil"/>
              <w:left w:val="nil"/>
              <w:bottom w:val="nil"/>
              <w:right w:val="nil"/>
            </w:tcBorders>
          </w:tcPr>
          <w:p>
            <w:pPr>
              <w:pStyle w:val="TableParagraph"/>
              <w:spacing w:line="248" w:lineRule="exact"/>
              <w:ind w:left="130" w:right="183"/>
              <w:rPr>
                <w:sz w:val="22"/>
              </w:rPr>
            </w:pPr>
            <w:r>
              <w:rPr>
                <w:sz w:val="22"/>
              </w:rPr>
              <w:t>1.75 (± 0.21)</w:t>
            </w:r>
          </w:p>
        </w:tc>
        <w:tc>
          <w:tcPr>
            <w:tcW w:w="1166" w:type="dxa"/>
            <w:tcBorders>
              <w:top w:val="nil"/>
              <w:left w:val="nil"/>
              <w:bottom w:val="nil"/>
              <w:right w:val="nil"/>
            </w:tcBorders>
          </w:tcPr>
          <w:p>
            <w:pPr>
              <w:pStyle w:val="TableParagraph"/>
              <w:spacing w:line="248" w:lineRule="exact"/>
              <w:ind w:left="183" w:right="176"/>
              <w:rPr>
                <w:sz w:val="22"/>
              </w:rPr>
            </w:pPr>
            <w:r>
              <w:rPr>
                <w:sz w:val="22"/>
              </w:rPr>
              <w:t>-19.93</w:t>
            </w:r>
          </w:p>
        </w:tc>
        <w:tc>
          <w:tcPr>
            <w:tcW w:w="1356" w:type="dxa"/>
            <w:tcBorders>
              <w:top w:val="nil"/>
              <w:left w:val="nil"/>
              <w:bottom w:val="nil"/>
              <w:right w:val="nil"/>
            </w:tcBorders>
          </w:tcPr>
          <w:p>
            <w:pPr>
              <w:pStyle w:val="TableParagraph"/>
              <w:spacing w:line="248" w:lineRule="exact"/>
              <w:ind w:left="179" w:right="143"/>
              <w:rPr>
                <w:sz w:val="22"/>
              </w:rPr>
            </w:pPr>
            <w:r>
              <w:rPr>
                <w:sz w:val="22"/>
              </w:rPr>
              <w:t>95.72</w:t>
            </w:r>
          </w:p>
        </w:tc>
        <w:tc>
          <w:tcPr>
            <w:tcW w:w="1039" w:type="dxa"/>
            <w:tcBorders>
              <w:top w:val="nil"/>
              <w:left w:val="nil"/>
              <w:bottom w:val="nil"/>
              <w:right w:val="nil"/>
            </w:tcBorders>
          </w:tcPr>
          <w:p>
            <w:pPr>
              <w:pStyle w:val="TableParagraph"/>
              <w:spacing w:line="248" w:lineRule="exact"/>
              <w:ind w:left="196"/>
              <w:jc w:val="left"/>
              <w:rPr>
                <w:sz w:val="22"/>
              </w:rPr>
            </w:pPr>
            <w:r>
              <w:rPr>
                <w:sz w:val="22"/>
              </w:rPr>
              <w:t>0.0038</w:t>
            </w:r>
          </w:p>
        </w:tc>
      </w:tr>
      <w:tr>
        <w:trPr>
          <w:trHeight w:val="425" w:hRule="exact"/>
        </w:trPr>
        <w:tc>
          <w:tcPr>
            <w:tcW w:w="3833" w:type="dxa"/>
            <w:tcBorders>
              <w:top w:val="nil"/>
              <w:left w:val="nil"/>
              <w:bottom w:val="nil"/>
              <w:right w:val="nil"/>
            </w:tcBorders>
          </w:tcPr>
          <w:p>
            <w:pPr>
              <w:pStyle w:val="TableParagraph"/>
              <w:spacing w:before="3"/>
              <w:ind w:right="1846"/>
              <w:jc w:val="right"/>
              <w:rPr>
                <w:sz w:val="22"/>
              </w:rPr>
            </w:pPr>
            <w:r>
              <w:rPr>
                <w:w w:val="100"/>
                <w:sz w:val="22"/>
              </w:rPr>
              <w:t>d</w:t>
            </w:r>
          </w:p>
        </w:tc>
        <w:tc>
          <w:tcPr>
            <w:tcW w:w="1795" w:type="dxa"/>
            <w:tcBorders>
              <w:top w:val="nil"/>
              <w:left w:val="nil"/>
              <w:bottom w:val="nil"/>
              <w:right w:val="nil"/>
            </w:tcBorders>
          </w:tcPr>
          <w:p>
            <w:pPr>
              <w:pStyle w:val="TableParagraph"/>
              <w:spacing w:before="3"/>
              <w:ind w:left="130" w:right="183"/>
              <w:rPr>
                <w:sz w:val="22"/>
              </w:rPr>
            </w:pPr>
            <w:r>
              <w:rPr>
                <w:sz w:val="22"/>
              </w:rPr>
              <w:t>2.29 (± 0.56)</w:t>
            </w:r>
          </w:p>
        </w:tc>
        <w:tc>
          <w:tcPr>
            <w:tcW w:w="1166" w:type="dxa"/>
            <w:tcBorders>
              <w:top w:val="nil"/>
              <w:left w:val="nil"/>
              <w:bottom w:val="nil"/>
              <w:right w:val="nil"/>
            </w:tcBorders>
          </w:tcPr>
          <w:p>
            <w:pPr>
              <w:pStyle w:val="TableParagraph"/>
              <w:spacing w:before="3"/>
              <w:ind w:left="183" w:right="176"/>
              <w:rPr>
                <w:sz w:val="22"/>
              </w:rPr>
            </w:pPr>
            <w:r>
              <w:rPr>
                <w:sz w:val="22"/>
              </w:rPr>
              <w:t>-28.79</w:t>
            </w:r>
          </w:p>
        </w:tc>
        <w:tc>
          <w:tcPr>
            <w:tcW w:w="1356" w:type="dxa"/>
            <w:tcBorders>
              <w:top w:val="nil"/>
              <w:left w:val="nil"/>
              <w:bottom w:val="nil"/>
              <w:right w:val="nil"/>
            </w:tcBorders>
          </w:tcPr>
          <w:p>
            <w:pPr>
              <w:pStyle w:val="TableParagraph"/>
              <w:spacing w:before="3"/>
              <w:ind w:left="179" w:right="143"/>
              <w:rPr>
                <w:sz w:val="22"/>
              </w:rPr>
            </w:pPr>
            <w:r>
              <w:rPr>
                <w:sz w:val="22"/>
              </w:rPr>
              <w:t>84.85</w:t>
            </w:r>
          </w:p>
        </w:tc>
        <w:tc>
          <w:tcPr>
            <w:tcW w:w="1039" w:type="dxa"/>
            <w:tcBorders>
              <w:top w:val="nil"/>
              <w:left w:val="nil"/>
              <w:bottom w:val="nil"/>
              <w:right w:val="nil"/>
            </w:tcBorders>
          </w:tcPr>
          <w:p>
            <w:pPr>
              <w:pStyle w:val="TableParagraph"/>
              <w:spacing w:before="3"/>
              <w:ind w:left="196"/>
              <w:jc w:val="left"/>
              <w:rPr>
                <w:sz w:val="22"/>
              </w:rPr>
            </w:pPr>
            <w:r>
              <w:rPr>
                <w:sz w:val="22"/>
              </w:rPr>
              <w:t>0.0263</w:t>
            </w:r>
          </w:p>
        </w:tc>
      </w:tr>
      <w:tr>
        <w:trPr>
          <w:trHeight w:val="924" w:hRule="exact"/>
        </w:trPr>
        <w:tc>
          <w:tcPr>
            <w:tcW w:w="3833" w:type="dxa"/>
            <w:tcBorders>
              <w:top w:val="nil"/>
              <w:left w:val="nil"/>
              <w:bottom w:val="nil"/>
              <w:right w:val="nil"/>
            </w:tcBorders>
          </w:tcPr>
          <w:p>
            <w:pPr>
              <w:pStyle w:val="TableParagraph"/>
              <w:spacing w:line="260" w:lineRule="exact" w:before="146"/>
              <w:ind w:left="122"/>
              <w:jc w:val="left"/>
              <w:rPr>
                <w:sz w:val="22"/>
              </w:rPr>
            </w:pPr>
            <w:r>
              <w:rPr>
                <w:i/>
                <w:position w:val="3"/>
                <w:sz w:val="22"/>
              </w:rPr>
              <w:t>pgr </w:t>
            </w:r>
            <w:r>
              <w:rPr>
                <w:i/>
                <w:sz w:val="14"/>
              </w:rPr>
              <w:t>t, D. novemcintus </w:t>
            </w:r>
            <w:r>
              <w:rPr>
                <w:position w:val="3"/>
                <w:sz w:val="22"/>
              </w:rPr>
              <w:t>= a + b*ln(</w:t>
            </w:r>
            <w:r>
              <w:rPr>
                <w:i/>
                <w:position w:val="3"/>
                <w:sz w:val="22"/>
              </w:rPr>
              <w:t>RAI </w:t>
            </w:r>
            <w:r>
              <w:rPr>
                <w:i/>
                <w:sz w:val="14"/>
              </w:rPr>
              <w:t>t, P. concolor</w:t>
            </w:r>
            <w:r>
              <w:rPr>
                <w:position w:val="3"/>
                <w:sz w:val="22"/>
              </w:rPr>
              <w:t>)</w:t>
            </w:r>
          </w:p>
          <w:p>
            <w:pPr>
              <w:pStyle w:val="TableParagraph"/>
              <w:spacing w:line="220" w:lineRule="exact" w:before="53"/>
              <w:ind w:left="122" w:right="201"/>
              <w:jc w:val="left"/>
              <w:rPr>
                <w:i/>
                <w:sz w:val="14"/>
              </w:rPr>
            </w:pPr>
            <w:r>
              <w:rPr>
                <w:position w:val="3"/>
                <w:sz w:val="22"/>
              </w:rPr>
              <w:t>+ c*ln(</w:t>
            </w:r>
            <w:r>
              <w:rPr>
                <w:i/>
                <w:position w:val="3"/>
                <w:sz w:val="22"/>
              </w:rPr>
              <w:t>RAI </w:t>
            </w:r>
            <w:r>
              <w:rPr>
                <w:i/>
                <w:sz w:val="14"/>
              </w:rPr>
              <w:t>t, D. novemcintus</w:t>
            </w:r>
            <w:r>
              <w:rPr>
                <w:position w:val="3"/>
                <w:sz w:val="22"/>
              </w:rPr>
              <w:t>) + </w:t>
            </w:r>
            <w:r>
              <w:rPr>
                <w:sz w:val="22"/>
              </w:rPr>
              <w:t>d*Precipitation</w:t>
            </w:r>
            <w:r>
              <w:rPr>
                <w:i/>
                <w:position w:val="-2"/>
                <w:sz w:val="14"/>
              </w:rPr>
              <w:t>t</w:t>
            </w:r>
          </w:p>
        </w:tc>
        <w:tc>
          <w:tcPr>
            <w:tcW w:w="1795" w:type="dxa"/>
            <w:tcBorders>
              <w:top w:val="nil"/>
              <w:left w:val="nil"/>
              <w:bottom w:val="nil"/>
              <w:right w:val="nil"/>
            </w:tcBorders>
          </w:tcPr>
          <w:p>
            <w:pPr>
              <w:pStyle w:val="TableParagraph"/>
              <w:spacing w:before="145"/>
              <w:ind w:right="57"/>
              <w:rPr>
                <w:sz w:val="22"/>
              </w:rPr>
            </w:pPr>
            <w:r>
              <w:rPr>
                <w:w w:val="100"/>
                <w:sz w:val="22"/>
              </w:rPr>
              <w:t>-</w:t>
            </w:r>
          </w:p>
        </w:tc>
        <w:tc>
          <w:tcPr>
            <w:tcW w:w="1166" w:type="dxa"/>
            <w:tcBorders>
              <w:top w:val="nil"/>
              <w:left w:val="nil"/>
              <w:bottom w:val="nil"/>
              <w:right w:val="nil"/>
            </w:tcBorders>
          </w:tcPr>
          <w:p>
            <w:pPr>
              <w:pStyle w:val="TableParagraph"/>
              <w:spacing w:before="145"/>
              <w:ind w:left="183" w:right="174"/>
              <w:rPr>
                <w:sz w:val="22"/>
              </w:rPr>
            </w:pPr>
            <w:r>
              <w:rPr>
                <w:sz w:val="22"/>
              </w:rPr>
              <w:t>27.26</w:t>
            </w:r>
          </w:p>
        </w:tc>
        <w:tc>
          <w:tcPr>
            <w:tcW w:w="1356" w:type="dxa"/>
            <w:tcBorders>
              <w:top w:val="nil"/>
              <w:left w:val="nil"/>
              <w:bottom w:val="nil"/>
              <w:right w:val="nil"/>
            </w:tcBorders>
          </w:tcPr>
          <w:p>
            <w:pPr>
              <w:pStyle w:val="TableParagraph"/>
              <w:spacing w:before="145"/>
              <w:ind w:left="179" w:right="143"/>
              <w:rPr>
                <w:sz w:val="22"/>
              </w:rPr>
            </w:pPr>
            <w:r>
              <w:rPr>
                <w:sz w:val="22"/>
              </w:rPr>
              <w:t>36.52</w:t>
            </w:r>
          </w:p>
        </w:tc>
        <w:tc>
          <w:tcPr>
            <w:tcW w:w="1039" w:type="dxa"/>
            <w:tcBorders>
              <w:top w:val="nil"/>
              <w:left w:val="nil"/>
              <w:bottom w:val="nil"/>
              <w:right w:val="nil"/>
            </w:tcBorders>
          </w:tcPr>
          <w:p>
            <w:pPr>
              <w:pStyle w:val="TableParagraph"/>
              <w:spacing w:before="145"/>
              <w:ind w:left="196"/>
              <w:jc w:val="left"/>
              <w:rPr>
                <w:sz w:val="22"/>
              </w:rPr>
            </w:pPr>
            <w:r>
              <w:rPr>
                <w:sz w:val="22"/>
              </w:rPr>
              <w:t>0.4799</w:t>
            </w:r>
          </w:p>
        </w:tc>
      </w:tr>
      <w:tr>
        <w:trPr>
          <w:trHeight w:val="246" w:hRule="exact"/>
        </w:trPr>
        <w:tc>
          <w:tcPr>
            <w:tcW w:w="3833" w:type="dxa"/>
            <w:tcBorders>
              <w:top w:val="nil"/>
              <w:left w:val="nil"/>
              <w:bottom w:val="nil"/>
              <w:right w:val="nil"/>
            </w:tcBorders>
          </w:tcPr>
          <w:p>
            <w:pPr>
              <w:pStyle w:val="TableParagraph"/>
              <w:spacing w:line="234" w:lineRule="exact"/>
              <w:ind w:right="1853"/>
              <w:jc w:val="right"/>
              <w:rPr>
                <w:sz w:val="22"/>
              </w:rPr>
            </w:pPr>
            <w:r>
              <w:rPr>
                <w:w w:val="100"/>
                <w:sz w:val="22"/>
              </w:rPr>
              <w:t>a</w:t>
            </w:r>
          </w:p>
        </w:tc>
        <w:tc>
          <w:tcPr>
            <w:tcW w:w="1795" w:type="dxa"/>
            <w:tcBorders>
              <w:top w:val="nil"/>
              <w:left w:val="nil"/>
              <w:bottom w:val="nil"/>
              <w:right w:val="nil"/>
            </w:tcBorders>
          </w:tcPr>
          <w:p>
            <w:pPr>
              <w:pStyle w:val="TableParagraph"/>
              <w:spacing w:line="234" w:lineRule="exact"/>
              <w:ind w:left="127" w:right="183"/>
              <w:rPr>
                <w:sz w:val="22"/>
              </w:rPr>
            </w:pPr>
            <w:r>
              <w:rPr>
                <w:sz w:val="22"/>
              </w:rPr>
              <w:t>-0.24 (± 1.04)</w:t>
            </w:r>
          </w:p>
        </w:tc>
        <w:tc>
          <w:tcPr>
            <w:tcW w:w="1166" w:type="dxa"/>
            <w:tcBorders>
              <w:top w:val="nil"/>
              <w:left w:val="nil"/>
              <w:bottom w:val="nil"/>
              <w:right w:val="nil"/>
            </w:tcBorders>
          </w:tcPr>
          <w:p>
            <w:pPr>
              <w:pStyle w:val="TableParagraph"/>
              <w:spacing w:line="234" w:lineRule="exact"/>
              <w:ind w:left="183" w:right="176"/>
              <w:rPr>
                <w:sz w:val="22"/>
              </w:rPr>
            </w:pPr>
            <w:r>
              <w:rPr>
                <w:sz w:val="22"/>
              </w:rPr>
              <w:t>-41.88</w:t>
            </w:r>
          </w:p>
        </w:tc>
        <w:tc>
          <w:tcPr>
            <w:tcW w:w="1356" w:type="dxa"/>
            <w:tcBorders>
              <w:top w:val="nil"/>
              <w:left w:val="nil"/>
              <w:bottom w:val="nil"/>
              <w:right w:val="nil"/>
            </w:tcBorders>
          </w:tcPr>
          <w:p>
            <w:pPr>
              <w:pStyle w:val="TableParagraph"/>
              <w:spacing w:line="234" w:lineRule="exact"/>
              <w:ind w:left="179" w:right="143"/>
              <w:rPr>
                <w:sz w:val="22"/>
              </w:rPr>
            </w:pPr>
            <w:r>
              <w:rPr>
                <w:sz w:val="22"/>
              </w:rPr>
              <w:t>1.69</w:t>
            </w:r>
          </w:p>
        </w:tc>
        <w:tc>
          <w:tcPr>
            <w:tcW w:w="1039" w:type="dxa"/>
            <w:tcBorders>
              <w:top w:val="nil"/>
              <w:left w:val="nil"/>
              <w:bottom w:val="nil"/>
              <w:right w:val="nil"/>
            </w:tcBorders>
          </w:tcPr>
          <w:p>
            <w:pPr>
              <w:pStyle w:val="TableParagraph"/>
              <w:spacing w:line="234" w:lineRule="exact"/>
              <w:ind w:left="196"/>
              <w:jc w:val="left"/>
              <w:rPr>
                <w:sz w:val="22"/>
              </w:rPr>
            </w:pPr>
            <w:r>
              <w:rPr>
                <w:sz w:val="22"/>
              </w:rPr>
              <w:t>0.8348</w:t>
            </w:r>
          </w:p>
        </w:tc>
      </w:tr>
      <w:tr>
        <w:trPr>
          <w:trHeight w:val="253" w:hRule="exact"/>
        </w:trPr>
        <w:tc>
          <w:tcPr>
            <w:tcW w:w="3833" w:type="dxa"/>
            <w:tcBorders>
              <w:top w:val="nil"/>
              <w:left w:val="nil"/>
              <w:bottom w:val="nil"/>
              <w:right w:val="nil"/>
            </w:tcBorders>
          </w:tcPr>
          <w:p>
            <w:pPr>
              <w:pStyle w:val="TableParagraph"/>
              <w:spacing w:line="241" w:lineRule="exact"/>
              <w:ind w:right="1846"/>
              <w:jc w:val="right"/>
              <w:rPr>
                <w:sz w:val="22"/>
              </w:rPr>
            </w:pPr>
            <w:r>
              <w:rPr>
                <w:w w:val="100"/>
                <w:sz w:val="22"/>
              </w:rPr>
              <w:t>b</w:t>
            </w:r>
          </w:p>
        </w:tc>
        <w:tc>
          <w:tcPr>
            <w:tcW w:w="1795" w:type="dxa"/>
            <w:tcBorders>
              <w:top w:val="nil"/>
              <w:left w:val="nil"/>
              <w:bottom w:val="nil"/>
              <w:right w:val="nil"/>
            </w:tcBorders>
          </w:tcPr>
          <w:p>
            <w:pPr>
              <w:pStyle w:val="TableParagraph"/>
              <w:spacing w:line="241" w:lineRule="exact"/>
              <w:ind w:left="127" w:right="183"/>
              <w:rPr>
                <w:sz w:val="22"/>
              </w:rPr>
            </w:pPr>
            <w:r>
              <w:rPr>
                <w:sz w:val="22"/>
              </w:rPr>
              <w:t>-0.37 (± 0.26)</w:t>
            </w:r>
          </w:p>
        </w:tc>
        <w:tc>
          <w:tcPr>
            <w:tcW w:w="1166" w:type="dxa"/>
            <w:tcBorders>
              <w:top w:val="nil"/>
              <w:left w:val="nil"/>
              <w:bottom w:val="nil"/>
              <w:right w:val="nil"/>
            </w:tcBorders>
          </w:tcPr>
          <w:p>
            <w:pPr>
              <w:pStyle w:val="TableParagraph"/>
              <w:spacing w:line="241" w:lineRule="exact"/>
              <w:ind w:left="183" w:right="176"/>
              <w:rPr>
                <w:sz w:val="22"/>
              </w:rPr>
            </w:pPr>
            <w:r>
              <w:rPr>
                <w:sz w:val="22"/>
              </w:rPr>
              <w:t>-38.40</w:t>
            </w:r>
          </w:p>
        </w:tc>
        <w:tc>
          <w:tcPr>
            <w:tcW w:w="1356" w:type="dxa"/>
            <w:tcBorders>
              <w:top w:val="nil"/>
              <w:left w:val="nil"/>
              <w:bottom w:val="nil"/>
              <w:right w:val="nil"/>
            </w:tcBorders>
          </w:tcPr>
          <w:p>
            <w:pPr>
              <w:pStyle w:val="TableParagraph"/>
              <w:spacing w:line="241" w:lineRule="exact"/>
              <w:ind w:left="179" w:right="143"/>
              <w:rPr>
                <w:sz w:val="22"/>
              </w:rPr>
            </w:pPr>
            <w:r>
              <w:rPr>
                <w:sz w:val="22"/>
              </w:rPr>
              <w:t>40.18</w:t>
            </w:r>
          </w:p>
        </w:tc>
        <w:tc>
          <w:tcPr>
            <w:tcW w:w="1039" w:type="dxa"/>
            <w:tcBorders>
              <w:top w:val="nil"/>
              <w:left w:val="nil"/>
              <w:bottom w:val="nil"/>
              <w:right w:val="nil"/>
            </w:tcBorders>
          </w:tcPr>
          <w:p>
            <w:pPr>
              <w:pStyle w:val="TableParagraph"/>
              <w:spacing w:line="241" w:lineRule="exact"/>
              <w:ind w:left="196"/>
              <w:jc w:val="left"/>
              <w:rPr>
                <w:sz w:val="22"/>
              </w:rPr>
            </w:pPr>
            <w:r>
              <w:rPr>
                <w:sz w:val="22"/>
              </w:rPr>
              <w:t>0.2508</w:t>
            </w:r>
          </w:p>
        </w:tc>
      </w:tr>
      <w:tr>
        <w:trPr>
          <w:trHeight w:val="253" w:hRule="exact"/>
        </w:trPr>
        <w:tc>
          <w:tcPr>
            <w:tcW w:w="3833" w:type="dxa"/>
            <w:tcBorders>
              <w:top w:val="nil"/>
              <w:left w:val="nil"/>
              <w:bottom w:val="nil"/>
              <w:right w:val="nil"/>
            </w:tcBorders>
          </w:tcPr>
          <w:p>
            <w:pPr>
              <w:pStyle w:val="TableParagraph"/>
              <w:spacing w:line="242" w:lineRule="exact"/>
              <w:ind w:right="1853"/>
              <w:jc w:val="right"/>
              <w:rPr>
                <w:sz w:val="22"/>
              </w:rPr>
            </w:pPr>
            <w:r>
              <w:rPr>
                <w:w w:val="100"/>
                <w:sz w:val="22"/>
              </w:rPr>
              <w:t>c</w:t>
            </w:r>
          </w:p>
        </w:tc>
        <w:tc>
          <w:tcPr>
            <w:tcW w:w="1795" w:type="dxa"/>
            <w:tcBorders>
              <w:top w:val="nil"/>
              <w:left w:val="nil"/>
              <w:bottom w:val="nil"/>
              <w:right w:val="nil"/>
            </w:tcBorders>
          </w:tcPr>
          <w:p>
            <w:pPr>
              <w:pStyle w:val="TableParagraph"/>
              <w:spacing w:line="242" w:lineRule="exact"/>
              <w:ind w:left="127" w:right="183"/>
              <w:rPr>
                <w:sz w:val="22"/>
              </w:rPr>
            </w:pPr>
            <w:r>
              <w:rPr>
                <w:sz w:val="22"/>
              </w:rPr>
              <w:t>-0.35 (± 0.70)</w:t>
            </w:r>
          </w:p>
        </w:tc>
        <w:tc>
          <w:tcPr>
            <w:tcW w:w="1166" w:type="dxa"/>
            <w:tcBorders>
              <w:top w:val="nil"/>
              <w:left w:val="nil"/>
              <w:bottom w:val="nil"/>
              <w:right w:val="nil"/>
            </w:tcBorders>
          </w:tcPr>
          <w:p>
            <w:pPr>
              <w:pStyle w:val="TableParagraph"/>
              <w:spacing w:line="242" w:lineRule="exact"/>
              <w:ind w:left="183" w:right="176"/>
              <w:rPr>
                <w:sz w:val="22"/>
              </w:rPr>
            </w:pPr>
            <w:r>
              <w:rPr>
                <w:sz w:val="22"/>
              </w:rPr>
              <w:t>-41.42</w:t>
            </w:r>
          </w:p>
        </w:tc>
        <w:tc>
          <w:tcPr>
            <w:tcW w:w="1356" w:type="dxa"/>
            <w:tcBorders>
              <w:top w:val="nil"/>
              <w:left w:val="nil"/>
              <w:bottom w:val="nil"/>
              <w:right w:val="nil"/>
            </w:tcBorders>
          </w:tcPr>
          <w:p>
            <w:pPr>
              <w:pStyle w:val="TableParagraph"/>
              <w:spacing w:line="242" w:lineRule="exact"/>
              <w:ind w:left="179" w:right="143"/>
              <w:rPr>
                <w:sz w:val="22"/>
              </w:rPr>
            </w:pPr>
            <w:r>
              <w:rPr>
                <w:sz w:val="22"/>
              </w:rPr>
              <w:t>7.89</w:t>
            </w:r>
          </w:p>
        </w:tc>
        <w:tc>
          <w:tcPr>
            <w:tcW w:w="1039" w:type="dxa"/>
            <w:tcBorders>
              <w:top w:val="nil"/>
              <w:left w:val="nil"/>
              <w:bottom w:val="nil"/>
              <w:right w:val="nil"/>
            </w:tcBorders>
          </w:tcPr>
          <w:p>
            <w:pPr>
              <w:pStyle w:val="TableParagraph"/>
              <w:spacing w:line="242" w:lineRule="exact"/>
              <w:ind w:left="196"/>
              <w:jc w:val="left"/>
              <w:rPr>
                <w:sz w:val="22"/>
              </w:rPr>
            </w:pPr>
            <w:r>
              <w:rPr>
                <w:sz w:val="22"/>
              </w:rPr>
              <w:t>0.6471</w:t>
            </w:r>
          </w:p>
        </w:tc>
      </w:tr>
      <w:tr>
        <w:trPr>
          <w:trHeight w:val="379" w:hRule="exact"/>
        </w:trPr>
        <w:tc>
          <w:tcPr>
            <w:tcW w:w="3833" w:type="dxa"/>
            <w:tcBorders>
              <w:top w:val="nil"/>
              <w:left w:val="nil"/>
              <w:bottom w:val="nil"/>
              <w:right w:val="nil"/>
            </w:tcBorders>
          </w:tcPr>
          <w:p>
            <w:pPr>
              <w:pStyle w:val="TableParagraph"/>
              <w:spacing w:line="241" w:lineRule="exact"/>
              <w:ind w:right="1846"/>
              <w:jc w:val="right"/>
              <w:rPr>
                <w:sz w:val="22"/>
              </w:rPr>
            </w:pPr>
            <w:r>
              <w:rPr>
                <w:w w:val="100"/>
                <w:sz w:val="22"/>
              </w:rPr>
              <w:t>d</w:t>
            </w:r>
          </w:p>
        </w:tc>
        <w:tc>
          <w:tcPr>
            <w:tcW w:w="1795" w:type="dxa"/>
            <w:tcBorders>
              <w:top w:val="nil"/>
              <w:left w:val="nil"/>
              <w:bottom w:val="nil"/>
              <w:right w:val="nil"/>
            </w:tcBorders>
          </w:tcPr>
          <w:p>
            <w:pPr>
              <w:pStyle w:val="TableParagraph"/>
              <w:spacing w:line="241" w:lineRule="exact"/>
              <w:ind w:left="130" w:right="183"/>
              <w:rPr>
                <w:sz w:val="22"/>
              </w:rPr>
            </w:pPr>
            <w:r>
              <w:rPr>
                <w:sz w:val="22"/>
              </w:rPr>
              <w:t>-0.003 (± 0.002)</w:t>
            </w:r>
          </w:p>
        </w:tc>
        <w:tc>
          <w:tcPr>
            <w:tcW w:w="1166" w:type="dxa"/>
            <w:tcBorders>
              <w:top w:val="nil"/>
              <w:left w:val="nil"/>
              <w:bottom w:val="nil"/>
              <w:right w:val="nil"/>
            </w:tcBorders>
          </w:tcPr>
          <w:p>
            <w:pPr>
              <w:pStyle w:val="TableParagraph"/>
              <w:spacing w:line="241" w:lineRule="exact"/>
              <w:ind w:left="183" w:right="176"/>
              <w:rPr>
                <w:sz w:val="22"/>
              </w:rPr>
            </w:pPr>
            <w:r>
              <w:rPr>
                <w:sz w:val="22"/>
              </w:rPr>
              <w:t>-41.95</w:t>
            </w:r>
          </w:p>
        </w:tc>
        <w:tc>
          <w:tcPr>
            <w:tcW w:w="1356" w:type="dxa"/>
            <w:tcBorders>
              <w:top w:val="nil"/>
              <w:left w:val="nil"/>
              <w:bottom w:val="nil"/>
              <w:right w:val="nil"/>
            </w:tcBorders>
          </w:tcPr>
          <w:p>
            <w:pPr>
              <w:pStyle w:val="TableParagraph"/>
              <w:spacing w:line="241" w:lineRule="exact"/>
              <w:ind w:left="179" w:right="143"/>
              <w:rPr>
                <w:sz w:val="22"/>
              </w:rPr>
            </w:pPr>
            <w:r>
              <w:rPr>
                <w:sz w:val="22"/>
              </w:rPr>
              <w:t>0.70</w:t>
            </w:r>
          </w:p>
        </w:tc>
        <w:tc>
          <w:tcPr>
            <w:tcW w:w="1039" w:type="dxa"/>
            <w:tcBorders>
              <w:top w:val="nil"/>
              <w:left w:val="nil"/>
              <w:bottom w:val="nil"/>
              <w:right w:val="nil"/>
            </w:tcBorders>
          </w:tcPr>
          <w:p>
            <w:pPr>
              <w:pStyle w:val="TableParagraph"/>
              <w:spacing w:line="241" w:lineRule="exact"/>
              <w:ind w:left="196"/>
              <w:jc w:val="left"/>
              <w:rPr>
                <w:sz w:val="22"/>
              </w:rPr>
            </w:pPr>
            <w:r>
              <w:rPr>
                <w:sz w:val="22"/>
              </w:rPr>
              <w:t>0.8936</w:t>
            </w:r>
          </w:p>
        </w:tc>
      </w:tr>
      <w:tr>
        <w:trPr>
          <w:trHeight w:val="640" w:hRule="exact"/>
        </w:trPr>
        <w:tc>
          <w:tcPr>
            <w:tcW w:w="3833" w:type="dxa"/>
            <w:tcBorders>
              <w:top w:val="nil"/>
              <w:left w:val="nil"/>
              <w:bottom w:val="nil"/>
              <w:right w:val="nil"/>
            </w:tcBorders>
          </w:tcPr>
          <w:p>
            <w:pPr>
              <w:pStyle w:val="TableParagraph"/>
              <w:spacing w:line="220" w:lineRule="exact" w:before="175"/>
              <w:ind w:left="122" w:right="201"/>
              <w:jc w:val="left"/>
              <w:rPr>
                <w:i/>
                <w:sz w:val="14"/>
              </w:rPr>
            </w:pPr>
            <w:r>
              <w:rPr>
                <w:i/>
                <w:position w:val="3"/>
                <w:sz w:val="22"/>
              </w:rPr>
              <w:t>pgr </w:t>
            </w:r>
            <w:r>
              <w:rPr>
                <w:i/>
                <w:sz w:val="14"/>
              </w:rPr>
              <w:t>t, N. narica </w:t>
            </w:r>
            <w:r>
              <w:rPr>
                <w:position w:val="3"/>
                <w:sz w:val="22"/>
              </w:rPr>
              <w:t>= a + b*ln(</w:t>
            </w:r>
            <w:r>
              <w:rPr>
                <w:i/>
                <w:position w:val="3"/>
                <w:sz w:val="22"/>
              </w:rPr>
              <w:t>RAI </w:t>
            </w:r>
            <w:r>
              <w:rPr>
                <w:i/>
                <w:sz w:val="14"/>
              </w:rPr>
              <w:t>t, P. concolor</w:t>
            </w:r>
            <w:r>
              <w:rPr>
                <w:position w:val="3"/>
                <w:sz w:val="22"/>
              </w:rPr>
              <w:t>) + </w:t>
            </w:r>
            <w:r>
              <w:rPr>
                <w:sz w:val="22"/>
              </w:rPr>
              <w:t>c*ln(</w:t>
            </w:r>
            <w:r>
              <w:rPr>
                <w:i/>
                <w:sz w:val="22"/>
              </w:rPr>
              <w:t>RAI </w:t>
            </w:r>
            <w:r>
              <w:rPr>
                <w:i/>
                <w:position w:val="-2"/>
                <w:sz w:val="14"/>
              </w:rPr>
              <w:t>t, N. narica</w:t>
            </w:r>
            <w:r>
              <w:rPr>
                <w:sz w:val="22"/>
              </w:rPr>
              <w:t>) + d*Precipitation</w:t>
            </w:r>
            <w:r>
              <w:rPr>
                <w:i/>
                <w:position w:val="-2"/>
                <w:sz w:val="14"/>
              </w:rPr>
              <w:t>t</w:t>
            </w:r>
          </w:p>
        </w:tc>
        <w:tc>
          <w:tcPr>
            <w:tcW w:w="1795" w:type="dxa"/>
            <w:tcBorders>
              <w:top w:val="nil"/>
              <w:left w:val="nil"/>
              <w:bottom w:val="nil"/>
              <w:right w:val="nil"/>
            </w:tcBorders>
          </w:tcPr>
          <w:p>
            <w:pPr>
              <w:pStyle w:val="TableParagraph"/>
              <w:spacing w:before="115"/>
              <w:ind w:right="57"/>
              <w:rPr>
                <w:sz w:val="22"/>
              </w:rPr>
            </w:pPr>
            <w:r>
              <w:rPr>
                <w:w w:val="100"/>
                <w:sz w:val="22"/>
              </w:rPr>
              <w:t>-</w:t>
            </w:r>
          </w:p>
        </w:tc>
        <w:tc>
          <w:tcPr>
            <w:tcW w:w="1166" w:type="dxa"/>
            <w:tcBorders>
              <w:top w:val="nil"/>
              <w:left w:val="nil"/>
              <w:bottom w:val="nil"/>
              <w:right w:val="nil"/>
            </w:tcBorders>
          </w:tcPr>
          <w:p>
            <w:pPr>
              <w:pStyle w:val="TableParagraph"/>
              <w:spacing w:before="115"/>
              <w:ind w:left="183" w:right="174"/>
              <w:rPr>
                <w:sz w:val="22"/>
              </w:rPr>
            </w:pPr>
            <w:r>
              <w:rPr>
                <w:sz w:val="22"/>
              </w:rPr>
              <w:t>12.87</w:t>
            </w:r>
          </w:p>
        </w:tc>
        <w:tc>
          <w:tcPr>
            <w:tcW w:w="1356" w:type="dxa"/>
            <w:tcBorders>
              <w:top w:val="nil"/>
              <w:left w:val="nil"/>
              <w:bottom w:val="nil"/>
              <w:right w:val="nil"/>
            </w:tcBorders>
          </w:tcPr>
          <w:p>
            <w:pPr>
              <w:pStyle w:val="TableParagraph"/>
              <w:spacing w:before="115"/>
              <w:ind w:left="179" w:right="143"/>
              <w:rPr>
                <w:sz w:val="22"/>
              </w:rPr>
            </w:pPr>
            <w:r>
              <w:rPr>
                <w:sz w:val="22"/>
              </w:rPr>
              <w:t>43.62</w:t>
            </w:r>
          </w:p>
        </w:tc>
        <w:tc>
          <w:tcPr>
            <w:tcW w:w="1039" w:type="dxa"/>
            <w:tcBorders>
              <w:top w:val="nil"/>
              <w:left w:val="nil"/>
              <w:bottom w:val="nil"/>
              <w:right w:val="nil"/>
            </w:tcBorders>
          </w:tcPr>
          <w:p>
            <w:pPr>
              <w:pStyle w:val="TableParagraph"/>
              <w:spacing w:before="115"/>
              <w:ind w:left="196"/>
              <w:jc w:val="left"/>
              <w:rPr>
                <w:sz w:val="22"/>
              </w:rPr>
            </w:pPr>
            <w:r>
              <w:rPr>
                <w:sz w:val="22"/>
              </w:rPr>
              <w:t>0.2339</w:t>
            </w:r>
          </w:p>
        </w:tc>
      </w:tr>
      <w:tr>
        <w:trPr>
          <w:trHeight w:val="246" w:hRule="exact"/>
        </w:trPr>
        <w:tc>
          <w:tcPr>
            <w:tcW w:w="3833" w:type="dxa"/>
            <w:tcBorders>
              <w:top w:val="nil"/>
              <w:left w:val="nil"/>
              <w:bottom w:val="nil"/>
              <w:right w:val="nil"/>
            </w:tcBorders>
          </w:tcPr>
          <w:p>
            <w:pPr>
              <w:pStyle w:val="TableParagraph"/>
              <w:spacing w:line="234" w:lineRule="exact"/>
              <w:ind w:right="1853"/>
              <w:jc w:val="right"/>
              <w:rPr>
                <w:sz w:val="22"/>
              </w:rPr>
            </w:pPr>
            <w:r>
              <w:rPr>
                <w:w w:val="100"/>
                <w:sz w:val="22"/>
              </w:rPr>
              <w:t>a</w:t>
            </w:r>
          </w:p>
        </w:tc>
        <w:tc>
          <w:tcPr>
            <w:tcW w:w="1795" w:type="dxa"/>
            <w:tcBorders>
              <w:top w:val="nil"/>
              <w:left w:val="nil"/>
              <w:bottom w:val="nil"/>
              <w:right w:val="nil"/>
            </w:tcBorders>
          </w:tcPr>
          <w:p>
            <w:pPr>
              <w:pStyle w:val="TableParagraph"/>
              <w:spacing w:line="234" w:lineRule="exact"/>
              <w:ind w:left="125" w:right="183"/>
              <w:rPr>
                <w:sz w:val="22"/>
              </w:rPr>
            </w:pPr>
            <w:r>
              <w:rPr>
                <w:sz w:val="22"/>
              </w:rPr>
              <w:t>0.54 (± 0.38)</w:t>
            </w:r>
          </w:p>
        </w:tc>
        <w:tc>
          <w:tcPr>
            <w:tcW w:w="1166" w:type="dxa"/>
            <w:tcBorders>
              <w:top w:val="nil"/>
              <w:left w:val="nil"/>
              <w:bottom w:val="nil"/>
              <w:right w:val="nil"/>
            </w:tcBorders>
          </w:tcPr>
          <w:p>
            <w:pPr>
              <w:pStyle w:val="TableParagraph"/>
              <w:spacing w:line="234" w:lineRule="exact"/>
              <w:ind w:left="183" w:right="176"/>
              <w:rPr>
                <w:sz w:val="22"/>
              </w:rPr>
            </w:pPr>
            <w:r>
              <w:rPr>
                <w:sz w:val="22"/>
              </w:rPr>
              <w:t>-8.87</w:t>
            </w:r>
          </w:p>
        </w:tc>
        <w:tc>
          <w:tcPr>
            <w:tcW w:w="1356" w:type="dxa"/>
            <w:tcBorders>
              <w:top w:val="nil"/>
              <w:left w:val="nil"/>
              <w:bottom w:val="nil"/>
              <w:right w:val="nil"/>
            </w:tcBorders>
          </w:tcPr>
          <w:p>
            <w:pPr>
              <w:pStyle w:val="TableParagraph"/>
              <w:spacing w:line="234" w:lineRule="exact"/>
              <w:ind w:left="179" w:right="143"/>
              <w:rPr>
                <w:sz w:val="22"/>
              </w:rPr>
            </w:pPr>
            <w:r>
              <w:rPr>
                <w:sz w:val="22"/>
              </w:rPr>
              <w:t>29.35</w:t>
            </w:r>
          </w:p>
        </w:tc>
        <w:tc>
          <w:tcPr>
            <w:tcW w:w="1039" w:type="dxa"/>
            <w:tcBorders>
              <w:top w:val="nil"/>
              <w:left w:val="nil"/>
              <w:bottom w:val="nil"/>
              <w:right w:val="nil"/>
            </w:tcBorders>
          </w:tcPr>
          <w:p>
            <w:pPr>
              <w:pStyle w:val="TableParagraph"/>
              <w:spacing w:line="234" w:lineRule="exact"/>
              <w:ind w:left="196"/>
              <w:jc w:val="left"/>
              <w:rPr>
                <w:sz w:val="22"/>
              </w:rPr>
            </w:pPr>
            <w:r>
              <w:rPr>
                <w:sz w:val="22"/>
              </w:rPr>
              <w:t>0.2091</w:t>
            </w:r>
          </w:p>
        </w:tc>
      </w:tr>
      <w:tr>
        <w:trPr>
          <w:trHeight w:val="253" w:hRule="exact"/>
        </w:trPr>
        <w:tc>
          <w:tcPr>
            <w:tcW w:w="3833" w:type="dxa"/>
            <w:tcBorders>
              <w:top w:val="nil"/>
              <w:left w:val="nil"/>
              <w:bottom w:val="nil"/>
              <w:right w:val="nil"/>
            </w:tcBorders>
          </w:tcPr>
          <w:p>
            <w:pPr>
              <w:pStyle w:val="TableParagraph"/>
              <w:spacing w:line="241" w:lineRule="exact"/>
              <w:ind w:right="1846"/>
              <w:jc w:val="right"/>
              <w:rPr>
                <w:sz w:val="22"/>
              </w:rPr>
            </w:pPr>
            <w:r>
              <w:rPr>
                <w:w w:val="100"/>
                <w:sz w:val="22"/>
              </w:rPr>
              <w:t>b</w:t>
            </w:r>
          </w:p>
        </w:tc>
        <w:tc>
          <w:tcPr>
            <w:tcW w:w="1795" w:type="dxa"/>
            <w:tcBorders>
              <w:top w:val="nil"/>
              <w:left w:val="nil"/>
              <w:bottom w:val="nil"/>
              <w:right w:val="nil"/>
            </w:tcBorders>
          </w:tcPr>
          <w:p>
            <w:pPr>
              <w:pStyle w:val="TableParagraph"/>
              <w:spacing w:line="241" w:lineRule="exact"/>
              <w:ind w:left="130" w:right="183"/>
              <w:rPr>
                <w:sz w:val="22"/>
              </w:rPr>
            </w:pPr>
            <w:r>
              <w:rPr>
                <w:sz w:val="22"/>
              </w:rPr>
              <w:t>0.11 (± 0.30)</w:t>
            </w:r>
          </w:p>
        </w:tc>
        <w:tc>
          <w:tcPr>
            <w:tcW w:w="1166" w:type="dxa"/>
            <w:tcBorders>
              <w:top w:val="nil"/>
              <w:left w:val="nil"/>
              <w:bottom w:val="nil"/>
              <w:right w:val="nil"/>
            </w:tcBorders>
          </w:tcPr>
          <w:p>
            <w:pPr>
              <w:pStyle w:val="TableParagraph"/>
              <w:spacing w:line="241" w:lineRule="exact"/>
              <w:ind w:left="183" w:right="176"/>
              <w:rPr>
                <w:sz w:val="22"/>
              </w:rPr>
            </w:pPr>
            <w:r>
              <w:rPr>
                <w:sz w:val="22"/>
              </w:rPr>
              <w:t>-11.77</w:t>
            </w:r>
          </w:p>
        </w:tc>
        <w:tc>
          <w:tcPr>
            <w:tcW w:w="1356" w:type="dxa"/>
            <w:tcBorders>
              <w:top w:val="nil"/>
              <w:left w:val="nil"/>
              <w:bottom w:val="nil"/>
              <w:right w:val="nil"/>
            </w:tcBorders>
          </w:tcPr>
          <w:p>
            <w:pPr>
              <w:pStyle w:val="TableParagraph"/>
              <w:spacing w:line="241" w:lineRule="exact"/>
              <w:ind w:left="179" w:right="143"/>
              <w:rPr>
                <w:sz w:val="22"/>
              </w:rPr>
            </w:pPr>
            <w:r>
              <w:rPr>
                <w:sz w:val="22"/>
              </w:rPr>
              <w:t>2.58</w:t>
            </w:r>
          </w:p>
        </w:tc>
        <w:tc>
          <w:tcPr>
            <w:tcW w:w="1039" w:type="dxa"/>
            <w:tcBorders>
              <w:top w:val="nil"/>
              <w:left w:val="nil"/>
              <w:bottom w:val="nil"/>
              <w:right w:val="nil"/>
            </w:tcBorders>
          </w:tcPr>
          <w:p>
            <w:pPr>
              <w:pStyle w:val="TableParagraph"/>
              <w:spacing w:line="241" w:lineRule="exact"/>
              <w:ind w:left="167"/>
              <w:jc w:val="left"/>
              <w:rPr>
                <w:sz w:val="22"/>
              </w:rPr>
            </w:pPr>
            <w:r>
              <w:rPr>
                <w:sz w:val="22"/>
              </w:rPr>
              <w:t>0. 7309</w:t>
            </w:r>
          </w:p>
        </w:tc>
      </w:tr>
      <w:tr>
        <w:trPr>
          <w:trHeight w:val="253" w:hRule="exact"/>
        </w:trPr>
        <w:tc>
          <w:tcPr>
            <w:tcW w:w="3833" w:type="dxa"/>
            <w:tcBorders>
              <w:top w:val="nil"/>
              <w:left w:val="nil"/>
              <w:bottom w:val="nil"/>
              <w:right w:val="nil"/>
            </w:tcBorders>
          </w:tcPr>
          <w:p>
            <w:pPr>
              <w:pStyle w:val="TableParagraph"/>
              <w:spacing w:line="242" w:lineRule="exact"/>
              <w:ind w:right="1853"/>
              <w:jc w:val="right"/>
              <w:rPr>
                <w:sz w:val="22"/>
              </w:rPr>
            </w:pPr>
            <w:r>
              <w:rPr>
                <w:w w:val="100"/>
                <w:sz w:val="22"/>
              </w:rPr>
              <w:t>c</w:t>
            </w:r>
          </w:p>
        </w:tc>
        <w:tc>
          <w:tcPr>
            <w:tcW w:w="1795" w:type="dxa"/>
            <w:tcBorders>
              <w:top w:val="nil"/>
              <w:left w:val="nil"/>
              <w:bottom w:val="nil"/>
              <w:right w:val="nil"/>
            </w:tcBorders>
          </w:tcPr>
          <w:p>
            <w:pPr>
              <w:pStyle w:val="TableParagraph"/>
              <w:spacing w:line="242" w:lineRule="exact"/>
              <w:ind w:left="127" w:right="183"/>
              <w:rPr>
                <w:sz w:val="22"/>
              </w:rPr>
            </w:pPr>
            <w:r>
              <w:rPr>
                <w:sz w:val="22"/>
              </w:rPr>
              <w:t>-0.33 (± 0.30)</w:t>
            </w:r>
          </w:p>
        </w:tc>
        <w:tc>
          <w:tcPr>
            <w:tcW w:w="1166" w:type="dxa"/>
            <w:tcBorders>
              <w:top w:val="nil"/>
              <w:left w:val="nil"/>
              <w:bottom w:val="nil"/>
              <w:right w:val="nil"/>
            </w:tcBorders>
          </w:tcPr>
          <w:p>
            <w:pPr>
              <w:pStyle w:val="TableParagraph"/>
              <w:spacing w:line="242" w:lineRule="exact"/>
              <w:ind w:left="183" w:right="176"/>
              <w:rPr>
                <w:sz w:val="22"/>
              </w:rPr>
            </w:pPr>
            <w:r>
              <w:rPr>
                <w:sz w:val="22"/>
              </w:rPr>
              <w:t>-10.05</w:t>
            </w:r>
          </w:p>
        </w:tc>
        <w:tc>
          <w:tcPr>
            <w:tcW w:w="1356" w:type="dxa"/>
            <w:tcBorders>
              <w:top w:val="nil"/>
              <w:left w:val="nil"/>
              <w:bottom w:val="nil"/>
              <w:right w:val="nil"/>
            </w:tcBorders>
          </w:tcPr>
          <w:p>
            <w:pPr>
              <w:pStyle w:val="TableParagraph"/>
              <w:spacing w:line="242" w:lineRule="exact"/>
              <w:ind w:left="179" w:right="143"/>
              <w:rPr>
                <w:sz w:val="22"/>
              </w:rPr>
            </w:pPr>
            <w:r>
              <w:rPr>
                <w:sz w:val="22"/>
              </w:rPr>
              <w:t>19.44</w:t>
            </w:r>
          </w:p>
        </w:tc>
        <w:tc>
          <w:tcPr>
            <w:tcW w:w="1039" w:type="dxa"/>
            <w:tcBorders>
              <w:top w:val="nil"/>
              <w:left w:val="nil"/>
              <w:bottom w:val="nil"/>
              <w:right w:val="nil"/>
            </w:tcBorders>
          </w:tcPr>
          <w:p>
            <w:pPr>
              <w:pStyle w:val="TableParagraph"/>
              <w:spacing w:line="242" w:lineRule="exact"/>
              <w:ind w:left="196"/>
              <w:jc w:val="left"/>
              <w:rPr>
                <w:sz w:val="22"/>
              </w:rPr>
            </w:pPr>
            <w:r>
              <w:rPr>
                <w:sz w:val="22"/>
              </w:rPr>
              <w:t>0.3220</w:t>
            </w:r>
          </w:p>
        </w:tc>
      </w:tr>
      <w:tr>
        <w:trPr>
          <w:trHeight w:val="379" w:hRule="exact"/>
        </w:trPr>
        <w:tc>
          <w:tcPr>
            <w:tcW w:w="3833" w:type="dxa"/>
            <w:tcBorders>
              <w:top w:val="nil"/>
              <w:left w:val="nil"/>
              <w:bottom w:val="nil"/>
              <w:right w:val="nil"/>
            </w:tcBorders>
          </w:tcPr>
          <w:p>
            <w:pPr>
              <w:pStyle w:val="TableParagraph"/>
              <w:spacing w:line="241" w:lineRule="exact"/>
              <w:ind w:right="1846"/>
              <w:jc w:val="right"/>
              <w:rPr>
                <w:sz w:val="22"/>
              </w:rPr>
            </w:pPr>
            <w:r>
              <w:rPr>
                <w:w w:val="100"/>
                <w:sz w:val="22"/>
              </w:rPr>
              <w:t>d</w:t>
            </w:r>
          </w:p>
        </w:tc>
        <w:tc>
          <w:tcPr>
            <w:tcW w:w="1795" w:type="dxa"/>
            <w:tcBorders>
              <w:top w:val="nil"/>
              <w:left w:val="nil"/>
              <w:bottom w:val="nil"/>
              <w:right w:val="nil"/>
            </w:tcBorders>
          </w:tcPr>
          <w:p>
            <w:pPr>
              <w:pStyle w:val="TableParagraph"/>
              <w:spacing w:line="241" w:lineRule="exact"/>
              <w:ind w:left="130" w:right="183"/>
              <w:rPr>
                <w:sz w:val="22"/>
              </w:rPr>
            </w:pPr>
            <w:r>
              <w:rPr>
                <w:sz w:val="22"/>
              </w:rPr>
              <w:t>0.003 (± 0.002)</w:t>
            </w:r>
          </w:p>
        </w:tc>
        <w:tc>
          <w:tcPr>
            <w:tcW w:w="1166" w:type="dxa"/>
            <w:tcBorders>
              <w:top w:val="nil"/>
              <w:left w:val="nil"/>
              <w:bottom w:val="nil"/>
              <w:right w:val="nil"/>
            </w:tcBorders>
          </w:tcPr>
          <w:p>
            <w:pPr>
              <w:pStyle w:val="TableParagraph"/>
              <w:spacing w:line="241" w:lineRule="exact"/>
              <w:ind w:left="183" w:right="176"/>
              <w:rPr>
                <w:sz w:val="22"/>
              </w:rPr>
            </w:pPr>
            <w:r>
              <w:rPr>
                <w:sz w:val="22"/>
              </w:rPr>
              <w:t>-9.57</w:t>
            </w:r>
          </w:p>
        </w:tc>
        <w:tc>
          <w:tcPr>
            <w:tcW w:w="1356" w:type="dxa"/>
            <w:tcBorders>
              <w:top w:val="nil"/>
              <w:left w:val="nil"/>
              <w:bottom w:val="nil"/>
              <w:right w:val="nil"/>
            </w:tcBorders>
          </w:tcPr>
          <w:p>
            <w:pPr>
              <w:pStyle w:val="TableParagraph"/>
              <w:spacing w:line="241" w:lineRule="exact"/>
              <w:ind w:left="179" w:right="143"/>
              <w:rPr>
                <w:sz w:val="22"/>
              </w:rPr>
            </w:pPr>
            <w:r>
              <w:rPr>
                <w:sz w:val="22"/>
              </w:rPr>
              <w:t>23.68</w:t>
            </w:r>
          </w:p>
        </w:tc>
        <w:tc>
          <w:tcPr>
            <w:tcW w:w="1039" w:type="dxa"/>
            <w:tcBorders>
              <w:top w:val="nil"/>
              <w:left w:val="nil"/>
              <w:bottom w:val="nil"/>
              <w:right w:val="nil"/>
            </w:tcBorders>
          </w:tcPr>
          <w:p>
            <w:pPr>
              <w:pStyle w:val="TableParagraph"/>
              <w:spacing w:line="241" w:lineRule="exact"/>
              <w:ind w:left="196"/>
              <w:jc w:val="left"/>
              <w:rPr>
                <w:sz w:val="22"/>
              </w:rPr>
            </w:pPr>
            <w:r>
              <w:rPr>
                <w:sz w:val="22"/>
              </w:rPr>
              <w:t>0.2681</w:t>
            </w:r>
          </w:p>
        </w:tc>
      </w:tr>
      <w:tr>
        <w:trPr>
          <w:trHeight w:val="894" w:hRule="exact"/>
        </w:trPr>
        <w:tc>
          <w:tcPr>
            <w:tcW w:w="3833" w:type="dxa"/>
            <w:tcBorders>
              <w:top w:val="nil"/>
              <w:left w:val="nil"/>
              <w:bottom w:val="nil"/>
              <w:right w:val="nil"/>
            </w:tcBorders>
          </w:tcPr>
          <w:p>
            <w:pPr>
              <w:pStyle w:val="TableParagraph"/>
              <w:spacing w:line="259" w:lineRule="exact" w:before="116"/>
              <w:ind w:left="122"/>
              <w:jc w:val="left"/>
              <w:rPr>
                <w:sz w:val="22"/>
              </w:rPr>
            </w:pPr>
            <w:r>
              <w:rPr>
                <w:i/>
                <w:position w:val="3"/>
                <w:sz w:val="22"/>
              </w:rPr>
              <w:t>pgr </w:t>
            </w:r>
            <w:r>
              <w:rPr>
                <w:i/>
                <w:sz w:val="14"/>
              </w:rPr>
              <w:t>t, O. virginianus </w:t>
            </w:r>
            <w:r>
              <w:rPr>
                <w:position w:val="3"/>
                <w:sz w:val="22"/>
              </w:rPr>
              <w:t>= a + b*ln(</w:t>
            </w:r>
            <w:r>
              <w:rPr>
                <w:i/>
                <w:position w:val="3"/>
                <w:sz w:val="22"/>
              </w:rPr>
              <w:t>RAI </w:t>
            </w:r>
            <w:r>
              <w:rPr>
                <w:i/>
                <w:sz w:val="14"/>
              </w:rPr>
              <w:t>t, P. concolor</w:t>
            </w:r>
            <w:r>
              <w:rPr>
                <w:position w:val="3"/>
                <w:sz w:val="22"/>
              </w:rPr>
              <w:t>)</w:t>
            </w:r>
          </w:p>
          <w:p>
            <w:pPr>
              <w:pStyle w:val="TableParagraph"/>
              <w:spacing w:line="224" w:lineRule="exact" w:before="49"/>
              <w:ind w:left="122" w:right="201"/>
              <w:jc w:val="left"/>
              <w:rPr>
                <w:i/>
                <w:sz w:val="14"/>
              </w:rPr>
            </w:pPr>
            <w:r>
              <w:rPr>
                <w:position w:val="3"/>
                <w:sz w:val="22"/>
              </w:rPr>
              <w:t>+ c*ln(</w:t>
            </w:r>
            <w:r>
              <w:rPr>
                <w:i/>
                <w:position w:val="3"/>
                <w:sz w:val="22"/>
              </w:rPr>
              <w:t>RAI </w:t>
            </w:r>
            <w:r>
              <w:rPr>
                <w:i/>
                <w:sz w:val="14"/>
              </w:rPr>
              <w:t>t, O. virginianus</w:t>
            </w:r>
            <w:r>
              <w:rPr>
                <w:position w:val="3"/>
                <w:sz w:val="22"/>
              </w:rPr>
              <w:t>) + </w:t>
            </w:r>
            <w:r>
              <w:rPr>
                <w:sz w:val="22"/>
              </w:rPr>
              <w:t>d*Precipitation</w:t>
            </w:r>
            <w:r>
              <w:rPr>
                <w:i/>
                <w:position w:val="-2"/>
                <w:sz w:val="14"/>
              </w:rPr>
              <w:t>t</w:t>
            </w:r>
          </w:p>
        </w:tc>
        <w:tc>
          <w:tcPr>
            <w:tcW w:w="1795" w:type="dxa"/>
            <w:tcBorders>
              <w:top w:val="nil"/>
              <w:left w:val="nil"/>
              <w:bottom w:val="nil"/>
              <w:right w:val="nil"/>
            </w:tcBorders>
          </w:tcPr>
          <w:p>
            <w:pPr>
              <w:pStyle w:val="TableParagraph"/>
              <w:spacing w:before="115"/>
              <w:ind w:right="57"/>
              <w:rPr>
                <w:sz w:val="22"/>
              </w:rPr>
            </w:pPr>
            <w:r>
              <w:rPr>
                <w:w w:val="100"/>
                <w:sz w:val="22"/>
              </w:rPr>
              <w:t>-</w:t>
            </w:r>
          </w:p>
        </w:tc>
        <w:tc>
          <w:tcPr>
            <w:tcW w:w="1166" w:type="dxa"/>
            <w:tcBorders>
              <w:top w:val="nil"/>
              <w:left w:val="nil"/>
              <w:bottom w:val="nil"/>
              <w:right w:val="nil"/>
            </w:tcBorders>
          </w:tcPr>
          <w:p>
            <w:pPr>
              <w:pStyle w:val="TableParagraph"/>
              <w:spacing w:before="115"/>
              <w:ind w:left="183" w:right="174"/>
              <w:rPr>
                <w:sz w:val="22"/>
              </w:rPr>
            </w:pPr>
            <w:r>
              <w:rPr>
                <w:sz w:val="22"/>
              </w:rPr>
              <w:t>19.60</w:t>
            </w:r>
          </w:p>
        </w:tc>
        <w:tc>
          <w:tcPr>
            <w:tcW w:w="1356" w:type="dxa"/>
            <w:tcBorders>
              <w:top w:val="nil"/>
              <w:left w:val="nil"/>
              <w:bottom w:val="nil"/>
              <w:right w:val="nil"/>
            </w:tcBorders>
          </w:tcPr>
          <w:p>
            <w:pPr>
              <w:pStyle w:val="TableParagraph"/>
              <w:spacing w:before="115"/>
              <w:ind w:left="179" w:right="143"/>
              <w:rPr>
                <w:sz w:val="22"/>
              </w:rPr>
            </w:pPr>
            <w:r>
              <w:rPr>
                <w:sz w:val="22"/>
              </w:rPr>
              <w:t>60.51</w:t>
            </w:r>
          </w:p>
        </w:tc>
        <w:tc>
          <w:tcPr>
            <w:tcW w:w="1039" w:type="dxa"/>
            <w:tcBorders>
              <w:top w:val="nil"/>
              <w:left w:val="nil"/>
              <w:bottom w:val="nil"/>
              <w:right w:val="nil"/>
            </w:tcBorders>
          </w:tcPr>
          <w:p>
            <w:pPr>
              <w:pStyle w:val="TableParagraph"/>
              <w:spacing w:before="115"/>
              <w:ind w:left="196"/>
              <w:jc w:val="left"/>
              <w:rPr>
                <w:sz w:val="22"/>
              </w:rPr>
            </w:pPr>
            <w:r>
              <w:rPr>
                <w:sz w:val="22"/>
              </w:rPr>
              <w:t>0.0749</w:t>
            </w:r>
          </w:p>
        </w:tc>
      </w:tr>
      <w:tr>
        <w:trPr>
          <w:trHeight w:val="246" w:hRule="exact"/>
        </w:trPr>
        <w:tc>
          <w:tcPr>
            <w:tcW w:w="3833" w:type="dxa"/>
            <w:tcBorders>
              <w:top w:val="nil"/>
              <w:left w:val="nil"/>
              <w:bottom w:val="nil"/>
              <w:right w:val="nil"/>
            </w:tcBorders>
          </w:tcPr>
          <w:p>
            <w:pPr>
              <w:pStyle w:val="TableParagraph"/>
              <w:spacing w:line="234" w:lineRule="exact"/>
              <w:ind w:right="1853"/>
              <w:jc w:val="right"/>
              <w:rPr>
                <w:sz w:val="22"/>
              </w:rPr>
            </w:pPr>
            <w:r>
              <w:rPr>
                <w:w w:val="100"/>
                <w:sz w:val="22"/>
              </w:rPr>
              <w:t>a</w:t>
            </w:r>
          </w:p>
        </w:tc>
        <w:tc>
          <w:tcPr>
            <w:tcW w:w="1795" w:type="dxa"/>
            <w:tcBorders>
              <w:top w:val="nil"/>
              <w:left w:val="nil"/>
              <w:bottom w:val="nil"/>
              <w:right w:val="nil"/>
            </w:tcBorders>
          </w:tcPr>
          <w:p>
            <w:pPr>
              <w:pStyle w:val="TableParagraph"/>
              <w:spacing w:line="234" w:lineRule="exact"/>
              <w:ind w:left="130" w:right="183"/>
              <w:rPr>
                <w:sz w:val="22"/>
              </w:rPr>
            </w:pPr>
            <w:r>
              <w:rPr>
                <w:sz w:val="22"/>
              </w:rPr>
              <w:t>0.29 (± 0.38)</w:t>
            </w:r>
          </w:p>
        </w:tc>
        <w:tc>
          <w:tcPr>
            <w:tcW w:w="1166" w:type="dxa"/>
            <w:tcBorders>
              <w:top w:val="nil"/>
              <w:left w:val="nil"/>
              <w:bottom w:val="nil"/>
              <w:right w:val="nil"/>
            </w:tcBorders>
          </w:tcPr>
          <w:p>
            <w:pPr>
              <w:pStyle w:val="TableParagraph"/>
              <w:spacing w:line="234" w:lineRule="exact"/>
              <w:ind w:left="183" w:right="176"/>
              <w:rPr>
                <w:sz w:val="22"/>
              </w:rPr>
            </w:pPr>
            <w:r>
              <w:rPr>
                <w:sz w:val="22"/>
              </w:rPr>
              <w:t>-11.01</w:t>
            </w:r>
          </w:p>
        </w:tc>
        <w:tc>
          <w:tcPr>
            <w:tcW w:w="1356" w:type="dxa"/>
            <w:tcBorders>
              <w:top w:val="nil"/>
              <w:left w:val="nil"/>
              <w:bottom w:val="nil"/>
              <w:right w:val="nil"/>
            </w:tcBorders>
          </w:tcPr>
          <w:p>
            <w:pPr>
              <w:pStyle w:val="TableParagraph"/>
              <w:spacing w:line="234" w:lineRule="exact"/>
              <w:ind w:left="179" w:right="143"/>
              <w:rPr>
                <w:sz w:val="22"/>
              </w:rPr>
            </w:pPr>
            <w:r>
              <w:rPr>
                <w:sz w:val="22"/>
              </w:rPr>
              <w:t>10.37</w:t>
            </w:r>
          </w:p>
        </w:tc>
        <w:tc>
          <w:tcPr>
            <w:tcW w:w="1039" w:type="dxa"/>
            <w:tcBorders>
              <w:top w:val="nil"/>
              <w:left w:val="nil"/>
              <w:bottom w:val="nil"/>
              <w:right w:val="nil"/>
            </w:tcBorders>
          </w:tcPr>
          <w:p>
            <w:pPr>
              <w:pStyle w:val="TableParagraph"/>
              <w:spacing w:line="234" w:lineRule="exact"/>
              <w:ind w:left="196"/>
              <w:jc w:val="left"/>
              <w:rPr>
                <w:sz w:val="22"/>
              </w:rPr>
            </w:pPr>
            <w:r>
              <w:rPr>
                <w:sz w:val="22"/>
              </w:rPr>
              <w:t>0.4811</w:t>
            </w:r>
          </w:p>
        </w:tc>
      </w:tr>
      <w:tr>
        <w:trPr>
          <w:trHeight w:val="252" w:hRule="exact"/>
        </w:trPr>
        <w:tc>
          <w:tcPr>
            <w:tcW w:w="3833" w:type="dxa"/>
            <w:tcBorders>
              <w:top w:val="nil"/>
              <w:left w:val="nil"/>
              <w:bottom w:val="nil"/>
              <w:right w:val="nil"/>
            </w:tcBorders>
          </w:tcPr>
          <w:p>
            <w:pPr>
              <w:pStyle w:val="TableParagraph"/>
              <w:spacing w:line="241" w:lineRule="exact"/>
              <w:ind w:right="1846"/>
              <w:jc w:val="right"/>
              <w:rPr>
                <w:sz w:val="22"/>
              </w:rPr>
            </w:pPr>
            <w:r>
              <w:rPr>
                <w:w w:val="100"/>
                <w:sz w:val="22"/>
              </w:rPr>
              <w:t>b</w:t>
            </w:r>
          </w:p>
        </w:tc>
        <w:tc>
          <w:tcPr>
            <w:tcW w:w="1795" w:type="dxa"/>
            <w:tcBorders>
              <w:top w:val="nil"/>
              <w:left w:val="nil"/>
              <w:bottom w:val="nil"/>
              <w:right w:val="nil"/>
            </w:tcBorders>
          </w:tcPr>
          <w:p>
            <w:pPr>
              <w:pStyle w:val="TableParagraph"/>
              <w:spacing w:line="241" w:lineRule="exact"/>
              <w:ind w:left="127" w:right="183"/>
              <w:rPr>
                <w:sz w:val="22"/>
              </w:rPr>
            </w:pPr>
            <w:r>
              <w:rPr>
                <w:sz w:val="22"/>
              </w:rPr>
              <w:t>-1.38 (± 0.61)</w:t>
            </w:r>
          </w:p>
        </w:tc>
        <w:tc>
          <w:tcPr>
            <w:tcW w:w="1166" w:type="dxa"/>
            <w:tcBorders>
              <w:top w:val="nil"/>
              <w:left w:val="nil"/>
              <w:bottom w:val="nil"/>
              <w:right w:val="nil"/>
            </w:tcBorders>
          </w:tcPr>
          <w:p>
            <w:pPr>
              <w:pStyle w:val="TableParagraph"/>
              <w:spacing w:line="241" w:lineRule="exact"/>
              <w:ind w:left="183" w:right="176"/>
              <w:rPr>
                <w:sz w:val="22"/>
              </w:rPr>
            </w:pPr>
            <w:r>
              <w:rPr>
                <w:sz w:val="22"/>
              </w:rPr>
              <w:t>-5.74</w:t>
            </w:r>
          </w:p>
        </w:tc>
        <w:tc>
          <w:tcPr>
            <w:tcW w:w="1356" w:type="dxa"/>
            <w:tcBorders>
              <w:top w:val="nil"/>
              <w:left w:val="nil"/>
              <w:bottom w:val="nil"/>
              <w:right w:val="nil"/>
            </w:tcBorders>
          </w:tcPr>
          <w:p>
            <w:pPr>
              <w:pStyle w:val="TableParagraph"/>
              <w:spacing w:line="241" w:lineRule="exact"/>
              <w:ind w:left="179" w:right="143"/>
              <w:rPr>
                <w:sz w:val="22"/>
              </w:rPr>
            </w:pPr>
            <w:r>
              <w:rPr>
                <w:sz w:val="22"/>
              </w:rPr>
              <w:t>50.15</w:t>
            </w:r>
          </w:p>
        </w:tc>
        <w:tc>
          <w:tcPr>
            <w:tcW w:w="1039" w:type="dxa"/>
            <w:tcBorders>
              <w:top w:val="nil"/>
              <w:left w:val="nil"/>
              <w:bottom w:val="nil"/>
              <w:right w:val="nil"/>
            </w:tcBorders>
          </w:tcPr>
          <w:p>
            <w:pPr>
              <w:pStyle w:val="TableParagraph"/>
              <w:spacing w:line="241" w:lineRule="exact"/>
              <w:ind w:left="196"/>
              <w:jc w:val="left"/>
              <w:rPr>
                <w:sz w:val="22"/>
              </w:rPr>
            </w:pPr>
            <w:r>
              <w:rPr>
                <w:sz w:val="22"/>
              </w:rPr>
              <w:t>0.0750</w:t>
            </w:r>
          </w:p>
        </w:tc>
      </w:tr>
      <w:tr>
        <w:trPr>
          <w:trHeight w:val="253" w:hRule="exact"/>
        </w:trPr>
        <w:tc>
          <w:tcPr>
            <w:tcW w:w="3833" w:type="dxa"/>
            <w:tcBorders>
              <w:top w:val="nil"/>
              <w:left w:val="nil"/>
              <w:bottom w:val="nil"/>
              <w:right w:val="nil"/>
            </w:tcBorders>
          </w:tcPr>
          <w:p>
            <w:pPr>
              <w:pStyle w:val="TableParagraph"/>
              <w:spacing w:line="241" w:lineRule="exact"/>
              <w:ind w:right="1853"/>
              <w:jc w:val="right"/>
              <w:rPr>
                <w:sz w:val="22"/>
              </w:rPr>
            </w:pPr>
            <w:r>
              <w:rPr>
                <w:w w:val="100"/>
                <w:sz w:val="22"/>
              </w:rPr>
              <w:t>c</w:t>
            </w:r>
          </w:p>
        </w:tc>
        <w:tc>
          <w:tcPr>
            <w:tcW w:w="1795" w:type="dxa"/>
            <w:tcBorders>
              <w:top w:val="nil"/>
              <w:left w:val="nil"/>
              <w:bottom w:val="nil"/>
              <w:right w:val="nil"/>
            </w:tcBorders>
          </w:tcPr>
          <w:p>
            <w:pPr>
              <w:pStyle w:val="TableParagraph"/>
              <w:spacing w:line="241" w:lineRule="exact"/>
              <w:ind w:left="130" w:right="183"/>
              <w:rPr>
                <w:sz w:val="22"/>
              </w:rPr>
            </w:pPr>
            <w:r>
              <w:rPr>
                <w:sz w:val="22"/>
              </w:rPr>
              <w:t>0.32 (± 0.42)</w:t>
            </w:r>
          </w:p>
        </w:tc>
        <w:tc>
          <w:tcPr>
            <w:tcW w:w="1166" w:type="dxa"/>
            <w:tcBorders>
              <w:top w:val="nil"/>
              <w:left w:val="nil"/>
              <w:bottom w:val="nil"/>
              <w:right w:val="nil"/>
            </w:tcBorders>
          </w:tcPr>
          <w:p>
            <w:pPr>
              <w:pStyle w:val="TableParagraph"/>
              <w:spacing w:line="241" w:lineRule="exact"/>
              <w:ind w:left="183" w:right="176"/>
              <w:rPr>
                <w:sz w:val="22"/>
              </w:rPr>
            </w:pPr>
            <w:r>
              <w:rPr>
                <w:sz w:val="22"/>
              </w:rPr>
              <w:t>-10.99</w:t>
            </w:r>
          </w:p>
        </w:tc>
        <w:tc>
          <w:tcPr>
            <w:tcW w:w="1356" w:type="dxa"/>
            <w:tcBorders>
              <w:top w:val="nil"/>
              <w:left w:val="nil"/>
              <w:bottom w:val="nil"/>
              <w:right w:val="nil"/>
            </w:tcBorders>
          </w:tcPr>
          <w:p>
            <w:pPr>
              <w:pStyle w:val="TableParagraph"/>
              <w:spacing w:line="241" w:lineRule="exact"/>
              <w:ind w:left="179" w:right="143"/>
              <w:rPr>
                <w:sz w:val="22"/>
              </w:rPr>
            </w:pPr>
            <w:r>
              <w:rPr>
                <w:sz w:val="22"/>
              </w:rPr>
              <w:t>10.59</w:t>
            </w:r>
          </w:p>
        </w:tc>
        <w:tc>
          <w:tcPr>
            <w:tcW w:w="1039" w:type="dxa"/>
            <w:tcBorders>
              <w:top w:val="nil"/>
              <w:left w:val="nil"/>
              <w:bottom w:val="nil"/>
              <w:right w:val="nil"/>
            </w:tcBorders>
          </w:tcPr>
          <w:p>
            <w:pPr>
              <w:pStyle w:val="TableParagraph"/>
              <w:spacing w:line="241" w:lineRule="exact"/>
              <w:ind w:left="196"/>
              <w:jc w:val="left"/>
              <w:rPr>
                <w:sz w:val="22"/>
              </w:rPr>
            </w:pPr>
            <w:r>
              <w:rPr>
                <w:sz w:val="22"/>
              </w:rPr>
              <w:t>0.4764</w:t>
            </w:r>
          </w:p>
        </w:tc>
      </w:tr>
      <w:tr>
        <w:trPr>
          <w:trHeight w:val="252" w:hRule="exact"/>
        </w:trPr>
        <w:tc>
          <w:tcPr>
            <w:tcW w:w="3833" w:type="dxa"/>
            <w:tcBorders>
              <w:top w:val="nil"/>
              <w:left w:val="nil"/>
              <w:right w:val="nil"/>
            </w:tcBorders>
          </w:tcPr>
          <w:p>
            <w:pPr>
              <w:pStyle w:val="TableParagraph"/>
              <w:spacing w:line="242" w:lineRule="exact"/>
              <w:ind w:right="1846"/>
              <w:jc w:val="right"/>
              <w:rPr>
                <w:sz w:val="22"/>
              </w:rPr>
            </w:pPr>
            <w:r>
              <w:rPr>
                <w:w w:val="100"/>
                <w:sz w:val="22"/>
              </w:rPr>
              <w:t>d</w:t>
            </w:r>
          </w:p>
        </w:tc>
        <w:tc>
          <w:tcPr>
            <w:tcW w:w="1795" w:type="dxa"/>
            <w:tcBorders>
              <w:top w:val="nil"/>
              <w:left w:val="nil"/>
              <w:right w:val="nil"/>
            </w:tcBorders>
          </w:tcPr>
          <w:p>
            <w:pPr>
              <w:pStyle w:val="TableParagraph"/>
              <w:spacing w:line="242" w:lineRule="exact"/>
              <w:ind w:left="130" w:right="183"/>
              <w:rPr>
                <w:sz w:val="22"/>
              </w:rPr>
            </w:pPr>
            <w:r>
              <w:rPr>
                <w:sz w:val="22"/>
              </w:rPr>
              <w:t>0.003 (± 0.003)</w:t>
            </w:r>
          </w:p>
        </w:tc>
        <w:tc>
          <w:tcPr>
            <w:tcW w:w="1166" w:type="dxa"/>
            <w:tcBorders>
              <w:top w:val="nil"/>
              <w:left w:val="nil"/>
              <w:right w:val="nil"/>
            </w:tcBorders>
          </w:tcPr>
          <w:p>
            <w:pPr>
              <w:pStyle w:val="TableParagraph"/>
              <w:spacing w:line="242" w:lineRule="exact"/>
              <w:ind w:left="183" w:right="176"/>
              <w:rPr>
                <w:sz w:val="22"/>
              </w:rPr>
            </w:pPr>
            <w:r>
              <w:rPr>
                <w:sz w:val="22"/>
              </w:rPr>
              <w:t>-11.00</w:t>
            </w:r>
          </w:p>
        </w:tc>
        <w:tc>
          <w:tcPr>
            <w:tcW w:w="1356" w:type="dxa"/>
            <w:tcBorders>
              <w:top w:val="nil"/>
              <w:left w:val="nil"/>
              <w:right w:val="nil"/>
            </w:tcBorders>
          </w:tcPr>
          <w:p>
            <w:pPr>
              <w:pStyle w:val="TableParagraph"/>
              <w:spacing w:line="242" w:lineRule="exact"/>
              <w:ind w:left="179" w:right="143"/>
              <w:rPr>
                <w:sz w:val="22"/>
              </w:rPr>
            </w:pPr>
            <w:r>
              <w:rPr>
                <w:sz w:val="22"/>
              </w:rPr>
              <w:t>10.49</w:t>
            </w:r>
          </w:p>
        </w:tc>
        <w:tc>
          <w:tcPr>
            <w:tcW w:w="1039" w:type="dxa"/>
            <w:tcBorders>
              <w:top w:val="nil"/>
              <w:left w:val="nil"/>
              <w:right w:val="nil"/>
            </w:tcBorders>
          </w:tcPr>
          <w:p>
            <w:pPr>
              <w:pStyle w:val="TableParagraph"/>
              <w:spacing w:line="242" w:lineRule="exact"/>
              <w:ind w:left="196"/>
              <w:jc w:val="left"/>
              <w:rPr>
                <w:sz w:val="22"/>
              </w:rPr>
            </w:pPr>
            <w:r>
              <w:rPr>
                <w:sz w:val="22"/>
              </w:rPr>
              <w:t>0.4785</w:t>
            </w:r>
          </w:p>
        </w:tc>
      </w:tr>
    </w:tbl>
    <w:p>
      <w:pPr>
        <w:spacing w:after="0" w:line="242" w:lineRule="exact"/>
        <w:jc w:val="left"/>
        <w:rPr>
          <w:sz w:val="22"/>
        </w:rPr>
        <w:sectPr>
          <w:pgSz w:w="12240" w:h="15840"/>
          <w:pgMar w:header="740" w:footer="779" w:top="960" w:bottom="960" w:left="1460" w:right="1360"/>
        </w:sectPr>
      </w:pPr>
    </w:p>
    <w:p>
      <w:pPr>
        <w:pStyle w:val="BodyText"/>
        <w:rPr>
          <w:sz w:val="20"/>
        </w:rPr>
      </w:pPr>
    </w:p>
    <w:p>
      <w:pPr>
        <w:pStyle w:val="BodyText"/>
        <w:spacing w:before="5"/>
        <w:rPr>
          <w:sz w:val="19"/>
        </w:rPr>
      </w:pPr>
    </w:p>
    <w:p>
      <w:pPr>
        <w:pStyle w:val="Heading2"/>
      </w:pPr>
      <w:r>
        <w:rPr/>
        <w:t>Discussion</w:t>
      </w:r>
    </w:p>
    <w:p>
      <w:pPr>
        <w:pStyle w:val="BodyText"/>
        <w:rPr>
          <w:b/>
        </w:rPr>
      </w:pPr>
    </w:p>
    <w:p>
      <w:pPr>
        <w:pStyle w:val="BodyText"/>
        <w:spacing w:before="4"/>
        <w:rPr>
          <w:b/>
          <w:sz w:val="23"/>
        </w:rPr>
      </w:pPr>
    </w:p>
    <w:p>
      <w:pPr>
        <w:pStyle w:val="BodyText"/>
        <w:spacing w:line="480" w:lineRule="auto"/>
        <w:ind w:left="102" w:right="300" w:firstLine="707"/>
      </w:pPr>
      <w:r>
        <w:rPr/>
        <w:t>Due to the characteristics of elusive behavior of the species analyzed, we obtained the RAI per specie using camera-trap to estimate their abundance. This index has shown reliability to estimated population size compared with other methods (Silveira et al. 2003; Pinto de Sá Alves and Andriolo 2005; Monroy-Vilchis et al. 2011).</w:t>
      </w:r>
    </w:p>
    <w:p>
      <w:pPr>
        <w:pStyle w:val="BodyText"/>
        <w:spacing w:line="480" w:lineRule="auto" w:before="10"/>
        <w:ind w:left="102" w:right="227" w:firstLine="707"/>
      </w:pPr>
      <w:r>
        <w:rPr/>
        <w:t>Empirical studies of the relatives roles of top-down and bottom-up effects in terrestrial mammals are rare, because this require studies for many years. Our analysis indicates that more variation in population growth rate per cougar is explained by bottom- up than top-down processes. The RAI of cougar and their main prey (armadillo and coati) explain more 98 percent of the variation in population growth rate (</w:t>
      </w:r>
      <w:r>
        <w:rPr>
          <w:i/>
        </w:rPr>
        <w:t>pgr</w:t>
      </w:r>
      <w:r>
        <w:rPr/>
        <w:t>) of cougar. This result is explained due to felid have a behavior territorial and of strict carnivores (Sunquist and Sunquist 2002). The RAI (LN) of cougar showed negative intraspecific feedback on their own </w:t>
      </w:r>
      <w:r>
        <w:rPr>
          <w:i/>
        </w:rPr>
        <w:t>pgr. </w:t>
      </w:r>
      <w:r>
        <w:rPr/>
        <w:t>Likely, a great number of cougars may increase competition between them, this can displace others to avoid encounters, and for this, the grown rate decreased.</w:t>
      </w:r>
    </w:p>
    <w:p>
      <w:pPr>
        <w:pStyle w:val="BodyText"/>
        <w:spacing w:line="480" w:lineRule="auto" w:before="10"/>
        <w:ind w:left="102" w:right="107"/>
      </w:pPr>
      <w:r>
        <w:rPr/>
        <w:t>Sometimes in abundant populations of cougar, mothers opted to defend their cubs of males, and this is extremely risky causing the death of mother and cubs alike (Logan and Sweanor 2000). We did not detect any other factor that may affect </w:t>
      </w:r>
      <w:r>
        <w:rPr>
          <w:i/>
        </w:rPr>
        <w:t>pgr </w:t>
      </w:r>
      <w:r>
        <w:rPr/>
        <w:t>cougar, sampling area is a protected area where human activity is low, not there are hunting of predators and prey (Monroy-Vilchis et al. 2011) and no atypical changes there were in the climate.</w:t>
      </w:r>
    </w:p>
    <w:p>
      <w:pPr>
        <w:pStyle w:val="BodyText"/>
        <w:spacing w:line="480" w:lineRule="auto" w:before="11"/>
        <w:ind w:left="102" w:right="433" w:firstLine="707"/>
      </w:pPr>
      <w:r>
        <w:rPr/>
        <w:t>Armadillo and coati showed positive effect on the </w:t>
      </w:r>
      <w:r>
        <w:rPr>
          <w:i/>
        </w:rPr>
        <w:t>pgr </w:t>
      </w:r>
      <w:r>
        <w:rPr/>
        <w:t>of cougar, while increased the RAI of the main preys, increased the </w:t>
      </w:r>
      <w:r>
        <w:rPr>
          <w:i/>
        </w:rPr>
        <w:t>pgr </w:t>
      </w:r>
      <w:r>
        <w:rPr/>
        <w:t>of the predator (Table 6.2, Figure 6.1). We support the assumption that the cougar abundance depends of armadillo and coati abundance ; changes positives or negatives in the prey availability can determines their</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234"/>
      </w:pPr>
      <w:r>
        <w:rPr/>
        <w:t>basic demographic parameters as </w:t>
      </w:r>
      <w:r>
        <w:rPr>
          <w:i/>
        </w:rPr>
        <w:t>pgr </w:t>
      </w:r>
      <w:r>
        <w:rPr/>
        <w:t>or abundance (Gittleman et al. 2001, Bowyer et al. 2005). White-tailed deer, was not included in this model, because this did not show any significant relationship with the predator </w:t>
      </w:r>
      <w:r>
        <w:rPr>
          <w:i/>
        </w:rPr>
        <w:t>pgr</w:t>
      </w:r>
      <w:r>
        <w:rPr/>
        <w:t>, because the deer is consumed at percentages of occurrence (8%) lower than armadillo (54%) and coati (16%; Monroy-Vilchis et al.</w:t>
      </w:r>
    </w:p>
    <w:p>
      <w:pPr>
        <w:pStyle w:val="BodyText"/>
        <w:spacing w:line="480" w:lineRule="auto" w:before="10"/>
        <w:ind w:left="102" w:right="104"/>
      </w:pPr>
      <w:r>
        <w:rPr/>
        <w:t>2009; Gómez-Ortíz et al</w:t>
      </w:r>
      <w:r>
        <w:rPr>
          <w:i/>
        </w:rPr>
        <w:t>. </w:t>
      </w:r>
      <w:r>
        <w:rPr/>
        <w:t>2011). In other studies with cougar and mule deer (</w:t>
      </w:r>
      <w:r>
        <w:rPr>
          <w:i/>
        </w:rPr>
        <w:t>Odocoileus </w:t>
      </w:r>
      <w:r>
        <w:rPr>
          <w:i/>
        </w:rPr>
        <w:t>emionus</w:t>
      </w:r>
      <w:r>
        <w:rPr/>
        <w:t>), in Round Valley, have found that both effects regulate the population dynamics (Pierce et al. 2012), in Yosemite National Park in California and in Patagonia effect top- down was found (Novaro and Walker 2005; Ripple and Beschta 2008). However is important considered that direction of effects top-down and bottom-up in the dynamic population may change over the time and space, a constant monitor over this topic can improve better decisions for conservation the these species (Boyer et al. 2003).</w:t>
      </w:r>
    </w:p>
    <w:p>
      <w:pPr>
        <w:pStyle w:val="BodyText"/>
        <w:spacing w:line="480" w:lineRule="auto" w:before="10"/>
        <w:ind w:left="102" w:right="187" w:firstLine="707"/>
      </w:pPr>
      <w:r>
        <w:rPr/>
        <w:t>Conversely, other models of multiple correlation shower than, the RAI of cougar, had no significant effect on el </w:t>
      </w:r>
      <w:r>
        <w:rPr>
          <w:i/>
        </w:rPr>
        <w:t>pgr </w:t>
      </w:r>
      <w:r>
        <w:rPr/>
        <w:t>of their main prey (armadillo, coati and deer, Table 6.2). These results not support a top-down effect, and therefore, we can think that the cougar predation not regulates prey populations only is a limiting factor to the community of their prey. Soria-Díaz et al. (enviado), found in the SNNR on a area not protected and larger sample area to that of this study that cougar can limiting to prey populations too, because other factors such as depredation of jaguar and human activity also has a fundamental role in the mortality the prey. In most of the studies carried out by now, it is argued that predation by cougar is a limiting factor for prey populations, not a regulating driver (Beck </w:t>
      </w:r>
      <w:r>
        <w:rPr>
          <w:i/>
        </w:rPr>
        <w:t>et al</w:t>
      </w:r>
      <w:r>
        <w:rPr/>
        <w:t>. 2005; Ruth and Murphy 2010).</w:t>
      </w:r>
    </w:p>
    <w:p>
      <w:pPr>
        <w:pStyle w:val="BodyText"/>
        <w:spacing w:line="480" w:lineRule="auto" w:before="10"/>
        <w:ind w:left="102" w:right="246" w:firstLine="707"/>
      </w:pPr>
      <w:r>
        <w:rPr/>
        <w:t>Although other studies have argument that the population dynamics of mammals have a strong influence of factors, in particular climatic conditions influencing the quality or the quantity of the food are important for fecundity rate (Sæther 1997). In this study the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91"/>
      </w:pPr>
      <w:r>
        <w:rPr/>
        <w:t>climatic conditions not had significant effect on the </w:t>
      </w:r>
      <w:r>
        <w:rPr>
          <w:i/>
        </w:rPr>
        <w:t>pgr </w:t>
      </w:r>
      <w:r>
        <w:rPr/>
        <w:t>of prey (Table 6.2); this because the study site is a temperate zone with pine-oak forests, in which there is little temperature variation between the two seasons (12° C to 16 ° C, Monroy-Vilchis et al. 2011) and the availability of resources remains.</w:t>
      </w:r>
    </w:p>
    <w:p>
      <w:pPr>
        <w:pStyle w:val="BodyText"/>
        <w:spacing w:line="480" w:lineRule="auto" w:before="10"/>
        <w:ind w:left="102" w:right="104" w:firstLine="707"/>
      </w:pPr>
      <w:r>
        <w:rPr/>
        <w:t>On the other hand, there are different ways of analyzing top-down o bottom-up effects in dynamics population, and one of these is through multiple correlations. This quantify the relationship between species intra and interspecific, and how they related to climatic conditions (Potts and Elith 2006), therefore in this study we use this.</w:t>
      </w:r>
    </w:p>
    <w:p>
      <w:pPr>
        <w:pStyle w:val="BodyText"/>
        <w:spacing w:line="480" w:lineRule="auto" w:before="10"/>
        <w:ind w:left="102" w:right="160" w:firstLine="707"/>
      </w:pPr>
      <w:r>
        <w:rPr/>
        <w:t>Finally we conclude that the RAI of cougar and their main prey (armadillo and coati), regulates the </w:t>
      </w:r>
      <w:r>
        <w:rPr>
          <w:i/>
        </w:rPr>
        <w:t>pgr </w:t>
      </w:r>
      <w:r>
        <w:rPr/>
        <w:t>of cougar. These results are of great importance for the conservation of this predator, an increased in the number of cougar and low availability of their main prey, may affect the population of cougar in SNNR. Is also important to extend the research on this topic on other areas near to SNNR, to know as regulates cougar population dynamics and their prey on these sites and consider other factors such as human activity has a significant effect on the wildlife (Monroy-Vilchis et al 2011).</w:t>
      </w:r>
    </w:p>
    <w:p>
      <w:pPr>
        <w:spacing w:after="0" w:line="480" w:lineRule="auto"/>
        <w:sectPr>
          <w:pgSz w:w="12240" w:h="15840"/>
          <w:pgMar w:header="740" w:footer="779" w:top="960" w:bottom="960" w:left="1600" w:right="1600"/>
        </w:sectPr>
      </w:pPr>
    </w:p>
    <w:p>
      <w:pPr>
        <w:pStyle w:val="BodyText"/>
        <w:rPr>
          <w:sz w:val="20"/>
        </w:rPr>
      </w:pPr>
    </w:p>
    <w:p>
      <w:pPr>
        <w:pStyle w:val="BodyText"/>
        <w:spacing w:before="3"/>
        <w:rPr>
          <w:sz w:val="19"/>
        </w:rPr>
      </w:pPr>
    </w:p>
    <w:p>
      <w:pPr>
        <w:pStyle w:val="Heading2"/>
        <w:ind w:right="6695"/>
      </w:pPr>
      <w:r>
        <w:rPr/>
        <w:t>Literatured cited</w:t>
      </w:r>
    </w:p>
    <w:p>
      <w:pPr>
        <w:pStyle w:val="BodyText"/>
        <w:rPr>
          <w:b/>
        </w:rPr>
      </w:pPr>
    </w:p>
    <w:p>
      <w:pPr>
        <w:pStyle w:val="BodyText"/>
        <w:rPr>
          <w:b/>
        </w:rPr>
      </w:pPr>
    </w:p>
    <w:p>
      <w:pPr>
        <w:pStyle w:val="BodyText"/>
        <w:spacing w:before="7"/>
        <w:rPr>
          <w:b/>
          <w:sz w:val="23"/>
        </w:rPr>
      </w:pPr>
    </w:p>
    <w:p>
      <w:pPr>
        <w:pStyle w:val="BodyText"/>
        <w:spacing w:line="480" w:lineRule="auto"/>
        <w:ind w:left="1167" w:right="119" w:hanging="1066"/>
        <w:jc w:val="both"/>
      </w:pPr>
      <w:r>
        <w:rPr/>
        <w:t>Aguilera-Reyes U, Sánchez-Cordero V, Ramírez-Pulido J, et al. (2013) Hábitos alimentarios del venado cola blanca Odocoileus virginianus (Artiodactyla: Cervidae) en el Parque Natural Sierra Nanchititla, Estado de México. Rev Biol Trop</w:t>
      </w:r>
      <w:r>
        <w:rPr>
          <w:spacing w:val="-1"/>
        </w:rPr>
        <w:t> </w:t>
      </w:r>
      <w:r>
        <w:rPr/>
        <w:t>61:243–253.</w:t>
      </w:r>
    </w:p>
    <w:p>
      <w:pPr>
        <w:pStyle w:val="BodyText"/>
      </w:pPr>
    </w:p>
    <w:p>
      <w:pPr>
        <w:pStyle w:val="BodyText"/>
        <w:spacing w:before="10"/>
      </w:pPr>
    </w:p>
    <w:p>
      <w:pPr>
        <w:pStyle w:val="BodyText"/>
        <w:spacing w:line="480" w:lineRule="auto" w:before="1"/>
        <w:ind w:left="1167" w:right="116" w:hanging="1066"/>
        <w:jc w:val="both"/>
      </w:pPr>
      <w:r>
        <w:rPr/>
        <w:t>Beck T, Beecham J, Beier P, et al. (2005) ʻCougar Management Guidelines Working Groupʼ. (Wildfutures Bainbridge Island: Washington.).</w:t>
      </w:r>
    </w:p>
    <w:p>
      <w:pPr>
        <w:pStyle w:val="BodyText"/>
      </w:pPr>
    </w:p>
    <w:p>
      <w:pPr>
        <w:pStyle w:val="BodyText"/>
        <w:spacing w:before="10"/>
      </w:pPr>
    </w:p>
    <w:p>
      <w:pPr>
        <w:pStyle w:val="BodyText"/>
        <w:spacing w:line="480" w:lineRule="auto"/>
        <w:ind w:left="1167" w:right="115" w:hanging="1066"/>
        <w:jc w:val="both"/>
      </w:pPr>
      <w:r>
        <w:rPr/>
        <w:t>Boyer AG, Swearingen RE, Blaha MA, et al. (2003) Seasonal variation in top-down and bottom-up processes in a grassland arthropod community. Oecologia 136:309– 316. doi: 10.1007/s00442-003-1272-x</w:t>
      </w:r>
    </w:p>
    <w:p>
      <w:pPr>
        <w:pStyle w:val="BodyText"/>
      </w:pPr>
    </w:p>
    <w:p>
      <w:pPr>
        <w:pStyle w:val="BodyText"/>
        <w:spacing w:before="10"/>
      </w:pPr>
    </w:p>
    <w:p>
      <w:pPr>
        <w:pStyle w:val="BodyText"/>
        <w:spacing w:line="480" w:lineRule="auto"/>
        <w:ind w:left="1167" w:right="115" w:hanging="1066"/>
        <w:jc w:val="both"/>
      </w:pPr>
      <w:r>
        <w:rPr/>
        <w:t>Bowyer RT, Person D K and Pierce BM (2005) Detecting top-down versus bottom-up regulation of ungulates by large carnivores: implications for conservation of biodiversity. In Ray JC, Redford KH, Steneck RS et al. Large Carnivores and  the conservation of biodiversity. Island</w:t>
      </w:r>
      <w:r>
        <w:rPr>
          <w:spacing w:val="-12"/>
        </w:rPr>
        <w:t> </w:t>
      </w:r>
      <w:r>
        <w:rPr/>
        <w:t>Press</w:t>
      </w:r>
    </w:p>
    <w:p>
      <w:pPr>
        <w:pStyle w:val="BodyText"/>
      </w:pPr>
    </w:p>
    <w:p>
      <w:pPr>
        <w:pStyle w:val="BodyText"/>
        <w:spacing w:before="10"/>
      </w:pPr>
    </w:p>
    <w:p>
      <w:pPr>
        <w:pStyle w:val="BodyText"/>
        <w:spacing w:line="480" w:lineRule="auto" w:before="1"/>
        <w:ind w:left="1167" w:right="122" w:hanging="1066"/>
        <w:jc w:val="both"/>
      </w:pPr>
      <w:r>
        <w:rPr/>
        <w:t>Brose U (2003) Bottom-up control of carabid beetle communities in early successional wetlands: mediated by vegetation structure or plant diversity? Oecologia 135:407–413. doi: 10.1007/s00442-003-1222-7</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7" w:hanging="1066"/>
        <w:jc w:val="both"/>
      </w:pPr>
      <w:r>
        <w:rPr/>
        <w:t>Dawes-Gromadzki TZ (2002) Trophic trickles rather than cascades: Conditional top-down and bottom-up dynamics in an Australian chenopod shrubland. Austral Ecol 27:490–508. doi: 10.1046/j.1442-9993.2002.01210.x</w:t>
      </w:r>
    </w:p>
    <w:p>
      <w:pPr>
        <w:pStyle w:val="BodyText"/>
      </w:pPr>
    </w:p>
    <w:p>
      <w:pPr>
        <w:pStyle w:val="BodyText"/>
        <w:spacing w:before="10"/>
      </w:pPr>
    </w:p>
    <w:p>
      <w:pPr>
        <w:pStyle w:val="BodyText"/>
        <w:spacing w:line="480" w:lineRule="auto"/>
        <w:ind w:left="1167" w:right="115" w:hanging="1066"/>
        <w:jc w:val="both"/>
      </w:pPr>
      <w:r>
        <w:rPr/>
        <w:t>Denno RF, Gratton C, Peterson MA, et al. (2002) Bottom-up forces mediate natural-enemy impact in a phytophagous insect community. Ecology 83:1443–1458. doi: 10.1890/0012-9658(2002)083[1443:BUFMNE]2.0.CO;2</w:t>
      </w:r>
    </w:p>
    <w:p>
      <w:pPr>
        <w:pStyle w:val="BodyText"/>
      </w:pPr>
    </w:p>
    <w:p>
      <w:pPr>
        <w:pStyle w:val="BodyText"/>
        <w:spacing w:before="10"/>
      </w:pPr>
    </w:p>
    <w:p>
      <w:pPr>
        <w:pStyle w:val="BodyText"/>
        <w:spacing w:line="480" w:lineRule="auto" w:before="1"/>
        <w:ind w:left="1167" w:right="117" w:hanging="1066"/>
        <w:jc w:val="both"/>
      </w:pPr>
      <w:r>
        <w:rPr/>
        <w:t>Dyer LA, Letourneau D (2003) Top-down and bottom-up diversity cascades in detrital vs. living food webs. Ecol Lett 6:60–68. doi: 10.1046/j.1461-0248.2003.00398.x</w:t>
      </w:r>
    </w:p>
    <w:p>
      <w:pPr>
        <w:pStyle w:val="BodyText"/>
      </w:pPr>
    </w:p>
    <w:p>
      <w:pPr>
        <w:pStyle w:val="BodyText"/>
        <w:spacing w:before="10"/>
      </w:pPr>
    </w:p>
    <w:p>
      <w:pPr>
        <w:pStyle w:val="BodyText"/>
        <w:spacing w:line="480" w:lineRule="auto"/>
        <w:ind w:left="1167" w:right="118" w:hanging="1066"/>
        <w:jc w:val="both"/>
      </w:pPr>
      <w:r>
        <w:rPr/>
        <w:t>Elmhagen B, Rushton SP (2007) Trophic control of mesopredators in terrestrial ecosystems: top-down or bottom-up? Ecol Lett 10:197–206. doi: 10.1111/j.1461-0248.2006.01010.x</w:t>
      </w:r>
    </w:p>
    <w:p>
      <w:pPr>
        <w:pStyle w:val="BodyText"/>
      </w:pPr>
    </w:p>
    <w:p>
      <w:pPr>
        <w:pStyle w:val="BodyText"/>
        <w:spacing w:before="10"/>
      </w:pPr>
    </w:p>
    <w:p>
      <w:pPr>
        <w:pStyle w:val="BodyText"/>
        <w:spacing w:line="480" w:lineRule="auto"/>
        <w:ind w:left="1167" w:right="114" w:hanging="1066"/>
        <w:jc w:val="both"/>
      </w:pPr>
      <w:r>
        <w:rPr/>
        <w:t>Gandiwa E (2013) Top-down and bottom-up control of large hervivore populations: a review of natural and human-indeced influences. Trop Conserv Scien 6: 493- 505</w:t>
      </w:r>
    </w:p>
    <w:p>
      <w:pPr>
        <w:pStyle w:val="BodyText"/>
      </w:pPr>
    </w:p>
    <w:p>
      <w:pPr>
        <w:pStyle w:val="BodyText"/>
        <w:spacing w:before="10"/>
      </w:pPr>
    </w:p>
    <w:p>
      <w:pPr>
        <w:pStyle w:val="BodyText"/>
        <w:spacing w:line="480" w:lineRule="auto" w:before="1"/>
        <w:ind w:left="1167" w:right="115" w:hanging="1066"/>
        <w:jc w:val="both"/>
      </w:pPr>
      <w:r>
        <w:rPr/>
        <w:t>Gasaway WG, Boertje RD, Grangaard DV et al. (1992) The role of predation in limiting moose at low densities in Alaska and Yukon and implications for conservation. Wildl Monogr 120: 1–59</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9" w:hanging="1066"/>
        <w:jc w:val="both"/>
      </w:pPr>
      <w:r>
        <w:rPr/>
        <w:t>Gittleman J. L, Funk S. M, Macdonald D, and Wayne, R. K. (2001) ʻCarnivore Conservationʼ. (Cambridge University Press: London)</w:t>
      </w:r>
    </w:p>
    <w:p>
      <w:pPr>
        <w:pStyle w:val="BodyText"/>
      </w:pPr>
    </w:p>
    <w:p>
      <w:pPr>
        <w:pStyle w:val="BodyText"/>
        <w:spacing w:before="10"/>
      </w:pPr>
    </w:p>
    <w:p>
      <w:pPr>
        <w:pStyle w:val="BodyText"/>
        <w:spacing w:line="480" w:lineRule="auto"/>
        <w:ind w:left="1167" w:right="114" w:hanging="1066"/>
        <w:jc w:val="both"/>
      </w:pPr>
      <w:r>
        <w:rPr/>
        <w:t>Gomez-Ortíz Y, Monroy-Vilchis O, Fajardo V, Mendoza G. D and Urios V (2011) Is food quality important for carnivores? The case of </w:t>
      </w:r>
      <w:r>
        <w:rPr>
          <w:i/>
        </w:rPr>
        <w:t>Puma concolor</w:t>
      </w:r>
      <w:r>
        <w:rPr/>
        <w:t>. Anim Biol 61: 277-288</w:t>
      </w:r>
    </w:p>
    <w:p>
      <w:pPr>
        <w:pStyle w:val="BodyText"/>
      </w:pPr>
    </w:p>
    <w:p>
      <w:pPr>
        <w:pStyle w:val="BodyText"/>
        <w:spacing w:before="10"/>
      </w:pPr>
    </w:p>
    <w:p>
      <w:pPr>
        <w:pStyle w:val="BodyText"/>
        <w:spacing w:line="480" w:lineRule="auto" w:before="1"/>
        <w:ind w:left="1167" w:right="119" w:hanging="1066"/>
        <w:jc w:val="both"/>
      </w:pPr>
      <w:r>
        <w:rPr/>
        <w:t>Grange S and Duncan P (2006) Bottom-up and top-down processes in African ungulate communities: resources and predation acting on the relative abundance of zebra and grazing bovids. Ecography 29:899–907</w:t>
      </w:r>
    </w:p>
    <w:p>
      <w:pPr>
        <w:pStyle w:val="BodyText"/>
      </w:pPr>
    </w:p>
    <w:p>
      <w:pPr>
        <w:pStyle w:val="BodyText"/>
        <w:spacing w:before="10"/>
      </w:pPr>
    </w:p>
    <w:p>
      <w:pPr>
        <w:pStyle w:val="BodyText"/>
        <w:spacing w:line="480" w:lineRule="auto"/>
        <w:ind w:left="1167" w:right="116" w:hanging="1066"/>
        <w:jc w:val="both"/>
      </w:pPr>
      <w:r>
        <w:rPr/>
        <w:t>Gratton C, Denno RF (2003) Seasonal shift from bottom-up to top-down impact in phytophagous insect populations. Oecologia 134:487–495. doi: 10.1007/s00442- 002-1137-8</w:t>
      </w:r>
    </w:p>
    <w:p>
      <w:pPr>
        <w:pStyle w:val="BodyText"/>
      </w:pPr>
    </w:p>
    <w:p>
      <w:pPr>
        <w:pStyle w:val="BodyText"/>
        <w:spacing w:before="10"/>
      </w:pPr>
    </w:p>
    <w:p>
      <w:pPr>
        <w:pStyle w:val="BodyText"/>
        <w:spacing w:line="480" w:lineRule="auto"/>
        <w:ind w:left="1167" w:right="118" w:hanging="1066"/>
        <w:jc w:val="both"/>
      </w:pPr>
      <w:r>
        <w:rPr/>
        <w:t>Gruner DS (2004) Attenuation of top-down and bottom-up forces in a complex terrestrial community. Ecology 85:3010–3022. doi: 10.1890/04-0020</w:t>
      </w:r>
    </w:p>
    <w:p>
      <w:pPr>
        <w:pStyle w:val="BodyText"/>
      </w:pPr>
    </w:p>
    <w:p>
      <w:pPr>
        <w:pStyle w:val="BodyText"/>
        <w:spacing w:before="10"/>
      </w:pPr>
    </w:p>
    <w:p>
      <w:pPr>
        <w:pStyle w:val="BodyText"/>
        <w:spacing w:line="480" w:lineRule="auto"/>
        <w:ind w:left="1167" w:right="116" w:hanging="1066"/>
        <w:jc w:val="both"/>
      </w:pPr>
      <w:r>
        <w:rPr/>
        <w:t>Horppila J, Peltonen H, Malinen T, et al. (1998) Top-down or Bottom-up Effects by Fish: Issues of Concern in Biomanipulation of Lakes. Restor Ecol 6:20–28. doi: 10.1046/j.1526-100x.1998.00613.x</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4" w:hanging="1066"/>
        <w:jc w:val="both"/>
      </w:pPr>
      <w:r>
        <w:rPr/>
        <w:t>Hunter MD (2001) Multiple approaches to estimating the relative importanceof top-down and bottom-up forces on insect populations: Experiments, life tables, and time- series analysis. Basic Appl Ecol 2:295–309. doi: 10.1078/1439-1791-00068</w:t>
      </w:r>
    </w:p>
    <w:p>
      <w:pPr>
        <w:pStyle w:val="BodyText"/>
      </w:pPr>
    </w:p>
    <w:p>
      <w:pPr>
        <w:pStyle w:val="BodyText"/>
        <w:spacing w:before="10"/>
      </w:pPr>
    </w:p>
    <w:p>
      <w:pPr>
        <w:pStyle w:val="BodyText"/>
        <w:spacing w:line="480" w:lineRule="auto"/>
        <w:ind w:left="1167" w:right="116" w:hanging="1066"/>
        <w:jc w:val="both"/>
      </w:pPr>
      <w:r>
        <w:rPr/>
        <w:t>Huryn AD (1998) Ecosystem-level evidence for top-down and bottom-up control of production in a grassland stream system. Oecologia 115:173–183. doi: 10.1007/s004420050505</w:t>
      </w:r>
    </w:p>
    <w:p>
      <w:pPr>
        <w:pStyle w:val="BodyText"/>
      </w:pPr>
    </w:p>
    <w:p>
      <w:pPr>
        <w:pStyle w:val="BodyText"/>
        <w:spacing w:before="10"/>
      </w:pPr>
    </w:p>
    <w:p>
      <w:pPr>
        <w:pStyle w:val="BodyText"/>
        <w:spacing w:line="480" w:lineRule="auto" w:before="1"/>
        <w:ind w:left="1167" w:right="122" w:hanging="1066"/>
        <w:jc w:val="both"/>
      </w:pPr>
      <w:r>
        <w:rPr/>
        <w:t>Hutchinson GE (1980) An introduction to population ecology. Yale University Press, New Haven, Connecticut, USA</w:t>
      </w:r>
    </w:p>
    <w:p>
      <w:pPr>
        <w:pStyle w:val="BodyText"/>
      </w:pPr>
    </w:p>
    <w:p>
      <w:pPr>
        <w:pStyle w:val="BodyText"/>
        <w:spacing w:before="10"/>
      </w:pPr>
    </w:p>
    <w:p>
      <w:pPr>
        <w:pStyle w:val="BodyText"/>
        <w:spacing w:line="480" w:lineRule="auto"/>
        <w:ind w:left="1167" w:right="120" w:hanging="1066"/>
        <w:jc w:val="both"/>
      </w:pPr>
      <w:r>
        <w:rPr/>
        <w:t>Jiang L, Morin PJ (2005) Predator Diet Breadth Influences the Relative Importance of Bottom-Up and Top-Down Control of Prey Biomass and Diversity. Am Nat 165:350–363. doi: 10.1086/428300</w:t>
      </w:r>
    </w:p>
    <w:p>
      <w:pPr>
        <w:pStyle w:val="BodyText"/>
      </w:pPr>
    </w:p>
    <w:p>
      <w:pPr>
        <w:pStyle w:val="BodyText"/>
        <w:spacing w:before="10"/>
      </w:pPr>
    </w:p>
    <w:p>
      <w:pPr>
        <w:pStyle w:val="BodyText"/>
        <w:spacing w:line="480" w:lineRule="auto"/>
        <w:ind w:left="1167" w:right="119" w:hanging="1066"/>
        <w:jc w:val="both"/>
      </w:pPr>
      <w:r>
        <w:rPr/>
        <w:t>Keeler MS, Chew FS, Goodale BC, Reed JM (2006) Modelling the impacts of two exotic invasive species on a native butterfly: top-down vs. bottom-up effects. J Anim Ecol 75:777–788. doi: 10.1111/j.1365-2656.2006.01098.x</w:t>
      </w:r>
    </w:p>
    <w:p>
      <w:pPr>
        <w:pStyle w:val="BodyText"/>
      </w:pPr>
    </w:p>
    <w:p>
      <w:pPr>
        <w:pStyle w:val="BodyText"/>
        <w:spacing w:before="10"/>
      </w:pPr>
    </w:p>
    <w:p>
      <w:pPr>
        <w:pStyle w:val="BodyText"/>
        <w:spacing w:line="480" w:lineRule="auto" w:before="1"/>
        <w:ind w:left="1167" w:right="122" w:hanging="1066"/>
        <w:jc w:val="both"/>
      </w:pPr>
      <w:r>
        <w:rPr/>
        <w:t>Logan, K and Sweanor L (2001) ʻDesert puma evolutionary ecology and conservation of an enduring carnivoreʼ. (Island Press: Washington.)</w:t>
      </w:r>
    </w:p>
    <w:p>
      <w:pPr>
        <w:pStyle w:val="BodyText"/>
      </w:pPr>
    </w:p>
    <w:p>
      <w:pPr>
        <w:pStyle w:val="BodyText"/>
        <w:spacing w:before="10"/>
      </w:pPr>
    </w:p>
    <w:p>
      <w:pPr>
        <w:pStyle w:val="BodyText"/>
        <w:spacing w:line="480" w:lineRule="auto"/>
        <w:ind w:left="1167" w:right="122" w:hanging="1066"/>
        <w:jc w:val="both"/>
      </w:pPr>
      <w:r>
        <w:rPr/>
        <w:t>Mduma SAR, Sinclair ARE and Hilborn R (1999) Food regulates the Serengeti wildebeest: a 40-year record. J Anim Ecol 68: 1101–1122</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5" w:hanging="1066"/>
        <w:jc w:val="both"/>
      </w:pPr>
      <w:r>
        <w:rPr/>
        <w:t>Menge BA (2000) Top-down and bottom-up community regulation in marine rocky intertidal habitats. J Exp Mar Biol Ecol 250:257–289. doi: 10.1016/S0022- 0981(00)00200-8</w:t>
      </w:r>
    </w:p>
    <w:p>
      <w:pPr>
        <w:pStyle w:val="BodyText"/>
      </w:pPr>
    </w:p>
    <w:p>
      <w:pPr>
        <w:pStyle w:val="BodyText"/>
        <w:spacing w:before="10"/>
      </w:pPr>
    </w:p>
    <w:p>
      <w:pPr>
        <w:pStyle w:val="BodyText"/>
        <w:spacing w:line="480" w:lineRule="auto"/>
        <w:ind w:left="1167" w:right="117" w:hanging="1066"/>
        <w:jc w:val="both"/>
      </w:pPr>
      <w:r>
        <w:rPr/>
        <w:t>Monroy-Vilchis O, Gómez Y, Janczur M, and Urios V (2009). Food niche of Puma concolor in central Mexico. Wildlif Biol 15: 97-105</w:t>
      </w:r>
    </w:p>
    <w:p>
      <w:pPr>
        <w:pStyle w:val="BodyText"/>
      </w:pPr>
    </w:p>
    <w:p>
      <w:pPr>
        <w:pStyle w:val="BodyText"/>
        <w:spacing w:before="10"/>
      </w:pPr>
    </w:p>
    <w:p>
      <w:pPr>
        <w:pStyle w:val="BodyText"/>
        <w:spacing w:line="480" w:lineRule="auto" w:before="1"/>
        <w:ind w:left="1167" w:right="120" w:hanging="1066"/>
        <w:jc w:val="both"/>
      </w:pPr>
      <w:r>
        <w:rPr/>
        <w:t>Monroy-Vilchis O, Zarco-González MM, Rodríguez-Soto C, et al. (2011) Fototrampeo de mamíferos en la Sierra Nanchititla, México: abundancia relativa y patrón de actividad. Rev Biol Trop 59:373–383.</w:t>
      </w:r>
    </w:p>
    <w:p>
      <w:pPr>
        <w:pStyle w:val="BodyText"/>
      </w:pPr>
    </w:p>
    <w:p>
      <w:pPr>
        <w:pStyle w:val="BodyText"/>
        <w:spacing w:before="10"/>
      </w:pPr>
    </w:p>
    <w:p>
      <w:pPr>
        <w:pStyle w:val="BodyText"/>
        <w:spacing w:line="480" w:lineRule="auto"/>
        <w:ind w:left="1167" w:right="115" w:hanging="1066"/>
        <w:jc w:val="both"/>
      </w:pPr>
      <w:r>
        <w:rPr/>
        <w:t>Monroy-Vilchis O, Balderas MA, Rubio R et al. (2011) Programa de conservación y manejo del Parque Natural Sierra Nanchititla. 1ª edición. Universidad Autónoma del Estado de México, México. pp.</w:t>
      </w:r>
      <w:r>
        <w:rPr>
          <w:spacing w:val="-5"/>
        </w:rPr>
        <w:t> </w:t>
      </w:r>
      <w:r>
        <w:rPr/>
        <w:t>218.</w:t>
      </w:r>
    </w:p>
    <w:p>
      <w:pPr>
        <w:pStyle w:val="BodyText"/>
      </w:pPr>
    </w:p>
    <w:p>
      <w:pPr>
        <w:pStyle w:val="BodyText"/>
        <w:spacing w:before="10"/>
      </w:pPr>
    </w:p>
    <w:p>
      <w:pPr>
        <w:pStyle w:val="BodyText"/>
        <w:spacing w:line="480" w:lineRule="auto"/>
        <w:ind w:left="1167" w:right="121" w:hanging="1066"/>
        <w:jc w:val="both"/>
      </w:pPr>
      <w:r>
        <w:rPr/>
        <w:t>Novaro AJ and Walker RS (2005) Human-Induced changes in the effect of top carnivores on biodiversity in the Patagonian Steppe. In Ray JC, Redford KH, Steneck RS et al. Large Carnivores and the conservation of biodiversity. Island Press.</w:t>
      </w:r>
    </w:p>
    <w:p>
      <w:pPr>
        <w:pStyle w:val="BodyText"/>
      </w:pPr>
    </w:p>
    <w:p>
      <w:pPr>
        <w:pStyle w:val="BodyText"/>
        <w:spacing w:before="10"/>
      </w:pPr>
    </w:p>
    <w:p>
      <w:pPr>
        <w:pStyle w:val="BodyText"/>
        <w:spacing w:line="480" w:lineRule="auto" w:before="1"/>
        <w:ind w:left="1167" w:right="115" w:hanging="1066"/>
        <w:jc w:val="both"/>
      </w:pPr>
      <w:r>
        <w:rPr/>
        <w:t>O’Brien TG, Kinnaird MF and Wibisono HT (2003) Crouching tigers, hidden prey: Sumatran tiger and prey populations in a tropical forest landscape. Anim Conserv 6:</w:t>
      </w:r>
      <w:r>
        <w:rPr>
          <w:spacing w:val="-1"/>
        </w:rPr>
        <w:t> </w:t>
      </w:r>
      <w:r>
        <w:rPr/>
        <w:t>131–139</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10" w:right="160" w:hanging="1008"/>
        <w:jc w:val="both"/>
      </w:pPr>
      <w:r>
        <w:rPr/>
        <w:t>Peterson RO (1999) Wolf-moose interaction on Isle Royale: the end of natural regulation? Ecol Appl 9:10–16. doi: 10.1890/1051-0761(1999)009[0010:WMIOIR]2.0.CO;2</w:t>
      </w:r>
    </w:p>
    <w:p>
      <w:pPr>
        <w:pStyle w:val="BodyText"/>
      </w:pPr>
    </w:p>
    <w:p>
      <w:pPr>
        <w:pStyle w:val="BodyText"/>
        <w:spacing w:before="10"/>
      </w:pPr>
    </w:p>
    <w:p>
      <w:pPr>
        <w:pStyle w:val="BodyText"/>
        <w:spacing w:line="480" w:lineRule="auto"/>
        <w:ind w:left="1167" w:right="117" w:hanging="1066"/>
        <w:jc w:val="both"/>
      </w:pPr>
      <w:r>
        <w:rPr/>
        <w:t>Pierce BM, Bleich VC, Monteith KL, Bowyer RT (2012) Top-down versus bottom-up forcing: evidence from mountain lions and mule deer. J Mammal 93:977–988. doi: 10.1644/12-MAMM-A-014.1</w:t>
      </w:r>
    </w:p>
    <w:p>
      <w:pPr>
        <w:pStyle w:val="BodyText"/>
      </w:pPr>
    </w:p>
    <w:p>
      <w:pPr>
        <w:pStyle w:val="BodyText"/>
        <w:spacing w:before="10"/>
      </w:pPr>
    </w:p>
    <w:p>
      <w:pPr>
        <w:pStyle w:val="BodyText"/>
        <w:spacing w:line="480" w:lineRule="auto" w:before="1"/>
        <w:ind w:left="1167" w:right="124" w:hanging="1066"/>
        <w:jc w:val="both"/>
      </w:pPr>
      <w:r>
        <w:rPr/>
        <w:t>Pinto LC, and Andriolo A (2005) Camera traps used on the mastofaunal survey of Araras Biological Reserve, IEF-RJ.  Rev Bra Zoociencias Juiz de fora 7: 231-246</w:t>
      </w:r>
    </w:p>
    <w:p>
      <w:pPr>
        <w:pStyle w:val="BodyText"/>
      </w:pPr>
    </w:p>
    <w:p>
      <w:pPr>
        <w:pStyle w:val="BodyText"/>
        <w:spacing w:before="10"/>
      </w:pPr>
    </w:p>
    <w:p>
      <w:pPr>
        <w:pStyle w:val="BodyText"/>
        <w:spacing w:line="480" w:lineRule="auto"/>
        <w:ind w:left="1167" w:right="117" w:hanging="1066"/>
        <w:jc w:val="both"/>
      </w:pPr>
      <w:r>
        <w:rPr/>
        <w:t>Potts JM, Elith J (2006) Comparing species abundance models. Ecol Model 199:153–163. doi: 10.1016/j.ecolmodel.2006.05.025</w:t>
      </w:r>
    </w:p>
    <w:p>
      <w:pPr>
        <w:pStyle w:val="BodyText"/>
      </w:pPr>
    </w:p>
    <w:p>
      <w:pPr>
        <w:pStyle w:val="BodyText"/>
        <w:spacing w:before="10"/>
      </w:pPr>
    </w:p>
    <w:p>
      <w:pPr>
        <w:pStyle w:val="BodyText"/>
        <w:spacing w:line="480" w:lineRule="auto"/>
        <w:ind w:left="1167" w:right="115" w:hanging="1066"/>
        <w:jc w:val="both"/>
      </w:pPr>
      <w:r>
        <w:rPr/>
        <w:t>Ripple WJ, Beschta RL (2008) Trophic cascades involving cougar, mule deer, and black oaks in Yosemite National Park. Biol Conserv 141:1249–1256.</w:t>
      </w:r>
    </w:p>
    <w:p>
      <w:pPr>
        <w:pStyle w:val="BodyText"/>
      </w:pPr>
    </w:p>
    <w:p>
      <w:pPr>
        <w:pStyle w:val="BodyText"/>
        <w:spacing w:before="10"/>
      </w:pPr>
    </w:p>
    <w:p>
      <w:pPr>
        <w:pStyle w:val="BodyText"/>
        <w:spacing w:line="480" w:lineRule="auto"/>
        <w:ind w:left="1167" w:right="118" w:hanging="1066"/>
        <w:jc w:val="both"/>
      </w:pPr>
      <w:r>
        <w:rPr/>
        <w:t>Ruth TK and Murphy K (2010) Cougar-prey relationships. In ʻCougar ecology and conservationʼ (Eds. M. Hornocker and S. Negri.) pp. 138-162. The University of Chicago Press, Chicago and London</w:t>
      </w:r>
    </w:p>
    <w:p>
      <w:pPr>
        <w:pStyle w:val="BodyText"/>
      </w:pPr>
    </w:p>
    <w:p>
      <w:pPr>
        <w:pStyle w:val="BodyText"/>
        <w:spacing w:before="10"/>
      </w:pPr>
    </w:p>
    <w:p>
      <w:pPr>
        <w:pStyle w:val="BodyText"/>
        <w:spacing w:line="480" w:lineRule="auto" w:before="1"/>
        <w:ind w:left="1167" w:right="115" w:hanging="1066"/>
        <w:jc w:val="both"/>
      </w:pPr>
      <w:r>
        <w:rPr/>
        <w:t>Sæther B-E (1997) Environmental stochasticity and population dynamics of large herbivores: a search for mechanisms. Trends Ecol Evol 12:143–149. doi: 10.1016/S0169-5347(96)10068-9</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5" w:hanging="1066"/>
        <w:jc w:val="both"/>
      </w:pPr>
      <w:r>
        <w:rPr/>
        <w:t>Scherber C, Eisenhauer N, Weisser WW, et al. (2010) Bottom-up effects of plant diversity on multitrophic interactions in a biodiversity experiment. Nature 468:553–556. doi: 10.1038/nature09492</w:t>
      </w:r>
    </w:p>
    <w:p>
      <w:pPr>
        <w:pStyle w:val="BodyText"/>
      </w:pPr>
    </w:p>
    <w:p>
      <w:pPr>
        <w:pStyle w:val="BodyText"/>
        <w:spacing w:before="10"/>
      </w:pPr>
    </w:p>
    <w:p>
      <w:pPr>
        <w:pStyle w:val="BodyText"/>
        <w:spacing w:line="480" w:lineRule="auto"/>
        <w:ind w:left="1167" w:right="122" w:hanging="1066"/>
        <w:jc w:val="both"/>
      </w:pPr>
      <w:r>
        <w:rPr/>
        <w:t>Sibly RM, Hone J (2002) Population growth rate and its determinants: an overview. Philos Trans R Soc Lond B Biol Sci 357:1153–1170. doi: 10.1098/rstb.2002.1117</w:t>
      </w:r>
    </w:p>
    <w:p>
      <w:pPr>
        <w:pStyle w:val="BodyText"/>
      </w:pPr>
    </w:p>
    <w:p>
      <w:pPr>
        <w:pStyle w:val="BodyText"/>
        <w:spacing w:before="10"/>
      </w:pPr>
    </w:p>
    <w:p>
      <w:pPr>
        <w:pStyle w:val="BodyText"/>
        <w:spacing w:line="480" w:lineRule="auto" w:before="1"/>
        <w:ind w:left="1167" w:right="121" w:hanging="1066"/>
        <w:jc w:val="both"/>
      </w:pPr>
      <w:r>
        <w:rPr/>
        <w:t>Silveira L, Jacomo AT, Diniz-Filho JAF (2003) Camera trap, line transect census and track surveys: a comparative evaluation. Biol Conserv 114:351–355.</w:t>
      </w:r>
    </w:p>
    <w:p>
      <w:pPr>
        <w:pStyle w:val="BodyText"/>
      </w:pPr>
    </w:p>
    <w:p>
      <w:pPr>
        <w:pStyle w:val="BodyText"/>
        <w:spacing w:before="10"/>
      </w:pPr>
    </w:p>
    <w:p>
      <w:pPr>
        <w:pStyle w:val="BodyText"/>
        <w:spacing w:line="480" w:lineRule="auto"/>
        <w:ind w:left="1167" w:right="122" w:hanging="1066"/>
        <w:jc w:val="both"/>
      </w:pPr>
      <w:r>
        <w:rPr/>
        <w:t>Sinclair ARE, Pech RP, Dickman CR et al. (1998) Predicting effects of predation on conservation of endangered prey.  Conserv Biol 12: 564–575</w:t>
      </w:r>
    </w:p>
    <w:p>
      <w:pPr>
        <w:pStyle w:val="BodyText"/>
      </w:pPr>
    </w:p>
    <w:p>
      <w:pPr>
        <w:pStyle w:val="BodyText"/>
        <w:spacing w:before="10"/>
      </w:pPr>
    </w:p>
    <w:p>
      <w:pPr>
        <w:pStyle w:val="BodyText"/>
        <w:spacing w:line="480" w:lineRule="auto"/>
        <w:ind w:left="1170" w:right="906" w:hanging="1068"/>
      </w:pPr>
      <w:r>
        <w:rPr/>
        <w:t>Sinclair ARE, Mduma S, and Brashares JS (2003) Patterns of predation in a diverse predator–prey system. Nature 425: 288–290</w:t>
      </w:r>
    </w:p>
    <w:p>
      <w:pPr>
        <w:pStyle w:val="BodyText"/>
      </w:pPr>
    </w:p>
    <w:p>
      <w:pPr>
        <w:pStyle w:val="BodyText"/>
        <w:spacing w:before="10"/>
      </w:pPr>
    </w:p>
    <w:p>
      <w:pPr>
        <w:pStyle w:val="BodyText"/>
        <w:spacing w:line="480" w:lineRule="auto"/>
        <w:ind w:left="1167" w:right="115" w:hanging="1066"/>
        <w:jc w:val="both"/>
      </w:pPr>
      <w:r>
        <w:rPr/>
        <w:t>Soria-Díaz L, Monroy-Vilchis O, Rodríguez-Soto C, et al. (2010) Variation of abundance and density of </w:t>
      </w:r>
      <w:r>
        <w:rPr>
          <w:i/>
        </w:rPr>
        <w:t>Puma concolor </w:t>
      </w:r>
      <w:r>
        <w:rPr/>
        <w:t>in zones of high and low concentration of camera trap in Central Mexico. Anim Biol 60: 361-371.</w:t>
      </w:r>
    </w:p>
    <w:p>
      <w:pPr>
        <w:pStyle w:val="BodyText"/>
      </w:pPr>
    </w:p>
    <w:p>
      <w:pPr>
        <w:pStyle w:val="BodyText"/>
        <w:spacing w:before="10"/>
      </w:pPr>
    </w:p>
    <w:p>
      <w:pPr>
        <w:pStyle w:val="BodyText"/>
        <w:spacing w:before="1"/>
        <w:ind w:left="102" w:right="197"/>
      </w:pPr>
      <w:r>
        <w:rPr/>
        <w:t>Sunquist M and Sunquist F (2002) Wild Cats of the World. University Of Chicago Press.</w:t>
      </w:r>
    </w:p>
    <w:p>
      <w:pPr>
        <w:pStyle w:val="BodyText"/>
      </w:pPr>
    </w:p>
    <w:p>
      <w:pPr>
        <w:pStyle w:val="BodyText"/>
      </w:pPr>
    </w:p>
    <w:p>
      <w:pPr>
        <w:pStyle w:val="BodyText"/>
      </w:pPr>
    </w:p>
    <w:p>
      <w:pPr>
        <w:pStyle w:val="BodyText"/>
        <w:spacing w:line="480" w:lineRule="auto"/>
        <w:ind w:left="1167" w:right="118" w:hanging="1066"/>
        <w:jc w:val="both"/>
      </w:pPr>
      <w:r>
        <w:rPr/>
        <w:t>Valenzuela D (1998) Natural history of white tailed-noise coati, Nasua narica,in a Tropical Dry Forest of Western Mexico. Rev Mex Mastoz 3: 26-44</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6" w:hanging="1066"/>
        <w:jc w:val="both"/>
      </w:pPr>
      <w:r>
        <w:rPr/>
        <w:t>Vucetich JA, Peterson RO (2004) The influence of top–down, bottom–up and  abiotic factors on the moose (</w:t>
      </w:r>
      <w:r>
        <w:rPr>
          <w:i/>
        </w:rPr>
        <w:t>Alces alces</w:t>
      </w:r>
      <w:r>
        <w:rPr/>
        <w:t>) population of Isle Royale. Proc R Soc Lond B Biol Sci 271:183–189. doi: 10.1098/rspb.2003.2589</w:t>
      </w:r>
    </w:p>
    <w:p>
      <w:pPr>
        <w:pStyle w:val="BodyText"/>
      </w:pPr>
    </w:p>
    <w:p>
      <w:pPr>
        <w:pStyle w:val="BodyText"/>
        <w:spacing w:before="10"/>
      </w:pPr>
    </w:p>
    <w:p>
      <w:pPr>
        <w:pStyle w:val="BodyText"/>
        <w:spacing w:line="480" w:lineRule="auto"/>
        <w:ind w:left="1167" w:right="115" w:hanging="1066"/>
        <w:jc w:val="both"/>
      </w:pPr>
      <w:r>
        <w:rPr/>
        <w:t>Walker M, Jones TH (2001) Relative roles of top-down and bottom-up forces in terrestrial tritrophic plant–insect herbivore–natural enemy systems. Oikos 93:177–187. doi: 10.1034/j.1600-0706.2001.930201.x</w:t>
      </w:r>
    </w:p>
    <w:p>
      <w:pPr>
        <w:pStyle w:val="BodyText"/>
      </w:pPr>
    </w:p>
    <w:p>
      <w:pPr>
        <w:pStyle w:val="BodyText"/>
        <w:spacing w:before="10"/>
      </w:pPr>
    </w:p>
    <w:p>
      <w:pPr>
        <w:pStyle w:val="BodyText"/>
        <w:spacing w:before="1"/>
        <w:ind w:left="102" w:right="197"/>
      </w:pPr>
      <w:r>
        <w:rPr/>
        <w:t>Weimer RC (2007) Estadística. First Spanish Language Edition. Patría, México. pp. 839</w:t>
      </w:r>
    </w:p>
    <w:p>
      <w:pPr>
        <w:spacing w:after="0"/>
        <w:sectPr>
          <w:pgSz w:w="12240" w:h="15840"/>
          <w:pgMar w:header="740" w:footer="779" w:top="960" w:bottom="96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68"/>
        <w:ind w:left="114" w:right="231"/>
        <w:jc w:val="center"/>
      </w:pPr>
      <w:bookmarkStart w:name="_bookmark39" w:id="46"/>
      <w:bookmarkEnd w:id="46"/>
      <w:r>
        <w:rPr>
          <w:b w:val="0"/>
        </w:rPr>
      </w:r>
      <w:r>
        <w:rPr/>
        <w:t>CAPÍTULO VII.</w:t>
      </w:r>
    </w:p>
    <w:p>
      <w:pPr>
        <w:spacing w:after="0"/>
        <w:jc w:val="center"/>
        <w:sectPr>
          <w:pgSz w:w="12240" w:h="15840"/>
          <w:pgMar w:header="740" w:footer="779" w:top="960" w:bottom="960" w:left="1720" w:right="1600"/>
        </w:sectPr>
      </w:pPr>
    </w:p>
    <w:p>
      <w:pPr>
        <w:pStyle w:val="BodyText"/>
        <w:spacing w:before="7"/>
        <w:rPr>
          <w:rFonts w:ascii="Palatino Linotype"/>
          <w:b/>
          <w:sz w:val="28"/>
        </w:rPr>
      </w:pPr>
    </w:p>
    <w:p>
      <w:pPr>
        <w:pStyle w:val="Heading2"/>
        <w:numPr>
          <w:ilvl w:val="0"/>
          <w:numId w:val="5"/>
        </w:numPr>
        <w:tabs>
          <w:tab w:pos="582" w:val="left" w:leader="none"/>
        </w:tabs>
        <w:spacing w:line="477" w:lineRule="auto" w:before="69" w:after="0"/>
        <w:ind w:left="102" w:right="867" w:firstLine="0"/>
        <w:jc w:val="left"/>
      </w:pPr>
      <w:bookmarkStart w:name="_bookmark40" w:id="47"/>
      <w:bookmarkEnd w:id="47"/>
      <w:r>
        <w:rPr>
          <w:b w:val="0"/>
        </w:rPr>
      </w:r>
      <w:bookmarkStart w:name="_bookmark40" w:id="48"/>
      <w:bookmarkEnd w:id="48"/>
      <w:r>
        <w:rPr/>
        <w:t>De</w:t>
      </w:r>
      <w:r>
        <w:rPr/>
        <w:t>mographic parameters of cougar (</w:t>
      </w:r>
      <w:r>
        <w:rPr>
          <w:i/>
        </w:rPr>
        <w:t>Puma concolor</w:t>
      </w:r>
      <w:r>
        <w:rPr/>
        <w:t>), in Sierra Nanchititla Natural Reserve, central</w:t>
      </w:r>
      <w:r>
        <w:rPr>
          <w:spacing w:val="-8"/>
        </w:rPr>
        <w:t> </w:t>
      </w:r>
      <w:r>
        <w:rPr/>
        <w:t>Mexico.</w:t>
      </w:r>
    </w:p>
    <w:p>
      <w:pPr>
        <w:pStyle w:val="BodyText"/>
        <w:rPr>
          <w:b/>
        </w:rPr>
      </w:pPr>
    </w:p>
    <w:p>
      <w:pPr>
        <w:pStyle w:val="BodyText"/>
        <w:rPr>
          <w:b/>
          <w:sz w:val="22"/>
        </w:rPr>
      </w:pPr>
    </w:p>
    <w:p>
      <w:pPr>
        <w:spacing w:before="0"/>
        <w:ind w:left="102" w:right="197" w:firstLine="0"/>
        <w:jc w:val="left"/>
        <w:rPr>
          <w:b/>
          <w:sz w:val="16"/>
        </w:rPr>
      </w:pPr>
      <w:r>
        <w:rPr>
          <w:b/>
          <w:sz w:val="24"/>
        </w:rPr>
        <w:t>Leroy Soria Díaz</w:t>
      </w:r>
      <w:r>
        <w:rPr>
          <w:b/>
          <w:position w:val="11"/>
          <w:sz w:val="16"/>
        </w:rPr>
        <w:t>A</w:t>
      </w:r>
      <w:r>
        <w:rPr>
          <w:b/>
          <w:sz w:val="24"/>
        </w:rPr>
        <w:t>, Octavio Monroy Vilchis</w:t>
      </w:r>
      <w:r>
        <w:rPr>
          <w:b/>
          <w:position w:val="11"/>
          <w:sz w:val="16"/>
        </w:rPr>
        <w:t>A* </w:t>
      </w:r>
      <w:r>
        <w:rPr>
          <w:b/>
          <w:sz w:val="24"/>
        </w:rPr>
        <w:t>and Meritxell Genovart</w:t>
      </w:r>
      <w:r>
        <w:rPr>
          <w:b/>
          <w:position w:val="11"/>
          <w:sz w:val="16"/>
        </w:rPr>
        <w:t>B</w:t>
      </w:r>
    </w:p>
    <w:p>
      <w:pPr>
        <w:pStyle w:val="BodyText"/>
        <w:rPr>
          <w:b/>
          <w:sz w:val="28"/>
        </w:rPr>
      </w:pPr>
    </w:p>
    <w:p>
      <w:pPr>
        <w:pStyle w:val="BodyText"/>
        <w:spacing w:before="5"/>
        <w:rPr>
          <w:b/>
          <w:sz w:val="40"/>
        </w:rPr>
      </w:pPr>
    </w:p>
    <w:p>
      <w:pPr>
        <w:pStyle w:val="BodyText"/>
        <w:spacing w:line="480" w:lineRule="auto" w:before="1"/>
        <w:ind w:left="102" w:right="404"/>
      </w:pPr>
      <w:r>
        <w:rPr>
          <w:position w:val="11"/>
          <w:sz w:val="16"/>
        </w:rPr>
        <w:t>A</w:t>
      </w:r>
      <w:r>
        <w:rPr/>
        <w:t>Estación Biológica Sierra Nanchititla, Facultad de Ciencias, Universidad Autónoma del Estado de México, Instituto Literario 100, Centro, 50000 Toluca, México. </w:t>
      </w:r>
      <w:hyperlink r:id="rId29">
        <w:r>
          <w:rPr>
            <w:color w:val="0000FF"/>
            <w:u w:val="single" w:color="0000FF"/>
          </w:rPr>
          <w:t>leroysoriadiaz@gmail.com</w:t>
        </w:r>
      </w:hyperlink>
      <w:r>
        <w:rPr/>
        <w:t>, </w:t>
      </w:r>
      <w:hyperlink r:id="rId24">
        <w:r>
          <w:rPr/>
          <w:t>tavomonroyvilchis@gmail.com</w:t>
        </w:r>
      </w:hyperlink>
    </w:p>
    <w:p>
      <w:pPr>
        <w:pStyle w:val="BodyText"/>
        <w:spacing w:before="10"/>
        <w:ind w:left="102" w:right="197"/>
      </w:pPr>
      <w:r>
        <w:rPr/>
        <w:t>Tel: +01 722 2 96 55 53</w:t>
      </w:r>
    </w:p>
    <w:p>
      <w:pPr>
        <w:pStyle w:val="BodyText"/>
        <w:spacing w:before="10"/>
        <w:rPr>
          <w:sz w:val="20"/>
        </w:rPr>
      </w:pPr>
    </w:p>
    <w:p>
      <w:pPr>
        <w:pStyle w:val="BodyText"/>
        <w:spacing w:line="480" w:lineRule="auto"/>
        <w:ind w:left="102" w:right="197"/>
      </w:pPr>
      <w:r>
        <w:rPr>
          <w:position w:val="11"/>
          <w:sz w:val="16"/>
        </w:rPr>
        <w:t>B</w:t>
      </w:r>
      <w:r>
        <w:rPr/>
        <w:t>Instituto Mediterraneo de Estudios Avanzados IMEDEA, CSIC-UIB, 07190 Esporles, España.</w:t>
      </w:r>
    </w:p>
    <w:p>
      <w:pPr>
        <w:pStyle w:val="BodyText"/>
        <w:spacing w:before="10"/>
        <w:ind w:left="102" w:right="197"/>
      </w:pPr>
      <w:hyperlink r:id="rId44">
        <w:r>
          <w:rPr>
            <w:color w:val="0000FF"/>
            <w:u w:val="single" w:color="0000FF"/>
          </w:rPr>
          <w:t>xell@imedea.uib-csic.es</w:t>
        </w:r>
      </w:hyperlink>
    </w:p>
    <w:p>
      <w:pPr>
        <w:pStyle w:val="BodyText"/>
        <w:spacing w:before="11"/>
        <w:rPr>
          <w:sz w:val="17"/>
        </w:rPr>
      </w:pPr>
    </w:p>
    <w:p>
      <w:pPr>
        <w:pStyle w:val="BodyText"/>
        <w:spacing w:before="69"/>
        <w:ind w:left="102" w:right="6695"/>
      </w:pPr>
      <w:r>
        <w:rPr/>
        <w:t>Tel: +34 971611731</w:t>
      </w:r>
    </w:p>
    <w:p>
      <w:pPr>
        <w:pStyle w:val="BodyText"/>
      </w:pPr>
    </w:p>
    <w:p>
      <w:pPr>
        <w:pStyle w:val="BodyText"/>
        <w:ind w:left="102" w:right="197"/>
      </w:pPr>
      <w:r>
        <w:rPr/>
        <w:t>*Corresponding author. Email: tavomonroyvilchis@gmail.</w:t>
      </w:r>
    </w:p>
    <w:p>
      <w:pPr>
        <w:pStyle w:val="BodyText"/>
        <w:spacing w:before="4"/>
      </w:pPr>
    </w:p>
    <w:p>
      <w:pPr>
        <w:pStyle w:val="Heading2"/>
        <w:spacing w:before="1"/>
        <w:ind w:right="6695"/>
      </w:pPr>
      <w:r>
        <w:rPr/>
        <w:t>INTRODUCTION</w:t>
      </w:r>
    </w:p>
    <w:p>
      <w:pPr>
        <w:pStyle w:val="BodyText"/>
        <w:spacing w:before="6"/>
        <w:rPr>
          <w:b/>
          <w:sz w:val="23"/>
        </w:rPr>
      </w:pPr>
    </w:p>
    <w:p>
      <w:pPr>
        <w:pStyle w:val="BodyText"/>
        <w:spacing w:line="480" w:lineRule="auto"/>
        <w:ind w:left="102" w:right="207" w:firstLine="707"/>
      </w:pPr>
      <w:r>
        <w:rPr/>
        <w:t>The conservation for cougar (</w:t>
      </w:r>
      <w:r>
        <w:rPr>
          <w:i/>
        </w:rPr>
        <w:t>P. concolor</w:t>
      </w:r>
      <w:r>
        <w:rPr/>
        <w:t>) is a high priority for conservation of ecosystems where they are distributed, because is an umbrella species, meaning that their conservation may favor species that are below their food chain as their prey (Gittleman et al. 2001). However globally it has been documented that populations of this cat have declined drastically, due to three reasons mainly; the fragmentation of their habitat by expansion of agricultural and pastoral areas, the declined in natural prey by human hunting and the conflict they have with farmers ( Sunquist and sunquist 2002). So it is urgent estimate demographic parameters on their populations, to have arguments and generate management and plans for cougar.</w:t>
      </w:r>
    </w:p>
    <w:p>
      <w:pPr>
        <w:spacing w:after="0" w:line="480" w:lineRule="auto"/>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02" w:right="80" w:firstLine="707"/>
      </w:pPr>
      <w:r>
        <w:rPr/>
        <w:t>Such demographics may be; survival helps to know the viability of populations in a given site over the time, migration and immigration related variability in the population size of predators and their prey (Ricklefs y Miller 2000).</w:t>
      </w:r>
    </w:p>
    <w:p>
      <w:pPr>
        <w:pStyle w:val="BodyText"/>
        <w:spacing w:line="480" w:lineRule="auto" w:before="10"/>
        <w:ind w:left="102" w:firstLine="707"/>
      </w:pPr>
      <w:r>
        <w:rPr/>
        <w:t>To estimate demographic rates, have used animals marked with radio or satellite transmitters (Williams, 2002; Venkataraman et al. 2005), however these telemetry-besed methods have serious practical limitations, given the difficulties faced in obtained adequate sample sizes and the high cost of instrumentation and monitoring (Goswami et al. 2007).</w:t>
      </w:r>
    </w:p>
    <w:p>
      <w:pPr>
        <w:pStyle w:val="BodyText"/>
        <w:spacing w:line="480" w:lineRule="auto" w:before="11"/>
        <w:ind w:left="102" w:right="136"/>
      </w:pPr>
      <w:r>
        <w:rPr/>
        <w:t>Karanth (1995), showed that photographic captures of tigers obtained from automated camera traps could be analyzed under a closed-population capture-recapture sampling and the photographics captures histories of individuals animals over years also permit estimation of the vital rates as; survival, and movements that actually drive such changes in abundance (Gardner et al. 2010)(Amstrup et al. 2005, Karanth </w:t>
      </w:r>
      <w:r>
        <w:rPr>
          <w:i/>
        </w:rPr>
        <w:t>et al </w:t>
      </w:r>
      <w:r>
        <w:rPr/>
        <w:t>2006, Goswani et al.</w:t>
      </w:r>
    </w:p>
    <w:p>
      <w:pPr>
        <w:pStyle w:val="BodyText"/>
        <w:spacing w:line="480" w:lineRule="auto" w:before="10"/>
        <w:ind w:left="102" w:right="338"/>
      </w:pPr>
      <w:r>
        <w:rPr/>
        <w:t>2007). The camera traps are beneficial for a variety of reasons. Being non-invasive, abundance data are obtained in short sampling periods and the financial costs are lower compared with traditional method of capturing and recapturing the individuals, as these data are obtained through photographs (trolle et al. 2003, Soria-Diaz et al 2010).</w:t>
      </w:r>
    </w:p>
    <w:p>
      <w:pPr>
        <w:pStyle w:val="BodyText"/>
        <w:spacing w:line="480" w:lineRule="auto" w:before="10"/>
        <w:ind w:left="102" w:right="299" w:firstLine="707"/>
      </w:pPr>
      <w:r>
        <w:rPr/>
        <w:t>The capture-recapture models for estimation of demographic parameters have included closed population models (Otis et al 1978), where the population is unchanged during the study (no birth, death, migration and immigration there are), and open populations models (Pollock et al. 1990) where the study duration is longer and the population change. The most popular model for open population is the Jolly-Seber model (Jolly, 1965, Seber 1965). However an assumption of this model is that all animals are equally catchable at any given time, this assumption is unrealistic in wild population (Kendall et al. 1995). Pollock (1982) proposed the robus desing a sampling that combines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11"/>
      </w:pPr>
      <w:r>
        <w:rPr/>
        <w:t>the features of both closed and open populations studies. The robust design greatly enhances the level of information available from mark-recapture programs and provides a means to simultaneously estimate abundance, survival probabilities, migration and immigration. This is accomplished by combining multinomial likelihoods that used approach simultaneously utilizes information from both open and closed sampling periods (Kendall et al. 1995, McClintock and White 2009). The robust design consists of widely spaced primary sampling periods (e.g. years), across which survivorship is estimated using an open model approach and each primary periods consist of secondary samples (e.g. days), which are assumed to be demographically closed, across which  population size, conditional capture probabilities and trap response can be estimated (Price et al.</w:t>
      </w:r>
      <w:r>
        <w:rPr>
          <w:spacing w:val="-12"/>
        </w:rPr>
        <w:t> </w:t>
      </w:r>
      <w:r>
        <w:rPr/>
        <w:t>2012).</w:t>
      </w:r>
    </w:p>
    <w:p>
      <w:pPr>
        <w:pStyle w:val="BodyText"/>
        <w:spacing w:line="480" w:lineRule="auto" w:before="10"/>
        <w:ind w:left="102" w:right="407" w:firstLine="707"/>
      </w:pPr>
      <w:r>
        <w:rPr/>
        <w:t>The photographic captures and recaptures from camera trap with robust design to estimate demographic parameters were used in tigers populations (</w:t>
      </w:r>
      <w:r>
        <w:rPr>
          <w:i/>
        </w:rPr>
        <w:t>Panthera tigris</w:t>
      </w:r>
      <w:r>
        <w:rPr/>
        <w:t>), (Karanth et al.2006), in Asian elephant (</w:t>
      </w:r>
      <w:r>
        <w:rPr>
          <w:i/>
        </w:rPr>
        <w:t>Elephas maximus</w:t>
      </w:r>
      <w:r>
        <w:rPr/>
        <w:t>), both studies in India. And in the Pampas cats (</w:t>
      </w:r>
      <w:r>
        <w:rPr>
          <w:i/>
        </w:rPr>
        <w:t>Leopardus colocolo</w:t>
      </w:r>
      <w:r>
        <w:rPr/>
        <w:t>) from Argentina (Gardner et al. 2010). In all these studies tested the viability of these methods, to make reliable and robust estimates of demographic parameters of wild populations.</w:t>
      </w:r>
    </w:p>
    <w:p>
      <w:pPr>
        <w:pStyle w:val="BodyText"/>
        <w:spacing w:line="480" w:lineRule="auto" w:before="10"/>
        <w:ind w:left="102" w:right="140" w:firstLine="707"/>
      </w:pPr>
      <w:r>
        <w:rPr/>
        <w:t>In this study, we extended camera trap sampling temporally in Sierra Nanchititla Natural Reserve (SNNR) in central Mexico, to obtained capture history data for individuals cougars over nine years of sampling, using robust design capture-recapture approach, we estimated abundance, survival and movements (migration and immigration) of cougar in two sample areas with different degrees of protection. In the area protected, there are low human disturbance and animals hunting is null (Rodriguez 2013). And the other sample area there is high human disturbance and animal hunting. At least 40 cougars have been hunted here in the last 15 years (Zarco-González et al. 2012). For this reason the objective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80"/>
      </w:pPr>
      <w:r>
        <w:rPr/>
        <w:t>of this study was estimate the abundance, survival, migration and immigration of cougar in a sampled area with low human disturbance and hunting activity null and in a sampling area with high human disturbance and hunting in SNNR, Mexico.</w:t>
      </w:r>
    </w:p>
    <w:p>
      <w:pPr>
        <w:pStyle w:val="Heading2"/>
        <w:spacing w:before="15"/>
      </w:pPr>
      <w:r>
        <w:rPr/>
        <w:t>METHODS</w:t>
      </w:r>
    </w:p>
    <w:p>
      <w:pPr>
        <w:pStyle w:val="BodyText"/>
        <w:rPr>
          <w:b/>
        </w:rPr>
      </w:pPr>
    </w:p>
    <w:p>
      <w:pPr>
        <w:spacing w:before="0"/>
        <w:ind w:left="102" w:right="0" w:firstLine="0"/>
        <w:jc w:val="left"/>
        <w:rPr>
          <w:b/>
          <w:sz w:val="24"/>
        </w:rPr>
      </w:pPr>
      <w:r>
        <w:rPr>
          <w:b/>
          <w:sz w:val="24"/>
        </w:rPr>
        <w:t>Study area</w:t>
      </w:r>
    </w:p>
    <w:p>
      <w:pPr>
        <w:pStyle w:val="BodyText"/>
        <w:spacing w:before="6"/>
        <w:rPr>
          <w:b/>
          <w:sz w:val="23"/>
        </w:rPr>
      </w:pPr>
    </w:p>
    <w:p>
      <w:pPr>
        <w:pStyle w:val="BodyText"/>
        <w:spacing w:line="468" w:lineRule="auto"/>
        <w:ind w:left="102" w:right="188" w:firstLine="707"/>
      </w:pPr>
      <w:r>
        <w:rPr/>
        <w:t>Sierra Nanchititla Natural Reserve (SNNR) is located in the Balsas River depression, in southwestern State of Mexico (Figure 7.1). Its extreme coordinates are 19° 04’ 46’’ to 18° 45’ 38” North latitude and 100° 15’ 54’’ to 100° 36’ 28’’ West longitude, with altitudes from 410 to 2,080 m.a.s.l. It has an extension of 663.93 km</w:t>
      </w:r>
      <w:r>
        <w:rPr>
          <w:position w:val="11"/>
          <w:sz w:val="16"/>
        </w:rPr>
        <w:t>2</w:t>
      </w:r>
      <w:r>
        <w:rPr/>
        <w:t>, and a core zone protected by the State Government of Mexico of 15.1 km</w:t>
      </w:r>
      <w:r>
        <w:rPr>
          <w:position w:val="11"/>
          <w:sz w:val="16"/>
        </w:rPr>
        <w:t>2</w:t>
      </w:r>
      <w:r>
        <w:rPr/>
        <w:t>, which is characterized by presenting vegetation, of pine-oak forest, there are low human disturbance and animals hunting is null (Rodriguez 2013). The other sample area with 648.83 km</w:t>
      </w:r>
      <w:r>
        <w:rPr>
          <w:position w:val="11"/>
          <w:sz w:val="16"/>
        </w:rPr>
        <w:t>2 </w:t>
      </w:r>
      <w:r>
        <w:rPr/>
        <w:t>have habitat of deciduous forest, oak, pine-oak, grasslands and cultivation fields (Zepeda et al. 2008, Rodriguez-Soto 2013), in this area there are high human disturbance and animal hunting.</w:t>
      </w:r>
    </w:p>
    <w:p>
      <w:pPr>
        <w:pStyle w:val="BodyText"/>
        <w:spacing w:line="480" w:lineRule="auto" w:before="23"/>
        <w:ind w:left="102" w:right="108"/>
      </w:pPr>
      <w:r>
        <w:rPr/>
        <w:t>At least 40 cougars have been hunted here in the last 15 years (Zarco-González et al. 2012). The SNNR holds 53 mammals (Monroy-Vilchis et al. 2011a), and 5 out of the 6 species of wild felines registered for Mexico (Sánchez et al. 2002, Monroy-Vilchis et al. 2008b).</w:t>
      </w:r>
    </w:p>
    <w:p>
      <w:pPr>
        <w:pStyle w:val="BodyText"/>
        <w:spacing w:line="480" w:lineRule="auto" w:before="10"/>
        <w:ind w:left="102" w:right="81" w:firstLine="707"/>
      </w:pPr>
      <w:r>
        <w:rPr/>
        <w:t>This study was realized on six sampling years (December 2003 to September 2009), in three different samples. During the first sample, nine camera traps were placed in core zone and two nears to this zone (less a one kilometer), this was functioning during the six years of sampling. In the second sample of June 2006 to October 2007 seven cameras were placed in the sample areas no protected and continued operate the cameras within the protected area and in the last sampling of 06 June 2006 to August 2009 twenty cameras were placed in the area not protected (Figure 7.1).  These were placed at a distance from 0.5</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200"/>
      </w:pPr>
      <w:r>
        <w:rPr/>
        <w:t>to 3.2 km each other, on wide roads, droves, gorges and near water bodies, for increasing the probability to photograph the study species (Harmsen et al. 2009). The camera traps were fixed to tree trunks at 20-40 cm from the ground and were programmed to work 24 hours and to print the date and time in each photograph; they were checked once a month to assess their functioning and batteries.</w:t>
      </w:r>
    </w:p>
    <w:p>
      <w:pPr>
        <w:pStyle w:val="BodyText"/>
        <w:rPr>
          <w:sz w:val="20"/>
        </w:rPr>
      </w:pPr>
    </w:p>
    <w:p>
      <w:pPr>
        <w:pStyle w:val="BodyText"/>
        <w:spacing w:before="2"/>
        <w:rPr>
          <w:sz w:val="26"/>
        </w:rPr>
      </w:pPr>
      <w:r>
        <w:rPr/>
        <w:drawing>
          <wp:anchor distT="0" distB="0" distL="0" distR="0" allowOverlap="1" layoutInCell="1" locked="0" behindDoc="0" simplePos="0" relativeHeight="1264">
            <wp:simplePos x="0" y="0"/>
            <wp:positionH relativeFrom="page">
              <wp:posOffset>1548764</wp:posOffset>
            </wp:positionH>
            <wp:positionV relativeFrom="paragraph">
              <wp:posOffset>216232</wp:posOffset>
            </wp:positionV>
            <wp:extent cx="5172008" cy="3967924"/>
            <wp:effectExtent l="0" t="0" r="0" b="0"/>
            <wp:wrapTopAndBottom/>
            <wp:docPr id="55" name="image30.jpeg" descr=""/>
            <wp:cNvGraphicFramePr>
              <a:graphicFrameLocks noChangeAspect="1"/>
            </wp:cNvGraphicFramePr>
            <a:graphic>
              <a:graphicData uri="http://schemas.openxmlformats.org/drawingml/2006/picture">
                <pic:pic>
                  <pic:nvPicPr>
                    <pic:cNvPr id="56" name="image30.jpeg"/>
                    <pic:cNvPicPr/>
                  </pic:nvPicPr>
                  <pic:blipFill>
                    <a:blip r:embed="rId45" cstate="print"/>
                    <a:stretch>
                      <a:fillRect/>
                    </a:stretch>
                  </pic:blipFill>
                  <pic:spPr>
                    <a:xfrm>
                      <a:off x="0" y="0"/>
                      <a:ext cx="5172008" cy="3967924"/>
                    </a:xfrm>
                    <a:prstGeom prst="rect">
                      <a:avLst/>
                    </a:prstGeom>
                  </pic:spPr>
                </pic:pic>
              </a:graphicData>
            </a:graphic>
          </wp:anchor>
        </w:drawing>
      </w:r>
    </w:p>
    <w:p>
      <w:pPr>
        <w:pStyle w:val="BodyText"/>
      </w:pPr>
    </w:p>
    <w:p>
      <w:pPr>
        <w:pStyle w:val="BodyText"/>
        <w:spacing w:line="480" w:lineRule="auto" w:before="195"/>
        <w:ind w:left="3477" w:right="355" w:hanging="3203"/>
      </w:pPr>
      <w:bookmarkStart w:name="_bookmark41" w:id="49"/>
      <w:bookmarkEnd w:id="49"/>
      <w:r>
        <w:rPr/>
      </w:r>
      <w:r>
        <w:rPr/>
        <w:t>FIGURE 7.1 Sierra Nanchititla Natural Reserve (SNNR), Core zone and camera traps in Balsas Basin, Mexico</w:t>
      </w:r>
    </w:p>
    <w:p>
      <w:pPr>
        <w:pStyle w:val="BodyText"/>
      </w:pPr>
    </w:p>
    <w:p>
      <w:pPr>
        <w:pStyle w:val="BodyText"/>
        <w:spacing w:before="10"/>
      </w:pPr>
    </w:p>
    <w:p>
      <w:pPr>
        <w:pStyle w:val="BodyText"/>
        <w:spacing w:line="480" w:lineRule="auto"/>
        <w:ind w:left="102" w:right="200" w:firstLine="707"/>
      </w:pPr>
      <w:r>
        <w:rPr/>
        <w:t>The individuals photograph we identified by gender, colour pattern and permanent marks. So as to increased precision in the identification, a triple-blind exercise was</w:t>
      </w:r>
    </w:p>
    <w:p>
      <w:pPr>
        <w:spacing w:after="0" w:line="480" w:lineRule="auto"/>
        <w:sectPr>
          <w:pgSz w:w="12240" w:h="15840"/>
          <w:pgMar w:header="740" w:footer="779" w:top="960" w:bottom="960" w:left="1600" w:right="1500"/>
        </w:sectPr>
      </w:pPr>
    </w:p>
    <w:p>
      <w:pPr>
        <w:pStyle w:val="BodyText"/>
        <w:rPr>
          <w:sz w:val="20"/>
        </w:rPr>
      </w:pPr>
    </w:p>
    <w:p>
      <w:pPr>
        <w:pStyle w:val="BodyText"/>
        <w:spacing w:before="9"/>
        <w:rPr>
          <w:sz w:val="18"/>
        </w:rPr>
      </w:pPr>
    </w:p>
    <w:p>
      <w:pPr>
        <w:pStyle w:val="BodyText"/>
        <w:spacing w:line="480" w:lineRule="auto"/>
        <w:ind w:left="102" w:right="133"/>
      </w:pPr>
      <w:r>
        <w:rPr/>
        <w:t>performed, sending the photographs to a panel of experts in SNNR Autonomous University of the State of Mexico; another to experts at the University of Alicante, Spain and a third set to a experts on carnivores of the Zacango Zoo, Mexico (Soria-Díaz et al. 2010).</w:t>
      </w:r>
    </w:p>
    <w:p>
      <w:pPr>
        <w:pStyle w:val="BodyText"/>
        <w:spacing w:line="480" w:lineRule="auto" w:before="10"/>
        <w:ind w:left="102" w:right="130" w:firstLine="707"/>
      </w:pPr>
      <w:r>
        <w:rPr/>
        <w:t>After identifying individuals, we realized capture histories of individuals cougars in the standard matrix format, with zeroes and ones, where 0 is not capture and 1 capture</w:t>
      </w:r>
      <w:r>
        <w:rPr>
          <w:spacing w:val="-15"/>
        </w:rPr>
        <w:t> </w:t>
      </w:r>
      <w:r>
        <w:rPr/>
        <w:t>(Otis et al. 1978). And following standard capture-recapture terminology for the “Robust Desing” (Pollock 1982, Cooch and White 2011). This study considered 15 primary occasions in six years. The population of cougars was to be open to gain and losses between these primary periods. There are multiple secondary sampling periods, within each primary period and the population was assumed to be closed to again. We analyzed, survival, migration and immigration considered the three different sampling. Secondary capture history data within each primary period were then collapsed to form an open-model capture recapture history indicating whether an animal had been detected at least once or not during a primary period. All data were subjected to goodness-of-fit test using the program U-CARE, this program provided inference about the existence of transience, manifested by different subsequent survival probabilities for animals that are previously captured vs. animal captured for the first</w:t>
      </w:r>
      <w:r>
        <w:rPr>
          <w:spacing w:val="-9"/>
        </w:rPr>
        <w:t> </w:t>
      </w:r>
      <w:r>
        <w:rPr/>
        <w:t>time.</w:t>
      </w:r>
    </w:p>
    <w:p>
      <w:pPr>
        <w:pStyle w:val="BodyText"/>
        <w:spacing w:line="480" w:lineRule="auto" w:before="10"/>
        <w:ind w:left="102" w:right="273" w:firstLine="707"/>
      </w:pPr>
      <w:r>
        <w:rPr/>
        <w:t>We calculate of the robust design abundance of cougars denoted as </w:t>
      </w:r>
      <w:r>
        <w:rPr>
          <w:i/>
        </w:rPr>
        <w:t>N</w:t>
      </w:r>
      <w:r>
        <w:rPr/>
        <w:t>(</w:t>
      </w:r>
      <w:r>
        <w:rPr>
          <w:i/>
        </w:rPr>
        <w:t>t</w:t>
      </w:r>
      <w:r>
        <w:rPr/>
        <w:t>), Survival </w:t>
      </w:r>
      <w:r>
        <w:rPr>
          <w:i/>
        </w:rPr>
        <w:t>S</w:t>
      </w:r>
      <w:r>
        <w:rPr/>
        <w:t>(</w:t>
      </w:r>
      <w:r>
        <w:rPr>
          <w:i/>
        </w:rPr>
        <w:t>.</w:t>
      </w:r>
      <w:r>
        <w:rPr/>
        <w:t>), migration (</w:t>
      </w:r>
      <w:r>
        <w:rPr>
          <w:i/>
        </w:rPr>
        <w:t>Y´</w:t>
      </w:r>
      <w:r>
        <w:rPr/>
        <w:t>) and immigration (</w:t>
      </w:r>
      <w:r>
        <w:rPr>
          <w:i/>
        </w:rPr>
        <w:t>Y´´, </w:t>
      </w:r>
      <w:r>
        <w:rPr/>
        <w:t>Cooch and White 2011). Different models was tested considering above parameters as; N(</w:t>
      </w:r>
      <w:r>
        <w:rPr>
          <w:i/>
        </w:rPr>
        <w:t>t</w:t>
      </w:r>
      <w:r>
        <w:rPr/>
        <w:t>) constant in all samples and deferent in each sampling. For S(</w:t>
      </w:r>
      <w:r>
        <w:rPr>
          <w:i/>
        </w:rPr>
        <w:t>.</w:t>
      </w:r>
      <w:r>
        <w:rPr/>
        <w:t>), migration (</w:t>
      </w:r>
      <w:r>
        <w:rPr>
          <w:i/>
        </w:rPr>
        <w:t>Y´</w:t>
      </w:r>
      <w:r>
        <w:rPr/>
        <w:t>) and immigration (</w:t>
      </w:r>
      <w:r>
        <w:rPr>
          <w:i/>
        </w:rPr>
        <w:t>Y´´</w:t>
      </w:r>
      <w:r>
        <w:rPr/>
        <w:t>) we considered that were constant and different in all samples and that the sampling one and two had a value for all samples and the three sampling other value.</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59" w:firstLine="707"/>
      </w:pPr>
      <w:r>
        <w:rPr/>
        <w:t>To choose the best model of all we build for the dates the cougar, we used AICc (Akaike Informatión Criteria corrected) this described the variation of the dates well, yet without more parameters than necessary for adequate description (Burnham and Anderson 2002).  The model with the lowest AIC value was the best explain the data, based on this we conducted the analysis for this study (Karanth and Nichols 1998; Goswami et al. 2007).</w:t>
      </w:r>
    </w:p>
    <w:p>
      <w:pPr>
        <w:pStyle w:val="BodyText"/>
      </w:pPr>
    </w:p>
    <w:p>
      <w:pPr>
        <w:pStyle w:val="BodyText"/>
        <w:spacing w:before="3"/>
        <w:rPr>
          <w:sz w:val="25"/>
        </w:rPr>
      </w:pPr>
    </w:p>
    <w:p>
      <w:pPr>
        <w:pStyle w:val="Heading2"/>
      </w:pPr>
      <w:r>
        <w:rPr/>
        <w:t>RESULTS</w:t>
      </w:r>
    </w:p>
    <w:p>
      <w:pPr>
        <w:pStyle w:val="BodyText"/>
        <w:spacing w:before="7"/>
        <w:rPr>
          <w:b/>
          <w:sz w:val="23"/>
        </w:rPr>
      </w:pPr>
    </w:p>
    <w:p>
      <w:pPr>
        <w:pStyle w:val="BodyText"/>
        <w:spacing w:line="480" w:lineRule="auto"/>
        <w:ind w:left="102" w:right="380" w:firstLine="707"/>
        <w:jc w:val="both"/>
      </w:pPr>
      <w:r>
        <w:rPr/>
        <w:t>In this study we obtained 121 photographs of cougar, in all sampling, this were</w:t>
      </w:r>
      <w:r>
        <w:rPr>
          <w:spacing w:val="-17"/>
        </w:rPr>
        <w:t> </w:t>
      </w:r>
      <w:r>
        <w:rPr/>
        <w:t>of sufficient quality to clearly identify individuals. Fourteen individuals were identifying: 3 females, 8 males and 3 males</w:t>
      </w:r>
      <w:r>
        <w:rPr>
          <w:spacing w:val="-6"/>
        </w:rPr>
        <w:t> </w:t>
      </w:r>
      <w:r>
        <w:rPr/>
        <w:t>Kittens.</w:t>
      </w:r>
    </w:p>
    <w:p>
      <w:pPr>
        <w:pStyle w:val="BodyText"/>
        <w:spacing w:line="480" w:lineRule="auto" w:before="10"/>
        <w:ind w:left="102" w:right="107" w:firstLine="707"/>
      </w:pPr>
      <w:r>
        <w:rPr/>
        <w:t>We analyzed 13 models in robust design, the likelihoods provided inferences about relevant sources of variation in the parameters. The model with lowest AICc is judged to be sudstantially better than the other in the set of 13 models (AICc weigh = 0.06901the AICc weight of the nearest competitor is 0.05 965). Thus we based most inferences on this model and decided not to use model averaging for parameter estimates.</w:t>
      </w:r>
    </w:p>
    <w:p>
      <w:pPr>
        <w:pStyle w:val="BodyText"/>
        <w:spacing w:line="480" w:lineRule="auto" w:before="10"/>
        <w:ind w:left="102" w:right="171" w:firstLine="707"/>
      </w:pPr>
      <w:r>
        <w:rPr/>
        <w:t>The model Phi(.)gam(3 samples) p=c (3 samples)N(t) was the selected lowest AICc model. Under this model is considered that Phi(.) survival is constant in the three samples, that migration is same to immigration and this two parameter are different in each sampling, that the capture probability is equals to recapture and that N(t) abundance is constant in the three sampling (Table 7.1). The demographic parameter were estimated for cougar considering this model and these parameters, resulting in the following: abundance of 8 individuals, survival of 100%, migration and immigration for the first sample of 57%, for the second sample the 40% and the third sample both parameters 100% (migration and immigration).</w:t>
      </w:r>
    </w:p>
    <w:p>
      <w:pPr>
        <w:spacing w:after="0" w:line="480" w:lineRule="auto"/>
        <w:sectPr>
          <w:pgSz w:w="12240" w:h="15840"/>
          <w:pgMar w:header="740" w:footer="779" w:top="960" w:bottom="96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line="480" w:lineRule="auto" w:before="69"/>
        <w:ind w:left="2168" w:right="217" w:hanging="1829"/>
      </w:pPr>
      <w:bookmarkStart w:name="_bookmark42" w:id="50"/>
      <w:bookmarkEnd w:id="50"/>
      <w:r>
        <w:rPr/>
      </w:r>
      <w:r>
        <w:rPr/>
        <w:t>Table 7.1 Model selection statistic for robust design analysis of cougar capture recaptures data of Sierra Nanchititla Natural Reserve, Mexico.</w:t>
      </w:r>
    </w:p>
    <w:p>
      <w:pPr>
        <w:pStyle w:val="BodyText"/>
        <w:spacing w:before="6" w:after="1"/>
        <w:rPr>
          <w:sz w:val="25"/>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82"/>
        <w:gridCol w:w="969"/>
        <w:gridCol w:w="864"/>
        <w:gridCol w:w="851"/>
        <w:gridCol w:w="1102"/>
        <w:gridCol w:w="1164"/>
        <w:gridCol w:w="1284"/>
      </w:tblGrid>
      <w:tr>
        <w:trPr>
          <w:trHeight w:val="434" w:hRule="exact"/>
        </w:trPr>
        <w:tc>
          <w:tcPr>
            <w:tcW w:w="3082" w:type="dxa"/>
            <w:tcBorders>
              <w:left w:val="nil"/>
              <w:right w:val="nil"/>
            </w:tcBorders>
          </w:tcPr>
          <w:p>
            <w:pPr>
              <w:pStyle w:val="TableParagraph"/>
              <w:ind w:left="108" w:right="563"/>
              <w:jc w:val="left"/>
              <w:rPr>
                <w:b/>
                <w:sz w:val="18"/>
              </w:rPr>
            </w:pPr>
            <w:r>
              <w:rPr>
                <w:b/>
                <w:sz w:val="18"/>
              </w:rPr>
              <w:t>Model</w:t>
            </w:r>
          </w:p>
        </w:tc>
        <w:tc>
          <w:tcPr>
            <w:tcW w:w="969" w:type="dxa"/>
            <w:tcBorders>
              <w:left w:val="nil"/>
              <w:right w:val="nil"/>
            </w:tcBorders>
          </w:tcPr>
          <w:p>
            <w:pPr>
              <w:pStyle w:val="TableParagraph"/>
              <w:ind w:left="110"/>
              <w:jc w:val="left"/>
              <w:rPr>
                <w:b/>
                <w:sz w:val="18"/>
              </w:rPr>
            </w:pPr>
            <w:r>
              <w:rPr>
                <w:b/>
                <w:sz w:val="18"/>
              </w:rPr>
              <w:t>AICc</w:t>
            </w:r>
          </w:p>
        </w:tc>
        <w:tc>
          <w:tcPr>
            <w:tcW w:w="864" w:type="dxa"/>
            <w:tcBorders>
              <w:left w:val="nil"/>
              <w:right w:val="nil"/>
            </w:tcBorders>
          </w:tcPr>
          <w:p>
            <w:pPr>
              <w:pStyle w:val="TableParagraph"/>
              <w:ind w:left="132" w:right="201"/>
              <w:jc w:val="left"/>
              <w:rPr>
                <w:b/>
                <w:sz w:val="18"/>
              </w:rPr>
            </w:pPr>
            <w:r>
              <w:rPr>
                <w:b/>
                <w:sz w:val="18"/>
              </w:rPr>
              <w:t>Deltha AICc</w:t>
            </w:r>
          </w:p>
        </w:tc>
        <w:tc>
          <w:tcPr>
            <w:tcW w:w="851" w:type="dxa"/>
            <w:tcBorders>
              <w:left w:val="nil"/>
              <w:right w:val="nil"/>
            </w:tcBorders>
          </w:tcPr>
          <w:p>
            <w:pPr>
              <w:pStyle w:val="TableParagraph"/>
              <w:spacing w:line="207" w:lineRule="exact"/>
              <w:ind w:left="120"/>
              <w:jc w:val="left"/>
              <w:rPr>
                <w:b/>
                <w:sz w:val="18"/>
              </w:rPr>
            </w:pPr>
            <w:r>
              <w:rPr>
                <w:b/>
                <w:sz w:val="18"/>
              </w:rPr>
              <w:t>AICc</w:t>
            </w:r>
          </w:p>
          <w:p>
            <w:pPr>
              <w:pStyle w:val="TableParagraph"/>
              <w:spacing w:line="207" w:lineRule="exact"/>
              <w:ind w:left="120"/>
              <w:jc w:val="left"/>
              <w:rPr>
                <w:b/>
                <w:sz w:val="18"/>
              </w:rPr>
            </w:pPr>
            <w:r>
              <w:rPr>
                <w:b/>
                <w:sz w:val="18"/>
              </w:rPr>
              <w:t>Weight</w:t>
            </w:r>
          </w:p>
        </w:tc>
        <w:tc>
          <w:tcPr>
            <w:tcW w:w="1102" w:type="dxa"/>
            <w:tcBorders>
              <w:left w:val="nil"/>
              <w:right w:val="nil"/>
            </w:tcBorders>
          </w:tcPr>
          <w:p>
            <w:pPr>
              <w:pStyle w:val="TableParagraph"/>
              <w:ind w:left="119" w:right="132"/>
              <w:jc w:val="left"/>
              <w:rPr>
                <w:b/>
                <w:sz w:val="18"/>
              </w:rPr>
            </w:pPr>
            <w:r>
              <w:rPr>
                <w:b/>
                <w:sz w:val="18"/>
              </w:rPr>
              <w:t>Modelo Likelihood</w:t>
            </w:r>
          </w:p>
        </w:tc>
        <w:tc>
          <w:tcPr>
            <w:tcW w:w="1164" w:type="dxa"/>
            <w:tcBorders>
              <w:left w:val="nil"/>
              <w:right w:val="nil"/>
            </w:tcBorders>
          </w:tcPr>
          <w:p>
            <w:pPr>
              <w:pStyle w:val="TableParagraph"/>
              <w:ind w:left="153" w:right="101"/>
              <w:jc w:val="left"/>
              <w:rPr>
                <w:b/>
                <w:sz w:val="18"/>
              </w:rPr>
            </w:pPr>
            <w:r>
              <w:rPr>
                <w:b/>
                <w:sz w:val="18"/>
              </w:rPr>
              <w:t>No. parámetros</w:t>
            </w:r>
          </w:p>
        </w:tc>
        <w:tc>
          <w:tcPr>
            <w:tcW w:w="1284" w:type="dxa"/>
            <w:tcBorders>
              <w:left w:val="nil"/>
              <w:right w:val="nil"/>
            </w:tcBorders>
          </w:tcPr>
          <w:p>
            <w:pPr>
              <w:pStyle w:val="TableParagraph"/>
              <w:ind w:left="122"/>
              <w:jc w:val="left"/>
              <w:rPr>
                <w:b/>
                <w:sz w:val="18"/>
              </w:rPr>
            </w:pPr>
            <w:r>
              <w:rPr>
                <w:b/>
                <w:sz w:val="18"/>
              </w:rPr>
              <w:t>Deviance</w:t>
            </w:r>
          </w:p>
        </w:tc>
      </w:tr>
      <w:tr>
        <w:trPr>
          <w:trHeight w:val="532" w:hRule="exact"/>
        </w:trPr>
        <w:tc>
          <w:tcPr>
            <w:tcW w:w="3082" w:type="dxa"/>
            <w:tcBorders>
              <w:left w:val="nil"/>
              <w:bottom w:val="nil"/>
              <w:right w:val="nil"/>
            </w:tcBorders>
          </w:tcPr>
          <w:p>
            <w:pPr>
              <w:pStyle w:val="TableParagraph"/>
              <w:ind w:left="108" w:right="563"/>
              <w:jc w:val="left"/>
              <w:rPr>
                <w:sz w:val="18"/>
              </w:rPr>
            </w:pPr>
            <w:r>
              <w:rPr>
                <w:sz w:val="18"/>
              </w:rPr>
              <w:t>Phi(.)gam(3 muestreos)_p=c(3muestreos)N(t)</w:t>
            </w:r>
          </w:p>
        </w:tc>
        <w:tc>
          <w:tcPr>
            <w:tcW w:w="969" w:type="dxa"/>
            <w:tcBorders>
              <w:left w:val="nil"/>
              <w:bottom w:val="nil"/>
              <w:right w:val="nil"/>
            </w:tcBorders>
          </w:tcPr>
          <w:p>
            <w:pPr>
              <w:pStyle w:val="TableParagraph"/>
              <w:spacing w:line="202" w:lineRule="exact"/>
              <w:ind w:left="249"/>
              <w:jc w:val="left"/>
              <w:rPr>
                <w:sz w:val="18"/>
              </w:rPr>
            </w:pPr>
            <w:r>
              <w:rPr>
                <w:sz w:val="18"/>
              </w:rPr>
              <w:t>260.91</w:t>
            </w:r>
          </w:p>
        </w:tc>
        <w:tc>
          <w:tcPr>
            <w:tcW w:w="864" w:type="dxa"/>
            <w:tcBorders>
              <w:left w:val="nil"/>
              <w:bottom w:val="nil"/>
              <w:right w:val="nil"/>
            </w:tcBorders>
          </w:tcPr>
          <w:p>
            <w:pPr>
              <w:pStyle w:val="TableParagraph"/>
              <w:spacing w:line="202" w:lineRule="exact"/>
              <w:ind w:left="136" w:right="101"/>
              <w:rPr>
                <w:sz w:val="18"/>
              </w:rPr>
            </w:pPr>
            <w:r>
              <w:rPr>
                <w:sz w:val="18"/>
              </w:rPr>
              <w:t>4.9984</w:t>
            </w:r>
          </w:p>
        </w:tc>
        <w:tc>
          <w:tcPr>
            <w:tcW w:w="851" w:type="dxa"/>
            <w:tcBorders>
              <w:left w:val="nil"/>
              <w:bottom w:val="nil"/>
              <w:right w:val="nil"/>
            </w:tcBorders>
          </w:tcPr>
          <w:p>
            <w:pPr>
              <w:pStyle w:val="TableParagraph"/>
              <w:spacing w:line="202" w:lineRule="exact"/>
              <w:ind w:right="117"/>
              <w:jc w:val="right"/>
              <w:rPr>
                <w:sz w:val="18"/>
              </w:rPr>
            </w:pPr>
            <w:r>
              <w:rPr>
                <w:sz w:val="18"/>
              </w:rPr>
              <w:t>0.06901</w:t>
            </w:r>
          </w:p>
        </w:tc>
        <w:tc>
          <w:tcPr>
            <w:tcW w:w="1102" w:type="dxa"/>
            <w:tcBorders>
              <w:left w:val="nil"/>
              <w:bottom w:val="nil"/>
              <w:right w:val="nil"/>
            </w:tcBorders>
          </w:tcPr>
          <w:p>
            <w:pPr>
              <w:pStyle w:val="TableParagraph"/>
              <w:spacing w:line="202" w:lineRule="exact"/>
              <w:ind w:left="310" w:right="256"/>
              <w:rPr>
                <w:sz w:val="18"/>
              </w:rPr>
            </w:pPr>
            <w:r>
              <w:rPr>
                <w:sz w:val="18"/>
              </w:rPr>
              <w:t>0.0822</w:t>
            </w:r>
          </w:p>
        </w:tc>
        <w:tc>
          <w:tcPr>
            <w:tcW w:w="1164" w:type="dxa"/>
            <w:tcBorders>
              <w:left w:val="nil"/>
              <w:bottom w:val="nil"/>
              <w:right w:val="nil"/>
            </w:tcBorders>
          </w:tcPr>
          <w:p>
            <w:pPr>
              <w:pStyle w:val="TableParagraph"/>
              <w:spacing w:line="202" w:lineRule="exact"/>
              <w:ind w:right="460"/>
              <w:jc w:val="right"/>
              <w:rPr>
                <w:sz w:val="18"/>
              </w:rPr>
            </w:pPr>
            <w:r>
              <w:rPr>
                <w:sz w:val="18"/>
              </w:rPr>
              <w:t>11</w:t>
            </w:r>
          </w:p>
        </w:tc>
        <w:tc>
          <w:tcPr>
            <w:tcW w:w="1284" w:type="dxa"/>
            <w:tcBorders>
              <w:left w:val="nil"/>
              <w:bottom w:val="nil"/>
              <w:right w:val="nil"/>
            </w:tcBorders>
          </w:tcPr>
          <w:p>
            <w:pPr>
              <w:pStyle w:val="TableParagraph"/>
              <w:spacing w:line="202" w:lineRule="exact"/>
              <w:ind w:right="295"/>
              <w:jc w:val="right"/>
              <w:rPr>
                <w:sz w:val="18"/>
              </w:rPr>
            </w:pPr>
            <w:r>
              <w:rPr>
                <w:sz w:val="18"/>
              </w:rPr>
              <w:t>213.1710</w:t>
            </w:r>
          </w:p>
        </w:tc>
      </w:tr>
      <w:tr>
        <w:trPr>
          <w:trHeight w:val="621" w:hRule="exact"/>
        </w:trPr>
        <w:tc>
          <w:tcPr>
            <w:tcW w:w="3082" w:type="dxa"/>
            <w:tcBorders>
              <w:top w:val="nil"/>
              <w:left w:val="nil"/>
              <w:bottom w:val="nil"/>
              <w:right w:val="nil"/>
            </w:tcBorders>
          </w:tcPr>
          <w:p>
            <w:pPr>
              <w:pStyle w:val="TableParagraph"/>
              <w:spacing w:before="94"/>
              <w:ind w:left="108" w:right="118"/>
              <w:jc w:val="left"/>
              <w:rPr>
                <w:sz w:val="18"/>
              </w:rPr>
            </w:pPr>
            <w:r>
              <w:rPr>
                <w:sz w:val="18"/>
              </w:rPr>
              <w:t>Phi(.)gam”(3 muestreos (0.9))gam´(3 muestreos)p=c(3 muestreos)N(t)</w:t>
            </w:r>
          </w:p>
        </w:tc>
        <w:tc>
          <w:tcPr>
            <w:tcW w:w="969" w:type="dxa"/>
            <w:tcBorders>
              <w:top w:val="nil"/>
              <w:left w:val="nil"/>
              <w:bottom w:val="nil"/>
              <w:right w:val="nil"/>
            </w:tcBorders>
          </w:tcPr>
          <w:p>
            <w:pPr>
              <w:pStyle w:val="TableParagraph"/>
              <w:spacing w:before="94"/>
              <w:ind w:left="160"/>
              <w:jc w:val="left"/>
              <w:rPr>
                <w:sz w:val="18"/>
              </w:rPr>
            </w:pPr>
            <w:r>
              <w:rPr>
                <w:sz w:val="18"/>
              </w:rPr>
              <w:t>261.2058</w:t>
            </w:r>
          </w:p>
        </w:tc>
        <w:tc>
          <w:tcPr>
            <w:tcW w:w="864" w:type="dxa"/>
            <w:tcBorders>
              <w:top w:val="nil"/>
              <w:left w:val="nil"/>
              <w:bottom w:val="nil"/>
              <w:right w:val="nil"/>
            </w:tcBorders>
          </w:tcPr>
          <w:p>
            <w:pPr>
              <w:pStyle w:val="TableParagraph"/>
              <w:spacing w:before="94"/>
              <w:ind w:left="136" w:right="101"/>
              <w:rPr>
                <w:sz w:val="18"/>
              </w:rPr>
            </w:pPr>
            <w:r>
              <w:rPr>
                <w:sz w:val="18"/>
              </w:rPr>
              <w:t>5.2898</w:t>
            </w:r>
          </w:p>
        </w:tc>
        <w:tc>
          <w:tcPr>
            <w:tcW w:w="851" w:type="dxa"/>
            <w:tcBorders>
              <w:top w:val="nil"/>
              <w:left w:val="nil"/>
              <w:bottom w:val="nil"/>
              <w:right w:val="nil"/>
            </w:tcBorders>
          </w:tcPr>
          <w:p>
            <w:pPr>
              <w:pStyle w:val="TableParagraph"/>
              <w:spacing w:before="94"/>
              <w:ind w:right="118"/>
              <w:jc w:val="right"/>
              <w:rPr>
                <w:sz w:val="18"/>
              </w:rPr>
            </w:pPr>
            <w:r>
              <w:rPr>
                <w:sz w:val="18"/>
              </w:rPr>
              <w:t>0.05965</w:t>
            </w:r>
          </w:p>
        </w:tc>
        <w:tc>
          <w:tcPr>
            <w:tcW w:w="1102" w:type="dxa"/>
            <w:tcBorders>
              <w:top w:val="nil"/>
              <w:left w:val="nil"/>
              <w:bottom w:val="nil"/>
              <w:right w:val="nil"/>
            </w:tcBorders>
          </w:tcPr>
          <w:p>
            <w:pPr>
              <w:pStyle w:val="TableParagraph"/>
              <w:spacing w:before="94"/>
              <w:ind w:left="310" w:right="256"/>
              <w:rPr>
                <w:sz w:val="18"/>
              </w:rPr>
            </w:pPr>
            <w:r>
              <w:rPr>
                <w:sz w:val="18"/>
              </w:rPr>
              <w:t>0.0710</w:t>
            </w:r>
          </w:p>
        </w:tc>
        <w:tc>
          <w:tcPr>
            <w:tcW w:w="1164" w:type="dxa"/>
            <w:tcBorders>
              <w:top w:val="nil"/>
              <w:left w:val="nil"/>
              <w:bottom w:val="nil"/>
              <w:right w:val="nil"/>
            </w:tcBorders>
          </w:tcPr>
          <w:p>
            <w:pPr>
              <w:pStyle w:val="TableParagraph"/>
              <w:spacing w:before="94"/>
              <w:ind w:right="460"/>
              <w:jc w:val="right"/>
              <w:rPr>
                <w:sz w:val="18"/>
              </w:rPr>
            </w:pPr>
            <w:r>
              <w:rPr>
                <w:sz w:val="18"/>
              </w:rPr>
              <w:t>11</w:t>
            </w:r>
          </w:p>
        </w:tc>
        <w:tc>
          <w:tcPr>
            <w:tcW w:w="1284" w:type="dxa"/>
            <w:tcBorders>
              <w:top w:val="nil"/>
              <w:left w:val="nil"/>
              <w:bottom w:val="nil"/>
              <w:right w:val="nil"/>
            </w:tcBorders>
          </w:tcPr>
          <w:p>
            <w:pPr>
              <w:pStyle w:val="TableParagraph"/>
              <w:spacing w:before="94"/>
              <w:ind w:right="295"/>
              <w:jc w:val="right"/>
              <w:rPr>
                <w:sz w:val="18"/>
              </w:rPr>
            </w:pPr>
            <w:r>
              <w:rPr>
                <w:sz w:val="18"/>
              </w:rPr>
              <w:t>213.4625</w:t>
            </w:r>
          </w:p>
        </w:tc>
      </w:tr>
      <w:tr>
        <w:trPr>
          <w:trHeight w:val="828" w:hRule="exact"/>
        </w:trPr>
        <w:tc>
          <w:tcPr>
            <w:tcW w:w="3082" w:type="dxa"/>
            <w:tcBorders>
              <w:top w:val="nil"/>
              <w:left w:val="nil"/>
              <w:bottom w:val="nil"/>
              <w:right w:val="nil"/>
            </w:tcBorders>
          </w:tcPr>
          <w:p>
            <w:pPr>
              <w:pStyle w:val="TableParagraph"/>
              <w:spacing w:before="93"/>
              <w:ind w:left="108" w:right="343"/>
              <w:jc w:val="left"/>
              <w:rPr>
                <w:sz w:val="18"/>
              </w:rPr>
            </w:pPr>
            <w:r>
              <w:rPr>
                <w:sz w:val="18"/>
              </w:rPr>
              <w:t>Phi(.)gam”(3 muestreos, last 0.9) gam´(3 muestreos)p=c(3 muestreos) N(t)</w:t>
            </w:r>
          </w:p>
        </w:tc>
        <w:tc>
          <w:tcPr>
            <w:tcW w:w="969" w:type="dxa"/>
            <w:tcBorders>
              <w:top w:val="nil"/>
              <w:left w:val="nil"/>
              <w:bottom w:val="nil"/>
              <w:right w:val="nil"/>
            </w:tcBorders>
          </w:tcPr>
          <w:p>
            <w:pPr>
              <w:pStyle w:val="TableParagraph"/>
              <w:spacing w:before="93"/>
              <w:ind w:left="160"/>
              <w:jc w:val="left"/>
              <w:rPr>
                <w:sz w:val="18"/>
              </w:rPr>
            </w:pPr>
            <w:r>
              <w:rPr>
                <w:sz w:val="18"/>
              </w:rPr>
              <w:t>263.6606</w:t>
            </w:r>
          </w:p>
        </w:tc>
        <w:tc>
          <w:tcPr>
            <w:tcW w:w="864" w:type="dxa"/>
            <w:tcBorders>
              <w:top w:val="nil"/>
              <w:left w:val="nil"/>
              <w:bottom w:val="nil"/>
              <w:right w:val="nil"/>
            </w:tcBorders>
          </w:tcPr>
          <w:p>
            <w:pPr>
              <w:pStyle w:val="TableParagraph"/>
              <w:spacing w:before="93"/>
              <w:ind w:left="136" w:right="101"/>
              <w:rPr>
                <w:sz w:val="18"/>
              </w:rPr>
            </w:pPr>
            <w:r>
              <w:rPr>
                <w:sz w:val="18"/>
              </w:rPr>
              <w:t>7.7446</w:t>
            </w:r>
          </w:p>
        </w:tc>
        <w:tc>
          <w:tcPr>
            <w:tcW w:w="851" w:type="dxa"/>
            <w:tcBorders>
              <w:top w:val="nil"/>
              <w:left w:val="nil"/>
              <w:bottom w:val="nil"/>
              <w:right w:val="nil"/>
            </w:tcBorders>
          </w:tcPr>
          <w:p>
            <w:pPr>
              <w:pStyle w:val="TableParagraph"/>
              <w:spacing w:before="93"/>
              <w:ind w:right="118"/>
              <w:jc w:val="right"/>
              <w:rPr>
                <w:sz w:val="18"/>
              </w:rPr>
            </w:pPr>
            <w:r>
              <w:rPr>
                <w:sz w:val="18"/>
              </w:rPr>
              <w:t>0.01748</w:t>
            </w:r>
          </w:p>
        </w:tc>
        <w:tc>
          <w:tcPr>
            <w:tcW w:w="1102" w:type="dxa"/>
            <w:tcBorders>
              <w:top w:val="nil"/>
              <w:left w:val="nil"/>
              <w:bottom w:val="nil"/>
              <w:right w:val="nil"/>
            </w:tcBorders>
          </w:tcPr>
          <w:p>
            <w:pPr>
              <w:pStyle w:val="TableParagraph"/>
              <w:spacing w:before="93"/>
              <w:ind w:left="310" w:right="256"/>
              <w:rPr>
                <w:sz w:val="18"/>
              </w:rPr>
            </w:pPr>
            <w:r>
              <w:rPr>
                <w:sz w:val="18"/>
              </w:rPr>
              <w:t>0.0208</w:t>
            </w:r>
          </w:p>
        </w:tc>
        <w:tc>
          <w:tcPr>
            <w:tcW w:w="1164" w:type="dxa"/>
            <w:tcBorders>
              <w:top w:val="nil"/>
              <w:left w:val="nil"/>
              <w:bottom w:val="nil"/>
              <w:right w:val="nil"/>
            </w:tcBorders>
          </w:tcPr>
          <w:p>
            <w:pPr>
              <w:pStyle w:val="TableParagraph"/>
              <w:spacing w:before="93"/>
              <w:ind w:right="460"/>
              <w:jc w:val="right"/>
              <w:rPr>
                <w:sz w:val="18"/>
              </w:rPr>
            </w:pPr>
            <w:r>
              <w:rPr>
                <w:sz w:val="18"/>
              </w:rPr>
              <w:t>11</w:t>
            </w:r>
          </w:p>
        </w:tc>
        <w:tc>
          <w:tcPr>
            <w:tcW w:w="1284" w:type="dxa"/>
            <w:tcBorders>
              <w:top w:val="nil"/>
              <w:left w:val="nil"/>
              <w:bottom w:val="nil"/>
              <w:right w:val="nil"/>
            </w:tcBorders>
          </w:tcPr>
          <w:p>
            <w:pPr>
              <w:pStyle w:val="TableParagraph"/>
              <w:spacing w:before="93"/>
              <w:ind w:right="295"/>
              <w:jc w:val="right"/>
              <w:rPr>
                <w:sz w:val="18"/>
              </w:rPr>
            </w:pPr>
            <w:r>
              <w:rPr>
                <w:sz w:val="18"/>
              </w:rPr>
              <w:t>215.9173</w:t>
            </w:r>
          </w:p>
        </w:tc>
      </w:tr>
      <w:tr>
        <w:trPr>
          <w:trHeight w:val="622" w:hRule="exact"/>
        </w:trPr>
        <w:tc>
          <w:tcPr>
            <w:tcW w:w="3082" w:type="dxa"/>
            <w:tcBorders>
              <w:top w:val="nil"/>
              <w:left w:val="nil"/>
              <w:bottom w:val="nil"/>
              <w:right w:val="nil"/>
            </w:tcBorders>
          </w:tcPr>
          <w:p>
            <w:pPr>
              <w:pStyle w:val="TableParagraph"/>
              <w:spacing w:before="93"/>
              <w:ind w:left="108" w:right="608"/>
              <w:jc w:val="left"/>
              <w:rPr>
                <w:sz w:val="18"/>
              </w:rPr>
            </w:pPr>
            <w:r>
              <w:rPr>
                <w:sz w:val="18"/>
              </w:rPr>
              <w:t>Phi(.)gam”(3 muestreos)gam´(3 muestreos)p=c(3 muestreos)N(t)</w:t>
            </w:r>
          </w:p>
        </w:tc>
        <w:tc>
          <w:tcPr>
            <w:tcW w:w="969" w:type="dxa"/>
            <w:tcBorders>
              <w:top w:val="nil"/>
              <w:left w:val="nil"/>
              <w:bottom w:val="nil"/>
              <w:right w:val="nil"/>
            </w:tcBorders>
          </w:tcPr>
          <w:p>
            <w:pPr>
              <w:pStyle w:val="TableParagraph"/>
              <w:spacing w:before="93"/>
              <w:ind w:left="160"/>
              <w:jc w:val="left"/>
              <w:rPr>
                <w:sz w:val="18"/>
              </w:rPr>
            </w:pPr>
            <w:r>
              <w:rPr>
                <w:sz w:val="18"/>
              </w:rPr>
              <w:t>267.6847</w:t>
            </w:r>
          </w:p>
        </w:tc>
        <w:tc>
          <w:tcPr>
            <w:tcW w:w="864" w:type="dxa"/>
            <w:tcBorders>
              <w:top w:val="nil"/>
              <w:left w:val="nil"/>
              <w:bottom w:val="nil"/>
              <w:right w:val="nil"/>
            </w:tcBorders>
          </w:tcPr>
          <w:p>
            <w:pPr>
              <w:pStyle w:val="TableParagraph"/>
              <w:spacing w:before="93"/>
              <w:ind w:left="136" w:right="101"/>
              <w:rPr>
                <w:sz w:val="18"/>
              </w:rPr>
            </w:pPr>
            <w:r>
              <w:rPr>
                <w:sz w:val="18"/>
              </w:rPr>
              <w:t>11.7687</w:t>
            </w:r>
          </w:p>
        </w:tc>
        <w:tc>
          <w:tcPr>
            <w:tcW w:w="851" w:type="dxa"/>
            <w:tcBorders>
              <w:top w:val="nil"/>
              <w:left w:val="nil"/>
              <w:bottom w:val="nil"/>
              <w:right w:val="nil"/>
            </w:tcBorders>
          </w:tcPr>
          <w:p>
            <w:pPr>
              <w:pStyle w:val="TableParagraph"/>
              <w:spacing w:before="93"/>
              <w:ind w:right="118"/>
              <w:jc w:val="right"/>
              <w:rPr>
                <w:sz w:val="18"/>
              </w:rPr>
            </w:pPr>
            <w:r>
              <w:rPr>
                <w:sz w:val="18"/>
              </w:rPr>
              <w:t>0.00234</w:t>
            </w:r>
          </w:p>
        </w:tc>
        <w:tc>
          <w:tcPr>
            <w:tcW w:w="1102" w:type="dxa"/>
            <w:tcBorders>
              <w:top w:val="nil"/>
              <w:left w:val="nil"/>
              <w:bottom w:val="nil"/>
              <w:right w:val="nil"/>
            </w:tcBorders>
          </w:tcPr>
          <w:p>
            <w:pPr>
              <w:pStyle w:val="TableParagraph"/>
              <w:spacing w:before="93"/>
              <w:ind w:left="310" w:right="256"/>
              <w:rPr>
                <w:sz w:val="18"/>
              </w:rPr>
            </w:pPr>
            <w:r>
              <w:rPr>
                <w:sz w:val="18"/>
              </w:rPr>
              <w:t>0.0028</w:t>
            </w:r>
          </w:p>
        </w:tc>
        <w:tc>
          <w:tcPr>
            <w:tcW w:w="1164" w:type="dxa"/>
            <w:tcBorders>
              <w:top w:val="nil"/>
              <w:left w:val="nil"/>
              <w:bottom w:val="nil"/>
              <w:right w:val="nil"/>
            </w:tcBorders>
          </w:tcPr>
          <w:p>
            <w:pPr>
              <w:pStyle w:val="TableParagraph"/>
              <w:spacing w:before="93"/>
              <w:ind w:right="460"/>
              <w:jc w:val="right"/>
              <w:rPr>
                <w:sz w:val="18"/>
              </w:rPr>
            </w:pPr>
            <w:r>
              <w:rPr>
                <w:sz w:val="18"/>
              </w:rPr>
              <w:t>13</w:t>
            </w:r>
          </w:p>
        </w:tc>
        <w:tc>
          <w:tcPr>
            <w:tcW w:w="1284" w:type="dxa"/>
            <w:tcBorders>
              <w:top w:val="nil"/>
              <w:left w:val="nil"/>
              <w:bottom w:val="nil"/>
              <w:right w:val="nil"/>
            </w:tcBorders>
          </w:tcPr>
          <w:p>
            <w:pPr>
              <w:pStyle w:val="TableParagraph"/>
              <w:spacing w:before="93"/>
              <w:ind w:right="295"/>
              <w:jc w:val="right"/>
              <w:rPr>
                <w:sz w:val="18"/>
              </w:rPr>
            </w:pPr>
            <w:r>
              <w:rPr>
                <w:sz w:val="18"/>
              </w:rPr>
              <w:t>211.7413</w:t>
            </w:r>
          </w:p>
        </w:tc>
      </w:tr>
      <w:tr>
        <w:trPr>
          <w:trHeight w:val="827" w:hRule="exact"/>
        </w:trPr>
        <w:tc>
          <w:tcPr>
            <w:tcW w:w="3082" w:type="dxa"/>
            <w:tcBorders>
              <w:top w:val="nil"/>
              <w:left w:val="nil"/>
              <w:bottom w:val="nil"/>
              <w:right w:val="nil"/>
            </w:tcBorders>
          </w:tcPr>
          <w:p>
            <w:pPr>
              <w:pStyle w:val="TableParagraph"/>
              <w:spacing w:before="93"/>
              <w:ind w:left="108" w:right="118"/>
              <w:jc w:val="left"/>
              <w:rPr>
                <w:sz w:val="18"/>
              </w:rPr>
            </w:pPr>
            <w:r>
              <w:rPr>
                <w:sz w:val="18"/>
              </w:rPr>
              <w:t>Phi(1)gam”(3 muestreos)gamma´(3muestreos)p=c(3 muestreos)N(t)</w:t>
            </w:r>
          </w:p>
        </w:tc>
        <w:tc>
          <w:tcPr>
            <w:tcW w:w="969" w:type="dxa"/>
            <w:tcBorders>
              <w:top w:val="nil"/>
              <w:left w:val="nil"/>
              <w:bottom w:val="nil"/>
              <w:right w:val="nil"/>
            </w:tcBorders>
          </w:tcPr>
          <w:p>
            <w:pPr>
              <w:pStyle w:val="TableParagraph"/>
              <w:spacing w:before="93"/>
              <w:ind w:left="160"/>
              <w:jc w:val="left"/>
              <w:rPr>
                <w:sz w:val="18"/>
              </w:rPr>
            </w:pPr>
            <w:r>
              <w:rPr>
                <w:sz w:val="18"/>
              </w:rPr>
              <w:t>267.6847</w:t>
            </w:r>
          </w:p>
        </w:tc>
        <w:tc>
          <w:tcPr>
            <w:tcW w:w="864" w:type="dxa"/>
            <w:tcBorders>
              <w:top w:val="nil"/>
              <w:left w:val="nil"/>
              <w:bottom w:val="nil"/>
              <w:right w:val="nil"/>
            </w:tcBorders>
          </w:tcPr>
          <w:p>
            <w:pPr>
              <w:pStyle w:val="TableParagraph"/>
              <w:spacing w:before="93"/>
              <w:ind w:left="136" w:right="101"/>
              <w:rPr>
                <w:sz w:val="18"/>
              </w:rPr>
            </w:pPr>
            <w:r>
              <w:rPr>
                <w:sz w:val="18"/>
              </w:rPr>
              <w:t>11.7687</w:t>
            </w:r>
          </w:p>
        </w:tc>
        <w:tc>
          <w:tcPr>
            <w:tcW w:w="851" w:type="dxa"/>
            <w:tcBorders>
              <w:top w:val="nil"/>
              <w:left w:val="nil"/>
              <w:bottom w:val="nil"/>
              <w:right w:val="nil"/>
            </w:tcBorders>
          </w:tcPr>
          <w:p>
            <w:pPr>
              <w:pStyle w:val="TableParagraph"/>
              <w:spacing w:before="93"/>
              <w:ind w:right="118"/>
              <w:jc w:val="right"/>
              <w:rPr>
                <w:sz w:val="18"/>
              </w:rPr>
            </w:pPr>
            <w:r>
              <w:rPr>
                <w:sz w:val="18"/>
              </w:rPr>
              <w:t>0.00234</w:t>
            </w:r>
          </w:p>
        </w:tc>
        <w:tc>
          <w:tcPr>
            <w:tcW w:w="1102" w:type="dxa"/>
            <w:tcBorders>
              <w:top w:val="nil"/>
              <w:left w:val="nil"/>
              <w:bottom w:val="nil"/>
              <w:right w:val="nil"/>
            </w:tcBorders>
          </w:tcPr>
          <w:p>
            <w:pPr>
              <w:pStyle w:val="TableParagraph"/>
              <w:spacing w:before="93"/>
              <w:ind w:left="310" w:right="256"/>
              <w:rPr>
                <w:sz w:val="18"/>
              </w:rPr>
            </w:pPr>
            <w:r>
              <w:rPr>
                <w:sz w:val="18"/>
              </w:rPr>
              <w:t>0.0028</w:t>
            </w:r>
          </w:p>
        </w:tc>
        <w:tc>
          <w:tcPr>
            <w:tcW w:w="1164" w:type="dxa"/>
            <w:tcBorders>
              <w:top w:val="nil"/>
              <w:left w:val="nil"/>
              <w:bottom w:val="nil"/>
              <w:right w:val="nil"/>
            </w:tcBorders>
          </w:tcPr>
          <w:p>
            <w:pPr>
              <w:pStyle w:val="TableParagraph"/>
              <w:spacing w:before="93"/>
              <w:ind w:right="460"/>
              <w:jc w:val="right"/>
              <w:rPr>
                <w:sz w:val="18"/>
              </w:rPr>
            </w:pPr>
            <w:r>
              <w:rPr>
                <w:sz w:val="18"/>
              </w:rPr>
              <w:t>13</w:t>
            </w:r>
          </w:p>
        </w:tc>
        <w:tc>
          <w:tcPr>
            <w:tcW w:w="1284" w:type="dxa"/>
            <w:tcBorders>
              <w:top w:val="nil"/>
              <w:left w:val="nil"/>
              <w:bottom w:val="nil"/>
              <w:right w:val="nil"/>
            </w:tcBorders>
          </w:tcPr>
          <w:p>
            <w:pPr>
              <w:pStyle w:val="TableParagraph"/>
              <w:spacing w:before="93"/>
              <w:ind w:right="295"/>
              <w:jc w:val="right"/>
              <w:rPr>
                <w:sz w:val="18"/>
              </w:rPr>
            </w:pPr>
            <w:r>
              <w:rPr>
                <w:sz w:val="18"/>
              </w:rPr>
              <w:t>211.7413</w:t>
            </w:r>
          </w:p>
        </w:tc>
      </w:tr>
      <w:tr>
        <w:trPr>
          <w:trHeight w:val="828" w:hRule="exact"/>
        </w:trPr>
        <w:tc>
          <w:tcPr>
            <w:tcW w:w="3082" w:type="dxa"/>
            <w:tcBorders>
              <w:top w:val="nil"/>
              <w:left w:val="nil"/>
              <w:bottom w:val="nil"/>
              <w:right w:val="nil"/>
            </w:tcBorders>
          </w:tcPr>
          <w:p>
            <w:pPr>
              <w:pStyle w:val="TableParagraph"/>
              <w:spacing w:before="94"/>
              <w:ind w:left="108" w:right="563"/>
              <w:jc w:val="left"/>
              <w:rPr>
                <w:sz w:val="18"/>
              </w:rPr>
            </w:pPr>
            <w:r>
              <w:rPr>
                <w:sz w:val="18"/>
              </w:rPr>
              <w:t>Phi(1)gam”(3 muestreos30.98)gamma´(3 muestreos)p=c(3 muestreos) N(t)</w:t>
            </w:r>
          </w:p>
        </w:tc>
        <w:tc>
          <w:tcPr>
            <w:tcW w:w="969" w:type="dxa"/>
            <w:tcBorders>
              <w:top w:val="nil"/>
              <w:left w:val="nil"/>
              <w:bottom w:val="nil"/>
              <w:right w:val="nil"/>
            </w:tcBorders>
          </w:tcPr>
          <w:p>
            <w:pPr>
              <w:pStyle w:val="TableParagraph"/>
              <w:spacing w:before="94"/>
              <w:ind w:left="160"/>
              <w:jc w:val="left"/>
              <w:rPr>
                <w:sz w:val="18"/>
              </w:rPr>
            </w:pPr>
            <w:r>
              <w:rPr>
                <w:sz w:val="18"/>
              </w:rPr>
              <w:t>267.7426</w:t>
            </w:r>
          </w:p>
        </w:tc>
        <w:tc>
          <w:tcPr>
            <w:tcW w:w="864" w:type="dxa"/>
            <w:tcBorders>
              <w:top w:val="nil"/>
              <w:left w:val="nil"/>
              <w:bottom w:val="nil"/>
              <w:right w:val="nil"/>
            </w:tcBorders>
          </w:tcPr>
          <w:p>
            <w:pPr>
              <w:pStyle w:val="TableParagraph"/>
              <w:spacing w:before="94"/>
              <w:ind w:left="136" w:right="101"/>
              <w:rPr>
                <w:sz w:val="18"/>
              </w:rPr>
            </w:pPr>
            <w:r>
              <w:rPr>
                <w:sz w:val="18"/>
              </w:rPr>
              <w:t>11.8266</w:t>
            </w:r>
          </w:p>
        </w:tc>
        <w:tc>
          <w:tcPr>
            <w:tcW w:w="851" w:type="dxa"/>
            <w:tcBorders>
              <w:top w:val="nil"/>
              <w:left w:val="nil"/>
              <w:bottom w:val="nil"/>
              <w:right w:val="nil"/>
            </w:tcBorders>
          </w:tcPr>
          <w:p>
            <w:pPr>
              <w:pStyle w:val="TableParagraph"/>
              <w:spacing w:before="94"/>
              <w:ind w:right="118"/>
              <w:jc w:val="right"/>
              <w:rPr>
                <w:sz w:val="18"/>
              </w:rPr>
            </w:pPr>
            <w:r>
              <w:rPr>
                <w:sz w:val="18"/>
              </w:rPr>
              <w:t>0,00227</w:t>
            </w:r>
          </w:p>
        </w:tc>
        <w:tc>
          <w:tcPr>
            <w:tcW w:w="1102" w:type="dxa"/>
            <w:tcBorders>
              <w:top w:val="nil"/>
              <w:left w:val="nil"/>
              <w:bottom w:val="nil"/>
              <w:right w:val="nil"/>
            </w:tcBorders>
          </w:tcPr>
          <w:p>
            <w:pPr>
              <w:pStyle w:val="TableParagraph"/>
              <w:spacing w:before="94"/>
              <w:ind w:left="310" w:right="256"/>
              <w:rPr>
                <w:sz w:val="18"/>
              </w:rPr>
            </w:pPr>
            <w:r>
              <w:rPr>
                <w:sz w:val="18"/>
              </w:rPr>
              <w:t>0.0027</w:t>
            </w:r>
          </w:p>
        </w:tc>
        <w:tc>
          <w:tcPr>
            <w:tcW w:w="1164" w:type="dxa"/>
            <w:tcBorders>
              <w:top w:val="nil"/>
              <w:left w:val="nil"/>
              <w:bottom w:val="nil"/>
              <w:right w:val="nil"/>
            </w:tcBorders>
          </w:tcPr>
          <w:p>
            <w:pPr>
              <w:pStyle w:val="TableParagraph"/>
              <w:spacing w:before="94"/>
              <w:ind w:right="460"/>
              <w:jc w:val="right"/>
              <w:rPr>
                <w:sz w:val="18"/>
              </w:rPr>
            </w:pPr>
            <w:r>
              <w:rPr>
                <w:sz w:val="18"/>
              </w:rPr>
              <w:t>13</w:t>
            </w:r>
          </w:p>
        </w:tc>
        <w:tc>
          <w:tcPr>
            <w:tcW w:w="1284" w:type="dxa"/>
            <w:tcBorders>
              <w:top w:val="nil"/>
              <w:left w:val="nil"/>
              <w:bottom w:val="nil"/>
              <w:right w:val="nil"/>
            </w:tcBorders>
          </w:tcPr>
          <w:p>
            <w:pPr>
              <w:pStyle w:val="TableParagraph"/>
              <w:spacing w:before="94"/>
              <w:ind w:right="295"/>
              <w:jc w:val="right"/>
              <w:rPr>
                <w:sz w:val="18"/>
              </w:rPr>
            </w:pPr>
            <w:r>
              <w:rPr>
                <w:sz w:val="18"/>
              </w:rPr>
              <w:t>211.7992</w:t>
            </w:r>
          </w:p>
        </w:tc>
      </w:tr>
      <w:tr>
        <w:trPr>
          <w:trHeight w:val="828" w:hRule="exact"/>
        </w:trPr>
        <w:tc>
          <w:tcPr>
            <w:tcW w:w="3082" w:type="dxa"/>
            <w:tcBorders>
              <w:top w:val="nil"/>
              <w:left w:val="nil"/>
              <w:bottom w:val="nil"/>
              <w:right w:val="nil"/>
            </w:tcBorders>
          </w:tcPr>
          <w:p>
            <w:pPr>
              <w:pStyle w:val="TableParagraph"/>
              <w:spacing w:before="94"/>
              <w:ind w:left="108" w:right="118"/>
              <w:jc w:val="left"/>
              <w:rPr>
                <w:sz w:val="18"/>
              </w:rPr>
            </w:pPr>
            <w:r>
              <w:rPr>
                <w:sz w:val="18"/>
              </w:rPr>
              <w:t>Phi(1)gam”(3 muestreos30.90)gam´(3muestreos)p=c( 3 muestreos)N(t)</w:t>
            </w:r>
          </w:p>
        </w:tc>
        <w:tc>
          <w:tcPr>
            <w:tcW w:w="969" w:type="dxa"/>
            <w:tcBorders>
              <w:top w:val="nil"/>
              <w:left w:val="nil"/>
              <w:bottom w:val="nil"/>
              <w:right w:val="nil"/>
            </w:tcBorders>
          </w:tcPr>
          <w:p>
            <w:pPr>
              <w:pStyle w:val="TableParagraph"/>
              <w:spacing w:before="94"/>
              <w:ind w:left="160"/>
              <w:jc w:val="left"/>
              <w:rPr>
                <w:sz w:val="18"/>
              </w:rPr>
            </w:pPr>
            <w:r>
              <w:rPr>
                <w:sz w:val="18"/>
              </w:rPr>
              <w:t>267.9780</w:t>
            </w:r>
          </w:p>
        </w:tc>
        <w:tc>
          <w:tcPr>
            <w:tcW w:w="864" w:type="dxa"/>
            <w:tcBorders>
              <w:top w:val="nil"/>
              <w:left w:val="nil"/>
              <w:bottom w:val="nil"/>
              <w:right w:val="nil"/>
            </w:tcBorders>
          </w:tcPr>
          <w:p>
            <w:pPr>
              <w:pStyle w:val="TableParagraph"/>
              <w:spacing w:before="94"/>
              <w:ind w:left="136" w:right="101"/>
              <w:rPr>
                <w:sz w:val="18"/>
              </w:rPr>
            </w:pPr>
            <w:r>
              <w:rPr>
                <w:sz w:val="18"/>
              </w:rPr>
              <w:t>12.0620</w:t>
            </w:r>
          </w:p>
        </w:tc>
        <w:tc>
          <w:tcPr>
            <w:tcW w:w="851" w:type="dxa"/>
            <w:tcBorders>
              <w:top w:val="nil"/>
              <w:left w:val="nil"/>
              <w:bottom w:val="nil"/>
              <w:right w:val="nil"/>
            </w:tcBorders>
          </w:tcPr>
          <w:p>
            <w:pPr>
              <w:pStyle w:val="TableParagraph"/>
              <w:spacing w:before="94"/>
              <w:ind w:right="118"/>
              <w:jc w:val="right"/>
              <w:rPr>
                <w:sz w:val="18"/>
              </w:rPr>
            </w:pPr>
            <w:r>
              <w:rPr>
                <w:sz w:val="18"/>
              </w:rPr>
              <w:t>0.00202</w:t>
            </w:r>
          </w:p>
        </w:tc>
        <w:tc>
          <w:tcPr>
            <w:tcW w:w="1102" w:type="dxa"/>
            <w:tcBorders>
              <w:top w:val="nil"/>
              <w:left w:val="nil"/>
              <w:bottom w:val="nil"/>
              <w:right w:val="nil"/>
            </w:tcBorders>
          </w:tcPr>
          <w:p>
            <w:pPr>
              <w:pStyle w:val="TableParagraph"/>
              <w:spacing w:before="94"/>
              <w:ind w:left="310" w:right="256"/>
              <w:rPr>
                <w:sz w:val="18"/>
              </w:rPr>
            </w:pPr>
            <w:r>
              <w:rPr>
                <w:sz w:val="18"/>
              </w:rPr>
              <w:t>0.0024</w:t>
            </w:r>
          </w:p>
        </w:tc>
        <w:tc>
          <w:tcPr>
            <w:tcW w:w="1164" w:type="dxa"/>
            <w:tcBorders>
              <w:top w:val="nil"/>
              <w:left w:val="nil"/>
              <w:bottom w:val="nil"/>
              <w:right w:val="nil"/>
            </w:tcBorders>
          </w:tcPr>
          <w:p>
            <w:pPr>
              <w:pStyle w:val="TableParagraph"/>
              <w:spacing w:before="94"/>
              <w:ind w:right="460"/>
              <w:jc w:val="right"/>
              <w:rPr>
                <w:sz w:val="18"/>
              </w:rPr>
            </w:pPr>
            <w:r>
              <w:rPr>
                <w:sz w:val="18"/>
              </w:rPr>
              <w:t>13</w:t>
            </w:r>
          </w:p>
        </w:tc>
        <w:tc>
          <w:tcPr>
            <w:tcW w:w="1284" w:type="dxa"/>
            <w:tcBorders>
              <w:top w:val="nil"/>
              <w:left w:val="nil"/>
              <w:bottom w:val="nil"/>
              <w:right w:val="nil"/>
            </w:tcBorders>
          </w:tcPr>
          <w:p>
            <w:pPr>
              <w:pStyle w:val="TableParagraph"/>
              <w:spacing w:before="94"/>
              <w:ind w:right="295"/>
              <w:jc w:val="right"/>
              <w:rPr>
                <w:sz w:val="18"/>
              </w:rPr>
            </w:pPr>
            <w:r>
              <w:rPr>
                <w:sz w:val="18"/>
              </w:rPr>
              <w:t>212.0347</w:t>
            </w:r>
          </w:p>
        </w:tc>
      </w:tr>
      <w:tr>
        <w:trPr>
          <w:trHeight w:val="828" w:hRule="exact"/>
        </w:trPr>
        <w:tc>
          <w:tcPr>
            <w:tcW w:w="3082" w:type="dxa"/>
            <w:tcBorders>
              <w:top w:val="nil"/>
              <w:left w:val="nil"/>
              <w:bottom w:val="nil"/>
              <w:right w:val="nil"/>
            </w:tcBorders>
          </w:tcPr>
          <w:p>
            <w:pPr>
              <w:pStyle w:val="TableParagraph"/>
              <w:spacing w:before="94"/>
              <w:ind w:left="108" w:right="608"/>
              <w:jc w:val="left"/>
              <w:rPr>
                <w:sz w:val="18"/>
              </w:rPr>
            </w:pPr>
            <w:r>
              <w:rPr>
                <w:sz w:val="18"/>
              </w:rPr>
              <w:t>Phi(1)gam”(3 muestreos30.80)gamma´(3 muestreos)p=c(3 muestreos)N(t)</w:t>
            </w:r>
          </w:p>
        </w:tc>
        <w:tc>
          <w:tcPr>
            <w:tcW w:w="969" w:type="dxa"/>
            <w:tcBorders>
              <w:top w:val="nil"/>
              <w:left w:val="nil"/>
              <w:bottom w:val="nil"/>
              <w:right w:val="nil"/>
            </w:tcBorders>
          </w:tcPr>
          <w:p>
            <w:pPr>
              <w:pStyle w:val="TableParagraph"/>
              <w:spacing w:before="94"/>
              <w:ind w:left="160"/>
              <w:jc w:val="left"/>
              <w:rPr>
                <w:sz w:val="18"/>
              </w:rPr>
            </w:pPr>
            <w:r>
              <w:rPr>
                <w:sz w:val="18"/>
              </w:rPr>
              <w:t>268.2776</w:t>
            </w:r>
          </w:p>
        </w:tc>
        <w:tc>
          <w:tcPr>
            <w:tcW w:w="864" w:type="dxa"/>
            <w:tcBorders>
              <w:top w:val="nil"/>
              <w:left w:val="nil"/>
              <w:bottom w:val="nil"/>
              <w:right w:val="nil"/>
            </w:tcBorders>
          </w:tcPr>
          <w:p>
            <w:pPr>
              <w:pStyle w:val="TableParagraph"/>
              <w:spacing w:before="94"/>
              <w:ind w:left="136" w:right="101"/>
              <w:rPr>
                <w:sz w:val="18"/>
              </w:rPr>
            </w:pPr>
            <w:r>
              <w:rPr>
                <w:sz w:val="18"/>
              </w:rPr>
              <w:t>12.3616</w:t>
            </w:r>
          </w:p>
        </w:tc>
        <w:tc>
          <w:tcPr>
            <w:tcW w:w="851" w:type="dxa"/>
            <w:tcBorders>
              <w:top w:val="nil"/>
              <w:left w:val="nil"/>
              <w:bottom w:val="nil"/>
              <w:right w:val="nil"/>
            </w:tcBorders>
          </w:tcPr>
          <w:p>
            <w:pPr>
              <w:pStyle w:val="TableParagraph"/>
              <w:spacing w:before="94"/>
              <w:ind w:right="118"/>
              <w:jc w:val="right"/>
              <w:rPr>
                <w:sz w:val="18"/>
              </w:rPr>
            </w:pPr>
            <w:r>
              <w:rPr>
                <w:sz w:val="18"/>
              </w:rPr>
              <w:t>0.00174</w:t>
            </w:r>
          </w:p>
        </w:tc>
        <w:tc>
          <w:tcPr>
            <w:tcW w:w="1102" w:type="dxa"/>
            <w:tcBorders>
              <w:top w:val="nil"/>
              <w:left w:val="nil"/>
              <w:bottom w:val="nil"/>
              <w:right w:val="nil"/>
            </w:tcBorders>
          </w:tcPr>
          <w:p>
            <w:pPr>
              <w:pStyle w:val="TableParagraph"/>
              <w:spacing w:before="94"/>
              <w:ind w:left="310" w:right="256"/>
              <w:rPr>
                <w:sz w:val="18"/>
              </w:rPr>
            </w:pPr>
            <w:r>
              <w:rPr>
                <w:sz w:val="18"/>
              </w:rPr>
              <w:t>0.0021</w:t>
            </w:r>
          </w:p>
        </w:tc>
        <w:tc>
          <w:tcPr>
            <w:tcW w:w="1164" w:type="dxa"/>
            <w:tcBorders>
              <w:top w:val="nil"/>
              <w:left w:val="nil"/>
              <w:bottom w:val="nil"/>
              <w:right w:val="nil"/>
            </w:tcBorders>
          </w:tcPr>
          <w:p>
            <w:pPr>
              <w:pStyle w:val="TableParagraph"/>
              <w:spacing w:before="94"/>
              <w:ind w:right="460"/>
              <w:jc w:val="right"/>
              <w:rPr>
                <w:sz w:val="18"/>
              </w:rPr>
            </w:pPr>
            <w:r>
              <w:rPr>
                <w:sz w:val="18"/>
              </w:rPr>
              <w:t>13</w:t>
            </w:r>
          </w:p>
        </w:tc>
        <w:tc>
          <w:tcPr>
            <w:tcW w:w="1284" w:type="dxa"/>
            <w:tcBorders>
              <w:top w:val="nil"/>
              <w:left w:val="nil"/>
              <w:bottom w:val="nil"/>
              <w:right w:val="nil"/>
            </w:tcBorders>
          </w:tcPr>
          <w:p>
            <w:pPr>
              <w:pStyle w:val="TableParagraph"/>
              <w:spacing w:before="94"/>
              <w:ind w:right="295"/>
              <w:jc w:val="right"/>
              <w:rPr>
                <w:sz w:val="18"/>
              </w:rPr>
            </w:pPr>
            <w:r>
              <w:rPr>
                <w:sz w:val="18"/>
              </w:rPr>
              <w:t>212.3342</w:t>
            </w:r>
          </w:p>
        </w:tc>
      </w:tr>
      <w:tr>
        <w:trPr>
          <w:trHeight w:val="622" w:hRule="exact"/>
        </w:trPr>
        <w:tc>
          <w:tcPr>
            <w:tcW w:w="3082" w:type="dxa"/>
            <w:tcBorders>
              <w:top w:val="nil"/>
              <w:left w:val="nil"/>
              <w:bottom w:val="nil"/>
              <w:right w:val="nil"/>
            </w:tcBorders>
          </w:tcPr>
          <w:p>
            <w:pPr>
              <w:pStyle w:val="TableParagraph"/>
              <w:spacing w:before="94"/>
              <w:ind w:left="108" w:right="148"/>
              <w:jc w:val="left"/>
              <w:rPr>
                <w:sz w:val="18"/>
              </w:rPr>
            </w:pPr>
            <w:r>
              <w:rPr>
                <w:sz w:val="18"/>
              </w:rPr>
              <w:t>Phi(.)random_movement_p=c(3muestr eos) N(t)</w:t>
            </w:r>
          </w:p>
        </w:tc>
        <w:tc>
          <w:tcPr>
            <w:tcW w:w="969" w:type="dxa"/>
            <w:tcBorders>
              <w:top w:val="nil"/>
              <w:left w:val="nil"/>
              <w:bottom w:val="nil"/>
              <w:right w:val="nil"/>
            </w:tcBorders>
          </w:tcPr>
          <w:p>
            <w:pPr>
              <w:pStyle w:val="TableParagraph"/>
              <w:spacing w:before="94"/>
              <w:ind w:left="160"/>
              <w:jc w:val="left"/>
              <w:rPr>
                <w:sz w:val="18"/>
              </w:rPr>
            </w:pPr>
            <w:r>
              <w:rPr>
                <w:sz w:val="18"/>
              </w:rPr>
              <w:t>276.8042</w:t>
            </w:r>
          </w:p>
        </w:tc>
        <w:tc>
          <w:tcPr>
            <w:tcW w:w="864" w:type="dxa"/>
            <w:tcBorders>
              <w:top w:val="nil"/>
              <w:left w:val="nil"/>
              <w:bottom w:val="nil"/>
              <w:right w:val="nil"/>
            </w:tcBorders>
          </w:tcPr>
          <w:p>
            <w:pPr>
              <w:pStyle w:val="TableParagraph"/>
              <w:spacing w:before="94"/>
              <w:ind w:left="136" w:right="101"/>
              <w:rPr>
                <w:sz w:val="18"/>
              </w:rPr>
            </w:pPr>
            <w:r>
              <w:rPr>
                <w:sz w:val="18"/>
              </w:rPr>
              <w:t>20.8882</w:t>
            </w:r>
          </w:p>
        </w:tc>
        <w:tc>
          <w:tcPr>
            <w:tcW w:w="851" w:type="dxa"/>
            <w:tcBorders>
              <w:top w:val="nil"/>
              <w:left w:val="nil"/>
              <w:bottom w:val="nil"/>
              <w:right w:val="nil"/>
            </w:tcBorders>
          </w:tcPr>
          <w:p>
            <w:pPr>
              <w:pStyle w:val="TableParagraph"/>
              <w:spacing w:before="94"/>
              <w:ind w:right="118"/>
              <w:jc w:val="right"/>
              <w:rPr>
                <w:sz w:val="18"/>
              </w:rPr>
            </w:pPr>
            <w:r>
              <w:rPr>
                <w:sz w:val="18"/>
              </w:rPr>
              <w:t>0.00002</w:t>
            </w:r>
          </w:p>
        </w:tc>
        <w:tc>
          <w:tcPr>
            <w:tcW w:w="1102" w:type="dxa"/>
            <w:tcBorders>
              <w:top w:val="nil"/>
              <w:left w:val="nil"/>
              <w:bottom w:val="nil"/>
              <w:right w:val="nil"/>
            </w:tcBorders>
          </w:tcPr>
          <w:p>
            <w:pPr>
              <w:pStyle w:val="TableParagraph"/>
              <w:spacing w:before="94"/>
              <w:ind w:left="310" w:right="256"/>
              <w:rPr>
                <w:sz w:val="18"/>
              </w:rPr>
            </w:pPr>
            <w:r>
              <w:rPr>
                <w:sz w:val="18"/>
              </w:rPr>
              <w:t>0.0000</w:t>
            </w:r>
          </w:p>
        </w:tc>
        <w:tc>
          <w:tcPr>
            <w:tcW w:w="1164" w:type="dxa"/>
            <w:tcBorders>
              <w:top w:val="nil"/>
              <w:left w:val="nil"/>
              <w:bottom w:val="nil"/>
              <w:right w:val="nil"/>
            </w:tcBorders>
          </w:tcPr>
          <w:p>
            <w:pPr>
              <w:pStyle w:val="TableParagraph"/>
              <w:spacing w:before="94"/>
              <w:ind w:right="460"/>
              <w:jc w:val="right"/>
              <w:rPr>
                <w:sz w:val="18"/>
              </w:rPr>
            </w:pPr>
            <w:r>
              <w:rPr>
                <w:sz w:val="18"/>
              </w:rPr>
              <w:t>14</w:t>
            </w:r>
          </w:p>
        </w:tc>
        <w:tc>
          <w:tcPr>
            <w:tcW w:w="1284" w:type="dxa"/>
            <w:tcBorders>
              <w:top w:val="nil"/>
              <w:left w:val="nil"/>
              <w:bottom w:val="nil"/>
              <w:right w:val="nil"/>
            </w:tcBorders>
          </w:tcPr>
          <w:p>
            <w:pPr>
              <w:pStyle w:val="TableParagraph"/>
              <w:spacing w:before="94"/>
              <w:ind w:right="295"/>
              <w:jc w:val="right"/>
              <w:rPr>
                <w:sz w:val="18"/>
              </w:rPr>
            </w:pPr>
            <w:r>
              <w:rPr>
                <w:sz w:val="18"/>
              </w:rPr>
              <w:t>216.3053</w:t>
            </w:r>
          </w:p>
        </w:tc>
      </w:tr>
      <w:tr>
        <w:trPr>
          <w:trHeight w:val="620" w:hRule="exact"/>
        </w:trPr>
        <w:tc>
          <w:tcPr>
            <w:tcW w:w="3082" w:type="dxa"/>
            <w:tcBorders>
              <w:top w:val="nil"/>
              <w:left w:val="nil"/>
              <w:bottom w:val="nil"/>
              <w:right w:val="nil"/>
            </w:tcBorders>
          </w:tcPr>
          <w:p>
            <w:pPr>
              <w:pStyle w:val="TableParagraph"/>
              <w:spacing w:before="94"/>
              <w:ind w:left="108" w:right="88"/>
              <w:jc w:val="left"/>
              <w:rPr>
                <w:sz w:val="18"/>
              </w:rPr>
            </w:pPr>
            <w:r>
              <w:rPr>
                <w:sz w:val="18"/>
              </w:rPr>
              <w:t>Phi(2muestreos)gam(.)p=c(3muestreos) N(t)</w:t>
            </w:r>
          </w:p>
        </w:tc>
        <w:tc>
          <w:tcPr>
            <w:tcW w:w="969" w:type="dxa"/>
            <w:tcBorders>
              <w:top w:val="nil"/>
              <w:left w:val="nil"/>
              <w:bottom w:val="nil"/>
              <w:right w:val="nil"/>
            </w:tcBorders>
          </w:tcPr>
          <w:p>
            <w:pPr>
              <w:pStyle w:val="TableParagraph"/>
              <w:spacing w:before="94"/>
              <w:ind w:left="160"/>
              <w:jc w:val="left"/>
              <w:rPr>
                <w:sz w:val="18"/>
              </w:rPr>
            </w:pPr>
            <w:r>
              <w:rPr>
                <w:sz w:val="18"/>
              </w:rPr>
              <w:t>276.8042</w:t>
            </w:r>
          </w:p>
        </w:tc>
        <w:tc>
          <w:tcPr>
            <w:tcW w:w="864" w:type="dxa"/>
            <w:tcBorders>
              <w:top w:val="nil"/>
              <w:left w:val="nil"/>
              <w:bottom w:val="nil"/>
              <w:right w:val="nil"/>
            </w:tcBorders>
          </w:tcPr>
          <w:p>
            <w:pPr>
              <w:pStyle w:val="TableParagraph"/>
              <w:spacing w:before="94"/>
              <w:ind w:left="136" w:right="101"/>
              <w:rPr>
                <w:sz w:val="18"/>
              </w:rPr>
            </w:pPr>
            <w:r>
              <w:rPr>
                <w:sz w:val="18"/>
              </w:rPr>
              <w:t>20.8882</w:t>
            </w:r>
          </w:p>
        </w:tc>
        <w:tc>
          <w:tcPr>
            <w:tcW w:w="851" w:type="dxa"/>
            <w:tcBorders>
              <w:top w:val="nil"/>
              <w:left w:val="nil"/>
              <w:bottom w:val="nil"/>
              <w:right w:val="nil"/>
            </w:tcBorders>
          </w:tcPr>
          <w:p>
            <w:pPr>
              <w:pStyle w:val="TableParagraph"/>
              <w:spacing w:before="94"/>
              <w:ind w:right="118"/>
              <w:jc w:val="right"/>
              <w:rPr>
                <w:sz w:val="18"/>
              </w:rPr>
            </w:pPr>
            <w:r>
              <w:rPr>
                <w:sz w:val="18"/>
              </w:rPr>
              <w:t>0.00002</w:t>
            </w:r>
          </w:p>
        </w:tc>
        <w:tc>
          <w:tcPr>
            <w:tcW w:w="1102" w:type="dxa"/>
            <w:tcBorders>
              <w:top w:val="nil"/>
              <w:left w:val="nil"/>
              <w:bottom w:val="nil"/>
              <w:right w:val="nil"/>
            </w:tcBorders>
          </w:tcPr>
          <w:p>
            <w:pPr>
              <w:pStyle w:val="TableParagraph"/>
              <w:spacing w:before="94"/>
              <w:ind w:left="310" w:right="256"/>
              <w:rPr>
                <w:sz w:val="18"/>
              </w:rPr>
            </w:pPr>
            <w:r>
              <w:rPr>
                <w:sz w:val="18"/>
              </w:rPr>
              <w:t>0.0000</w:t>
            </w:r>
          </w:p>
        </w:tc>
        <w:tc>
          <w:tcPr>
            <w:tcW w:w="1164" w:type="dxa"/>
            <w:tcBorders>
              <w:top w:val="nil"/>
              <w:left w:val="nil"/>
              <w:bottom w:val="nil"/>
              <w:right w:val="nil"/>
            </w:tcBorders>
          </w:tcPr>
          <w:p>
            <w:pPr>
              <w:pStyle w:val="TableParagraph"/>
              <w:spacing w:before="94"/>
              <w:ind w:right="460"/>
              <w:jc w:val="right"/>
              <w:rPr>
                <w:sz w:val="18"/>
              </w:rPr>
            </w:pPr>
            <w:r>
              <w:rPr>
                <w:sz w:val="18"/>
              </w:rPr>
              <w:t>14</w:t>
            </w:r>
          </w:p>
        </w:tc>
        <w:tc>
          <w:tcPr>
            <w:tcW w:w="1284" w:type="dxa"/>
            <w:tcBorders>
              <w:top w:val="nil"/>
              <w:left w:val="nil"/>
              <w:bottom w:val="nil"/>
              <w:right w:val="nil"/>
            </w:tcBorders>
          </w:tcPr>
          <w:p>
            <w:pPr>
              <w:pStyle w:val="TableParagraph"/>
              <w:spacing w:before="94"/>
              <w:ind w:right="295"/>
              <w:jc w:val="right"/>
              <w:rPr>
                <w:sz w:val="18"/>
              </w:rPr>
            </w:pPr>
            <w:r>
              <w:rPr>
                <w:sz w:val="18"/>
              </w:rPr>
              <w:t>216.3053</w:t>
            </w:r>
          </w:p>
        </w:tc>
      </w:tr>
      <w:tr>
        <w:trPr>
          <w:trHeight w:val="622" w:hRule="exact"/>
        </w:trPr>
        <w:tc>
          <w:tcPr>
            <w:tcW w:w="3082" w:type="dxa"/>
            <w:tcBorders>
              <w:top w:val="nil"/>
              <w:left w:val="nil"/>
              <w:bottom w:val="nil"/>
              <w:right w:val="nil"/>
            </w:tcBorders>
          </w:tcPr>
          <w:p>
            <w:pPr>
              <w:pStyle w:val="TableParagraph"/>
              <w:spacing w:before="93"/>
              <w:ind w:left="108" w:right="123"/>
              <w:jc w:val="left"/>
              <w:rPr>
                <w:sz w:val="18"/>
              </w:rPr>
            </w:pPr>
            <w:r>
              <w:rPr>
                <w:sz w:val="18"/>
              </w:rPr>
              <w:t>Phi(2muestreos)gam”(.)gam´(.)p=c(3m uestreos)N(t)</w:t>
            </w:r>
          </w:p>
        </w:tc>
        <w:tc>
          <w:tcPr>
            <w:tcW w:w="969" w:type="dxa"/>
            <w:tcBorders>
              <w:top w:val="nil"/>
              <w:left w:val="nil"/>
              <w:bottom w:val="nil"/>
              <w:right w:val="nil"/>
            </w:tcBorders>
          </w:tcPr>
          <w:p>
            <w:pPr>
              <w:pStyle w:val="TableParagraph"/>
              <w:spacing w:before="93"/>
              <w:ind w:left="160"/>
              <w:jc w:val="left"/>
              <w:rPr>
                <w:sz w:val="18"/>
              </w:rPr>
            </w:pPr>
            <w:r>
              <w:rPr>
                <w:sz w:val="18"/>
              </w:rPr>
              <w:t>279.1206</w:t>
            </w:r>
          </w:p>
        </w:tc>
        <w:tc>
          <w:tcPr>
            <w:tcW w:w="864" w:type="dxa"/>
            <w:tcBorders>
              <w:top w:val="nil"/>
              <w:left w:val="nil"/>
              <w:bottom w:val="nil"/>
              <w:right w:val="nil"/>
            </w:tcBorders>
          </w:tcPr>
          <w:p>
            <w:pPr>
              <w:pStyle w:val="TableParagraph"/>
              <w:spacing w:before="93"/>
              <w:ind w:left="136" w:right="101"/>
              <w:rPr>
                <w:sz w:val="18"/>
              </w:rPr>
            </w:pPr>
            <w:r>
              <w:rPr>
                <w:sz w:val="18"/>
              </w:rPr>
              <w:t>23.2046</w:t>
            </w:r>
          </w:p>
        </w:tc>
        <w:tc>
          <w:tcPr>
            <w:tcW w:w="851" w:type="dxa"/>
            <w:tcBorders>
              <w:top w:val="nil"/>
              <w:left w:val="nil"/>
              <w:bottom w:val="nil"/>
              <w:right w:val="nil"/>
            </w:tcBorders>
          </w:tcPr>
          <w:p>
            <w:pPr>
              <w:pStyle w:val="TableParagraph"/>
              <w:spacing w:before="93"/>
              <w:ind w:right="118"/>
              <w:jc w:val="right"/>
              <w:rPr>
                <w:sz w:val="18"/>
              </w:rPr>
            </w:pPr>
            <w:r>
              <w:rPr>
                <w:sz w:val="18"/>
              </w:rPr>
              <w:t>0.00001</w:t>
            </w:r>
          </w:p>
        </w:tc>
        <w:tc>
          <w:tcPr>
            <w:tcW w:w="1102" w:type="dxa"/>
            <w:tcBorders>
              <w:top w:val="nil"/>
              <w:left w:val="nil"/>
              <w:bottom w:val="nil"/>
              <w:right w:val="nil"/>
            </w:tcBorders>
          </w:tcPr>
          <w:p>
            <w:pPr>
              <w:pStyle w:val="TableParagraph"/>
              <w:spacing w:before="93"/>
              <w:ind w:left="310" w:right="256"/>
              <w:rPr>
                <w:sz w:val="18"/>
              </w:rPr>
            </w:pPr>
            <w:r>
              <w:rPr>
                <w:sz w:val="18"/>
              </w:rPr>
              <w:t>0.0000</w:t>
            </w:r>
          </w:p>
        </w:tc>
        <w:tc>
          <w:tcPr>
            <w:tcW w:w="1164" w:type="dxa"/>
            <w:tcBorders>
              <w:top w:val="nil"/>
              <w:left w:val="nil"/>
              <w:bottom w:val="nil"/>
              <w:right w:val="nil"/>
            </w:tcBorders>
          </w:tcPr>
          <w:p>
            <w:pPr>
              <w:pStyle w:val="TableParagraph"/>
              <w:spacing w:before="93"/>
              <w:ind w:right="460"/>
              <w:jc w:val="right"/>
              <w:rPr>
                <w:sz w:val="18"/>
              </w:rPr>
            </w:pPr>
            <w:r>
              <w:rPr>
                <w:sz w:val="18"/>
              </w:rPr>
              <w:t>15</w:t>
            </w:r>
          </w:p>
        </w:tc>
        <w:tc>
          <w:tcPr>
            <w:tcW w:w="1284" w:type="dxa"/>
            <w:tcBorders>
              <w:top w:val="nil"/>
              <w:left w:val="nil"/>
              <w:bottom w:val="nil"/>
              <w:right w:val="nil"/>
            </w:tcBorders>
          </w:tcPr>
          <w:p>
            <w:pPr>
              <w:pStyle w:val="TableParagraph"/>
              <w:spacing w:before="93"/>
              <w:ind w:right="295"/>
              <w:jc w:val="right"/>
              <w:rPr>
                <w:sz w:val="18"/>
              </w:rPr>
            </w:pPr>
            <w:r>
              <w:rPr>
                <w:sz w:val="18"/>
              </w:rPr>
              <w:t>213.7158</w:t>
            </w:r>
          </w:p>
        </w:tc>
      </w:tr>
      <w:tr>
        <w:trPr>
          <w:trHeight w:val="621" w:hRule="exact"/>
        </w:trPr>
        <w:tc>
          <w:tcPr>
            <w:tcW w:w="3082" w:type="dxa"/>
            <w:tcBorders>
              <w:top w:val="nil"/>
              <w:left w:val="nil"/>
              <w:bottom w:val="nil"/>
              <w:right w:val="nil"/>
            </w:tcBorders>
          </w:tcPr>
          <w:p>
            <w:pPr>
              <w:pStyle w:val="TableParagraph"/>
              <w:spacing w:before="93"/>
              <w:ind w:left="108" w:right="203"/>
              <w:jc w:val="left"/>
              <w:rPr>
                <w:sz w:val="18"/>
              </w:rPr>
            </w:pPr>
            <w:r>
              <w:rPr>
                <w:sz w:val="18"/>
              </w:rPr>
              <w:t>Phi(.)gam”(.)gam´(.)p=c(3 muestreos) N(t)</w:t>
            </w:r>
          </w:p>
        </w:tc>
        <w:tc>
          <w:tcPr>
            <w:tcW w:w="969" w:type="dxa"/>
            <w:tcBorders>
              <w:top w:val="nil"/>
              <w:left w:val="nil"/>
              <w:bottom w:val="nil"/>
              <w:right w:val="nil"/>
            </w:tcBorders>
          </w:tcPr>
          <w:p>
            <w:pPr>
              <w:pStyle w:val="TableParagraph"/>
              <w:spacing w:before="93"/>
              <w:ind w:left="160"/>
              <w:jc w:val="left"/>
              <w:rPr>
                <w:sz w:val="18"/>
              </w:rPr>
            </w:pPr>
            <w:r>
              <w:rPr>
                <w:sz w:val="18"/>
              </w:rPr>
              <w:t>281.5246</w:t>
            </w:r>
          </w:p>
        </w:tc>
        <w:tc>
          <w:tcPr>
            <w:tcW w:w="864" w:type="dxa"/>
            <w:tcBorders>
              <w:top w:val="nil"/>
              <w:left w:val="nil"/>
              <w:bottom w:val="nil"/>
              <w:right w:val="nil"/>
            </w:tcBorders>
          </w:tcPr>
          <w:p>
            <w:pPr>
              <w:pStyle w:val="TableParagraph"/>
              <w:spacing w:before="93"/>
              <w:ind w:left="136" w:right="101"/>
              <w:rPr>
                <w:sz w:val="18"/>
              </w:rPr>
            </w:pPr>
            <w:r>
              <w:rPr>
                <w:sz w:val="18"/>
              </w:rPr>
              <w:t>25.6086</w:t>
            </w:r>
          </w:p>
        </w:tc>
        <w:tc>
          <w:tcPr>
            <w:tcW w:w="851" w:type="dxa"/>
            <w:tcBorders>
              <w:top w:val="nil"/>
              <w:left w:val="nil"/>
              <w:bottom w:val="nil"/>
              <w:right w:val="nil"/>
            </w:tcBorders>
          </w:tcPr>
          <w:p>
            <w:pPr>
              <w:pStyle w:val="TableParagraph"/>
              <w:spacing w:before="93"/>
              <w:ind w:right="118"/>
              <w:jc w:val="right"/>
              <w:rPr>
                <w:sz w:val="18"/>
              </w:rPr>
            </w:pPr>
            <w:r>
              <w:rPr>
                <w:sz w:val="18"/>
              </w:rPr>
              <w:t>0.00000</w:t>
            </w:r>
          </w:p>
        </w:tc>
        <w:tc>
          <w:tcPr>
            <w:tcW w:w="1102" w:type="dxa"/>
            <w:tcBorders>
              <w:top w:val="nil"/>
              <w:left w:val="nil"/>
              <w:bottom w:val="nil"/>
              <w:right w:val="nil"/>
            </w:tcBorders>
          </w:tcPr>
          <w:p>
            <w:pPr>
              <w:pStyle w:val="TableParagraph"/>
              <w:spacing w:before="93"/>
              <w:ind w:left="310" w:right="256"/>
              <w:rPr>
                <w:sz w:val="18"/>
              </w:rPr>
            </w:pPr>
            <w:r>
              <w:rPr>
                <w:sz w:val="18"/>
              </w:rPr>
              <w:t>0.0000</w:t>
            </w:r>
          </w:p>
        </w:tc>
        <w:tc>
          <w:tcPr>
            <w:tcW w:w="1164" w:type="dxa"/>
            <w:tcBorders>
              <w:top w:val="nil"/>
              <w:left w:val="nil"/>
              <w:bottom w:val="nil"/>
              <w:right w:val="nil"/>
            </w:tcBorders>
          </w:tcPr>
          <w:p>
            <w:pPr>
              <w:pStyle w:val="TableParagraph"/>
              <w:spacing w:before="93"/>
              <w:ind w:right="460"/>
              <w:jc w:val="right"/>
              <w:rPr>
                <w:sz w:val="18"/>
              </w:rPr>
            </w:pPr>
            <w:r>
              <w:rPr>
                <w:sz w:val="18"/>
              </w:rPr>
              <w:t>15</w:t>
            </w:r>
          </w:p>
        </w:tc>
        <w:tc>
          <w:tcPr>
            <w:tcW w:w="1284" w:type="dxa"/>
            <w:tcBorders>
              <w:top w:val="nil"/>
              <w:left w:val="nil"/>
              <w:bottom w:val="nil"/>
              <w:right w:val="nil"/>
            </w:tcBorders>
          </w:tcPr>
          <w:p>
            <w:pPr>
              <w:pStyle w:val="TableParagraph"/>
              <w:spacing w:before="93"/>
              <w:ind w:right="295"/>
              <w:jc w:val="right"/>
              <w:rPr>
                <w:sz w:val="18"/>
              </w:rPr>
            </w:pPr>
            <w:r>
              <w:rPr>
                <w:sz w:val="18"/>
              </w:rPr>
              <w:t>216.1198</w:t>
            </w:r>
          </w:p>
        </w:tc>
      </w:tr>
      <w:tr>
        <w:trPr>
          <w:trHeight w:val="524" w:hRule="exact"/>
        </w:trPr>
        <w:tc>
          <w:tcPr>
            <w:tcW w:w="3082" w:type="dxa"/>
            <w:tcBorders>
              <w:top w:val="nil"/>
              <w:left w:val="nil"/>
              <w:right w:val="nil"/>
            </w:tcBorders>
          </w:tcPr>
          <w:p>
            <w:pPr>
              <w:pStyle w:val="TableParagraph"/>
              <w:spacing w:before="94"/>
              <w:ind w:left="108" w:right="942"/>
              <w:jc w:val="left"/>
              <w:rPr>
                <w:sz w:val="18"/>
              </w:rPr>
            </w:pPr>
            <w:r>
              <w:rPr>
                <w:sz w:val="18"/>
              </w:rPr>
              <w:t>Phi(.)no_movimiento p=c(3 muestreos)N(t)</w:t>
            </w:r>
          </w:p>
        </w:tc>
        <w:tc>
          <w:tcPr>
            <w:tcW w:w="969" w:type="dxa"/>
            <w:tcBorders>
              <w:top w:val="nil"/>
              <w:left w:val="nil"/>
              <w:right w:val="nil"/>
            </w:tcBorders>
          </w:tcPr>
          <w:p>
            <w:pPr>
              <w:pStyle w:val="TableParagraph"/>
              <w:spacing w:before="94"/>
              <w:ind w:left="160"/>
              <w:jc w:val="left"/>
              <w:rPr>
                <w:sz w:val="18"/>
              </w:rPr>
            </w:pPr>
            <w:r>
              <w:rPr>
                <w:sz w:val="18"/>
              </w:rPr>
              <w:t>307.0946</w:t>
            </w:r>
          </w:p>
        </w:tc>
        <w:tc>
          <w:tcPr>
            <w:tcW w:w="864" w:type="dxa"/>
            <w:tcBorders>
              <w:top w:val="nil"/>
              <w:left w:val="nil"/>
              <w:right w:val="nil"/>
            </w:tcBorders>
          </w:tcPr>
          <w:p>
            <w:pPr>
              <w:pStyle w:val="TableParagraph"/>
              <w:spacing w:before="94"/>
              <w:ind w:left="136" w:right="101"/>
              <w:rPr>
                <w:sz w:val="18"/>
              </w:rPr>
            </w:pPr>
            <w:r>
              <w:rPr>
                <w:sz w:val="18"/>
              </w:rPr>
              <w:t>51.1786</w:t>
            </w:r>
          </w:p>
        </w:tc>
        <w:tc>
          <w:tcPr>
            <w:tcW w:w="851" w:type="dxa"/>
            <w:tcBorders>
              <w:top w:val="nil"/>
              <w:left w:val="nil"/>
              <w:right w:val="nil"/>
            </w:tcBorders>
          </w:tcPr>
          <w:p>
            <w:pPr>
              <w:pStyle w:val="TableParagraph"/>
              <w:spacing w:before="94"/>
              <w:ind w:right="118"/>
              <w:jc w:val="right"/>
              <w:rPr>
                <w:sz w:val="18"/>
              </w:rPr>
            </w:pPr>
            <w:r>
              <w:rPr>
                <w:sz w:val="18"/>
              </w:rPr>
              <w:t>0.00000</w:t>
            </w:r>
          </w:p>
        </w:tc>
        <w:tc>
          <w:tcPr>
            <w:tcW w:w="1102" w:type="dxa"/>
            <w:tcBorders>
              <w:top w:val="nil"/>
              <w:left w:val="nil"/>
              <w:right w:val="nil"/>
            </w:tcBorders>
          </w:tcPr>
          <w:p>
            <w:pPr>
              <w:pStyle w:val="TableParagraph"/>
              <w:spacing w:before="94"/>
              <w:ind w:left="310" w:right="256"/>
              <w:rPr>
                <w:sz w:val="18"/>
              </w:rPr>
            </w:pPr>
            <w:r>
              <w:rPr>
                <w:sz w:val="18"/>
              </w:rPr>
              <w:t>0.0000</w:t>
            </w:r>
          </w:p>
        </w:tc>
        <w:tc>
          <w:tcPr>
            <w:tcW w:w="1164" w:type="dxa"/>
            <w:tcBorders>
              <w:top w:val="nil"/>
              <w:left w:val="nil"/>
              <w:right w:val="nil"/>
            </w:tcBorders>
          </w:tcPr>
          <w:p>
            <w:pPr>
              <w:pStyle w:val="TableParagraph"/>
              <w:spacing w:before="94"/>
              <w:ind w:right="460"/>
              <w:jc w:val="right"/>
              <w:rPr>
                <w:sz w:val="18"/>
              </w:rPr>
            </w:pPr>
            <w:r>
              <w:rPr>
                <w:sz w:val="18"/>
              </w:rPr>
              <w:t>18</w:t>
            </w:r>
          </w:p>
        </w:tc>
        <w:tc>
          <w:tcPr>
            <w:tcW w:w="1284" w:type="dxa"/>
            <w:tcBorders>
              <w:top w:val="nil"/>
              <w:left w:val="nil"/>
              <w:right w:val="nil"/>
            </w:tcBorders>
          </w:tcPr>
          <w:p>
            <w:pPr>
              <w:pStyle w:val="TableParagraph"/>
              <w:spacing w:before="94"/>
              <w:ind w:right="295"/>
              <w:jc w:val="right"/>
              <w:rPr>
                <w:sz w:val="18"/>
              </w:rPr>
            </w:pPr>
            <w:r>
              <w:rPr>
                <w:sz w:val="18"/>
              </w:rPr>
              <w:t>224.4121</w:t>
            </w:r>
          </w:p>
        </w:tc>
      </w:tr>
    </w:tbl>
    <w:p>
      <w:pPr>
        <w:spacing w:after="0"/>
        <w:jc w:val="right"/>
        <w:rPr>
          <w:sz w:val="18"/>
        </w:rPr>
        <w:sectPr>
          <w:pgSz w:w="12240" w:h="15840"/>
          <w:pgMar w:header="740" w:footer="779" w:top="960" w:bottom="960" w:left="1480" w:right="1220"/>
        </w:sect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2"/>
        <w:spacing w:before="69"/>
      </w:pPr>
      <w:r>
        <w:rPr/>
        <w:t>DISCUSSION</w:t>
      </w:r>
    </w:p>
    <w:p>
      <w:pPr>
        <w:pStyle w:val="BodyText"/>
        <w:spacing w:before="6"/>
        <w:rPr>
          <w:b/>
          <w:sz w:val="23"/>
        </w:rPr>
      </w:pPr>
    </w:p>
    <w:p>
      <w:pPr>
        <w:pStyle w:val="BodyText"/>
        <w:spacing w:line="480" w:lineRule="auto"/>
        <w:ind w:left="102" w:right="87" w:firstLine="707"/>
      </w:pPr>
      <w:r>
        <w:rPr/>
        <w:t>Cougar is the second largest in the Americas after the jaguar. However little is known about the species and only is know that their population are declining in recent years in Mexico, due to indiscriminate hunting, habitat fragmentation and conflict with farmers; so estimate their demographic parameters is important (Sunquist y Sunquist 2002). Our study provide the first effort to estimate demographic parameters over cougar in Mexico, in areas preserved by the state government of Mexico and areas not conserved which is of great importance for the ecological knowledge of the species (Gittleman </w:t>
      </w:r>
      <w:r>
        <w:rPr>
          <w:i/>
        </w:rPr>
        <w:t>et al. </w:t>
      </w:r>
      <w:r>
        <w:rPr/>
        <w:t>2001). This study considered 15 primary occasions in six years; we identified 3 females, 8 males and 3 males Kittens. Abundance obtained with the robust design sampled period (8 individuals) was higher, that obtained in previous studies in SNNR (4 individuals; Soria et al. 2010).</w:t>
      </w:r>
    </w:p>
    <w:p>
      <w:pPr>
        <w:pStyle w:val="BodyText"/>
        <w:spacing w:line="480" w:lineRule="auto" w:before="10"/>
        <w:ind w:left="102" w:right="104"/>
      </w:pPr>
      <w:r>
        <w:rPr/>
        <w:t>This may be because in capture the abundance estimated was obtained every three month and the robust design the abundance is obtained for all sample period (six years).</w:t>
      </w:r>
    </w:p>
    <w:p>
      <w:pPr>
        <w:pStyle w:val="BodyText"/>
        <w:spacing w:line="480" w:lineRule="auto" w:before="10"/>
        <w:ind w:left="102" w:right="134" w:firstLine="707"/>
      </w:pPr>
      <w:r>
        <w:rPr/>
        <w:t>Traditional, long-term studies of cats where determine demographic parameter were based in radiotelemetry or visual identification of individuals (Fuller et al. 1995; HAINES et al. 2005; Goswami et al. 2007): (Smith et al. 1999, ). Little studies have attempted to estimate these parameters demographics using camera trap (Karanth and Nichols 1998; Varma et al. 2006; Goswami et al. 2007). The results obtained in such an opportunistic manner compared closely with similar classification worked out at much great effort with traditional means. This suggest that the camera trap technology combined with a good knowledge of the species could be a useful tool for population study (Varma et al. 2006).</w:t>
      </w:r>
    </w:p>
    <w:p>
      <w:pPr>
        <w:pStyle w:val="BodyText"/>
        <w:spacing w:before="10"/>
        <w:ind w:left="102"/>
      </w:pPr>
      <w:r>
        <w:rPr/>
        <w:t>The analysis of a collection of photographs obtained with camera trap and the robust</w:t>
      </w:r>
    </w:p>
    <w:p>
      <w:pPr>
        <w:spacing w:after="0"/>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pPr>
      <w:r>
        <w:rPr/>
        <w:t>design, showed good potential in our study for estimate demographics parameter (survival, migration and immigration) of cougars in SNNR.</w:t>
      </w:r>
    </w:p>
    <w:p>
      <w:pPr>
        <w:pStyle w:val="BodyText"/>
        <w:spacing w:line="480" w:lineRule="auto" w:before="10"/>
        <w:ind w:left="102" w:right="158" w:firstLine="707"/>
      </w:pPr>
      <w:r>
        <w:rPr/>
        <w:t>Our model (Phi(.)gam(3 samples) p=c (3 samples)N(t)), estimated the overall annual survival for cougar at 100%. However we believe that this data is not accurate, considering we have only half the life cycle for cougar. The cougars live in the wild about 12 to 15 years (Sunquist y Sunquist 2002), and our study only has six years of sampling; so is important to continue sampling to make an accurate estimate of survival.</w:t>
      </w:r>
    </w:p>
    <w:p>
      <w:pPr>
        <w:pStyle w:val="BodyText"/>
        <w:spacing w:line="480" w:lineRule="auto" w:before="11"/>
        <w:ind w:left="102" w:right="121" w:firstLine="707"/>
      </w:pPr>
      <w:r>
        <w:rPr/>
        <w:t>Our model estimated, migration and immigration for the first sample of 57%, for</w:t>
      </w:r>
      <w:r>
        <w:rPr>
          <w:spacing w:val="-19"/>
        </w:rPr>
        <w:t> </w:t>
      </w:r>
      <w:r>
        <w:rPr/>
        <w:t>the second sample the 40% and the third sample both parameters 100% (migration and immigration). We considered the first two sampling as the protected area because the largest number of cameras was in this area and the last sample was considered as part of</w:t>
      </w:r>
      <w:r>
        <w:rPr>
          <w:spacing w:val="-11"/>
        </w:rPr>
        <w:t> </w:t>
      </w:r>
      <w:r>
        <w:rPr/>
        <w:t>the area unprotected because the largest number of cameras was out of the area</w:t>
      </w:r>
      <w:r>
        <w:rPr>
          <w:spacing w:val="-17"/>
        </w:rPr>
        <w:t> </w:t>
      </w:r>
      <w:r>
        <w:rPr/>
        <w:t>protection.</w:t>
      </w:r>
    </w:p>
    <w:p>
      <w:pPr>
        <w:pStyle w:val="BodyText"/>
        <w:spacing w:line="480" w:lineRule="auto" w:before="10"/>
        <w:ind w:left="102" w:right="152" w:firstLine="707"/>
      </w:pPr>
      <w:r>
        <w:rPr/>
        <w:t>Consider these sampling areas. We can see in results that the protected area has a lesser percentage of immigration and migration that with respect to zone protected, where the percentage of immigration and migration is 100%. In the unprotected area is likely cougars move more because they have anthropogenic pressure, there are many fields and hunting is not controlled. Not identify any resident cougar in the unprotected area, only juveniles or passers. The migration and immigration in the protected zone is less, in this area we will identify a male and two females residents (Soria-Díaz et al. 2010), the</w:t>
      </w:r>
    </w:p>
    <w:p>
      <w:pPr>
        <w:pStyle w:val="BodyText"/>
        <w:spacing w:line="465" w:lineRule="auto" w:before="11"/>
        <w:ind w:left="102" w:right="104"/>
      </w:pPr>
      <w:r>
        <w:rPr/>
        <w:t>movement rates were lower than those unprotected zone. The zone protected is characterized have fenced area of 16 km</w:t>
      </w:r>
      <w:r>
        <w:rPr>
          <w:position w:val="11"/>
          <w:sz w:val="16"/>
        </w:rPr>
        <w:t>2</w:t>
      </w:r>
      <w:r>
        <w:rPr/>
        <w:t>, the hunting of wildlife in not allowed, human impact is low and no there are field or grazing.</w:t>
      </w:r>
    </w:p>
    <w:p>
      <w:pPr>
        <w:pStyle w:val="BodyText"/>
        <w:spacing w:line="480" w:lineRule="auto" w:before="26"/>
        <w:ind w:left="102" w:right="246" w:firstLine="707"/>
      </w:pPr>
      <w:r>
        <w:rPr/>
        <w:t>This study showed that the protected area is important in SNNR, because in the six years of sampling. We have photograph of female with offspring, male and females</w:t>
      </w:r>
    </w:p>
    <w:p>
      <w:pPr>
        <w:spacing w:after="0" w:line="480" w:lineRule="auto"/>
        <w:sectPr>
          <w:pgSz w:w="12240" w:h="15840"/>
          <w:pgMar w:header="740" w:footer="779" w:top="960" w:bottom="960" w:left="1600" w:right="1600"/>
        </w:sectPr>
      </w:pPr>
    </w:p>
    <w:p>
      <w:pPr>
        <w:pStyle w:val="BodyText"/>
        <w:rPr>
          <w:sz w:val="20"/>
        </w:rPr>
      </w:pPr>
    </w:p>
    <w:p>
      <w:pPr>
        <w:pStyle w:val="BodyText"/>
        <w:spacing w:before="9"/>
        <w:rPr>
          <w:sz w:val="18"/>
        </w:rPr>
      </w:pPr>
    </w:p>
    <w:p>
      <w:pPr>
        <w:pStyle w:val="BodyText"/>
        <w:spacing w:line="480" w:lineRule="auto"/>
        <w:ind w:left="102" w:right="183"/>
        <w:jc w:val="both"/>
      </w:pPr>
      <w:r>
        <w:rPr/>
        <w:t>residents and there are photographs of a male jaguar and 80% of the photographs of cougar are from this area. Whereas in the unprotected area are few photograph, only cougar young were photographed and not photograph of jaguar were obtained.</w:t>
      </w:r>
    </w:p>
    <w:p>
      <w:pPr>
        <w:pStyle w:val="BodyText"/>
        <w:spacing w:line="480" w:lineRule="auto" w:before="10"/>
        <w:ind w:left="102" w:right="233" w:firstLine="707"/>
      </w:pPr>
      <w:r>
        <w:rPr/>
        <w:t>The protected area is probably that playing an important role in the conservation of these big cats can function as a reservoir for endangered species. If all area had the same degree of protection that the fenced area, is likely that the number of mammals species would be higher.</w:t>
      </w:r>
    </w:p>
    <w:p>
      <w:pPr>
        <w:pStyle w:val="BodyText"/>
        <w:spacing w:line="480" w:lineRule="auto" w:before="11"/>
        <w:ind w:left="102" w:right="191" w:firstLine="707"/>
      </w:pPr>
      <w:r>
        <w:rPr/>
        <w:t>Our study was constrained by the limited number of camera trap we could deploy, in the first sample. We believe that the precision of these parameter estimates can be improved by deployed more camera trap over a large area and higher densities, thereby capturing more individuals and increasing recapture rates. Also if the areas increased to sample a greater proportion of the super population, then the proportion of temporary emigrants may be reduced. We demonstrated that multiyear trend estimates for change in cougar population size, can be obtained with reasonable precision using models that deal satisfactorily with various ecological and sampling related uncertainties. The camera traps are efficient, noninvasive sampling approach is relevant to understanding the population dynamics of many elusive or rare species in which individuals can be unmistakably identified from photographs or through other means (Karanth and Nichols 1998).</w:t>
      </w:r>
    </w:p>
    <w:p>
      <w:pPr>
        <w:spacing w:after="0" w:line="480" w:lineRule="auto"/>
        <w:sectPr>
          <w:pgSz w:w="12240" w:h="15840"/>
          <w:pgMar w:header="740" w:footer="779" w:top="960" w:bottom="960" w:left="1600" w:right="1600"/>
        </w:sect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Heading2"/>
        <w:spacing w:before="69"/>
        <w:ind w:right="6695"/>
      </w:pPr>
      <w:r>
        <w:rPr/>
        <w:t>Cited Literature</w:t>
      </w:r>
    </w:p>
    <w:p>
      <w:pPr>
        <w:pStyle w:val="BodyText"/>
        <w:rPr>
          <w:b/>
        </w:rPr>
      </w:pPr>
    </w:p>
    <w:p>
      <w:pPr>
        <w:pStyle w:val="BodyText"/>
        <w:spacing w:before="6"/>
        <w:rPr>
          <w:b/>
          <w:sz w:val="23"/>
        </w:rPr>
      </w:pPr>
    </w:p>
    <w:p>
      <w:pPr>
        <w:pStyle w:val="BodyText"/>
        <w:spacing w:line="480" w:lineRule="auto"/>
        <w:ind w:left="821" w:right="119" w:hanging="720"/>
        <w:jc w:val="both"/>
      </w:pPr>
      <w:r>
        <w:rPr/>
        <w:t>Amstrup, SC., McDonald TL. Manly BFJ. editors. 2005. Handbook of capture-recapture analysis. Princeton University Press, Princeton. 313 p.</w:t>
      </w:r>
    </w:p>
    <w:p>
      <w:pPr>
        <w:pStyle w:val="BodyText"/>
        <w:spacing w:line="480" w:lineRule="auto" w:before="10"/>
        <w:ind w:left="821" w:right="122" w:hanging="720"/>
        <w:jc w:val="both"/>
      </w:pPr>
      <w:r>
        <w:rPr/>
        <w:t>Burnham, KP., Anderson DR. 2002. Model selection and multimodel inference: a practical information-theoretic approach. Springer-Verlag, New York, New York, USA.</w:t>
      </w:r>
    </w:p>
    <w:p>
      <w:pPr>
        <w:pStyle w:val="BodyText"/>
        <w:spacing w:line="480" w:lineRule="auto" w:before="11"/>
        <w:ind w:left="102" w:right="117"/>
        <w:jc w:val="right"/>
      </w:pPr>
      <w:r>
        <w:rPr/>
        <w:t>Cooch, E., White G. 2011. Program Mark “A Gentle Introduction”. 10th Edition. pp. 15-49.</w:t>
      </w:r>
      <w:r>
        <w:rPr>
          <w:w w:val="99"/>
        </w:rPr>
        <w:t> </w:t>
      </w:r>
      <w:r>
        <w:rPr/>
        <w:t>Fuller, TK., Berendzen SL. Decker TA. Cardoza JE. 1995. Survival and Cause-Specific Mortality  Rates  of  Adult  Bobcats  (Lynx  rufus).  Am  Midl  Nat  134:404.     doi:</w:t>
      </w:r>
    </w:p>
    <w:p>
      <w:pPr>
        <w:pStyle w:val="BodyText"/>
        <w:spacing w:before="10"/>
        <w:ind w:left="821" w:right="197"/>
      </w:pPr>
      <w:r>
        <w:rPr/>
        <w:t>10.2307/2426311</w:t>
      </w:r>
    </w:p>
    <w:p>
      <w:pPr>
        <w:pStyle w:val="BodyText"/>
      </w:pPr>
    </w:p>
    <w:p>
      <w:pPr>
        <w:pStyle w:val="BodyText"/>
        <w:spacing w:line="480" w:lineRule="auto"/>
        <w:ind w:left="821" w:right="118" w:hanging="720"/>
        <w:jc w:val="both"/>
      </w:pPr>
      <w:r>
        <w:rPr/>
        <w:t>Gardner, B., Reppucci J. Lucherini M. Royle JA. 2010. Spatially explicit inference for open populations: estimating demographic parameters from camera-trap studies. Ecology 91:3376–3383. doi: 10.1890/09-0804.1</w:t>
      </w:r>
    </w:p>
    <w:p>
      <w:pPr>
        <w:pStyle w:val="BodyText"/>
        <w:spacing w:before="10"/>
        <w:ind w:left="102" w:right="20"/>
      </w:pPr>
      <w:r>
        <w:rPr/>
        <w:t>Gittleman,  JL.,  Funk  SM.  Macdonald  D.  Wayne  RK.  2001.  Carnivore  </w:t>
      </w:r>
      <w:r>
        <w:rPr>
          <w:spacing w:val="58"/>
        </w:rPr>
        <w:t> </w:t>
      </w:r>
      <w:r>
        <w:rPr/>
        <w:t>Conservation.</w:t>
      </w:r>
    </w:p>
    <w:p>
      <w:pPr>
        <w:pStyle w:val="BodyText"/>
      </w:pPr>
    </w:p>
    <w:p>
      <w:pPr>
        <w:spacing w:before="0"/>
        <w:ind w:left="821" w:right="197" w:firstLine="0"/>
        <w:jc w:val="left"/>
        <w:rPr>
          <w:sz w:val="24"/>
        </w:rPr>
      </w:pPr>
      <w:r>
        <w:rPr>
          <w:i/>
          <w:sz w:val="24"/>
        </w:rPr>
        <w:t>Cambridge. University Press</w:t>
      </w:r>
      <w:r>
        <w:rPr>
          <w:sz w:val="24"/>
        </w:rPr>
        <w:t>. London. 675</w:t>
      </w:r>
    </w:p>
    <w:p>
      <w:pPr>
        <w:pStyle w:val="BodyText"/>
      </w:pPr>
    </w:p>
    <w:p>
      <w:pPr>
        <w:pStyle w:val="BodyText"/>
        <w:spacing w:line="480" w:lineRule="auto"/>
        <w:ind w:left="821" w:right="118" w:hanging="720"/>
        <w:jc w:val="both"/>
      </w:pPr>
      <w:r>
        <w:rPr/>
        <w:t>Goswami, VR., Madhusudan MD. Karanth KU. 2007. Application of photographic capture–recapture modelling to estimate demographic parameters for male Asian elephants. Anim Conserv 10:391–399. doi: 10.1111/j.1469-1795.2007.00124.x</w:t>
      </w:r>
    </w:p>
    <w:p>
      <w:pPr>
        <w:pStyle w:val="BodyText"/>
        <w:spacing w:line="480" w:lineRule="auto" w:before="10"/>
        <w:ind w:left="821" w:right="116" w:hanging="720"/>
        <w:jc w:val="both"/>
      </w:pPr>
      <w:r>
        <w:rPr/>
        <w:t>Haines, AM., Tewes ME. Laack LL. Morrison. 2005. Survival and sources of mortality in ocelots. J Wildl Manag 69:255–263. doi: 10.2193/0022- 541X(2005)069&lt;0255:SASOMI&gt;2.0.CO;2</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1167" w:right="116" w:hanging="1066"/>
        <w:jc w:val="both"/>
      </w:pPr>
      <w:r>
        <w:rPr/>
        <w:t>Harmsen, BJ., Foster RJ. Silver S. Ostro L. Doncaster P. 2009. Differential use of trails by forest mammals and the implications for camera-trap studies: a case study from Belize. Biotropica 42: 1-8</w:t>
      </w:r>
    </w:p>
    <w:p>
      <w:pPr>
        <w:pStyle w:val="BodyText"/>
        <w:spacing w:line="480" w:lineRule="auto" w:before="10"/>
        <w:ind w:left="821" w:right="114" w:hanging="720"/>
        <w:jc w:val="both"/>
      </w:pPr>
      <w:r>
        <w:rPr/>
        <w:t>Karanth, KU., Nichols JD. 1998. Estimation of tiger densities in India using photographics captures and recaptures. Ecology 79:2852–2862. doi: 10.1890/0012- 9658(1998)079[2852:EOTDII]2.0.CO;2</w:t>
      </w:r>
    </w:p>
    <w:p>
      <w:pPr>
        <w:pStyle w:val="BodyText"/>
        <w:spacing w:line="480" w:lineRule="auto" w:before="10"/>
        <w:ind w:left="821" w:right="119" w:hanging="720"/>
        <w:jc w:val="both"/>
      </w:pPr>
      <w:r>
        <w:rPr/>
        <w:t>Kendall, WL., Pollock KH. Brownie C. 1995. A Likelihood-based approach to capture- recapture estimation of demographic parameters under the robust desing. Biometrics. 51.</w:t>
      </w:r>
      <w:r>
        <w:rPr>
          <w:spacing w:val="-5"/>
        </w:rPr>
        <w:t> </w:t>
      </w:r>
      <w:r>
        <w:rPr/>
        <w:t>293-308</w:t>
      </w:r>
    </w:p>
    <w:p>
      <w:pPr>
        <w:pStyle w:val="BodyText"/>
        <w:spacing w:line="480" w:lineRule="auto" w:before="10"/>
        <w:ind w:left="821" w:right="117" w:hanging="720"/>
        <w:jc w:val="both"/>
      </w:pPr>
      <w:r>
        <w:rPr/>
        <w:t>McClintock, BT., White GC. 2009. A less field-intensive robust design for estimating demographic parameters with mark-resight data. Ecology. 90. 313-320</w:t>
      </w:r>
    </w:p>
    <w:p>
      <w:pPr>
        <w:spacing w:line="480" w:lineRule="auto" w:before="10"/>
        <w:ind w:left="821" w:right="117" w:hanging="720"/>
        <w:jc w:val="both"/>
        <w:rPr>
          <w:sz w:val="24"/>
        </w:rPr>
      </w:pPr>
      <w:r>
        <w:rPr>
          <w:sz w:val="24"/>
        </w:rPr>
        <w:t>Sunquist, M., F. Sunquist. 2002. Wild Cats of the World. </w:t>
      </w:r>
      <w:r>
        <w:rPr>
          <w:i/>
          <w:sz w:val="24"/>
        </w:rPr>
        <w:t>University Of Chicago Press</w:t>
      </w:r>
      <w:r>
        <w:rPr>
          <w:sz w:val="24"/>
        </w:rPr>
        <w:t>. pp 452</w:t>
      </w:r>
    </w:p>
    <w:p>
      <w:pPr>
        <w:pStyle w:val="BodyText"/>
        <w:spacing w:line="480" w:lineRule="auto" w:before="10"/>
        <w:ind w:left="821" w:right="118" w:hanging="720"/>
        <w:jc w:val="both"/>
      </w:pPr>
      <w:r>
        <w:rPr/>
        <w:t>Otis, DL., Burnham KP. White GC. Anderson DR. 1978. Statistical inference for capture data on closed animal populations. Wildlife Monographs, No. 62.</w:t>
      </w:r>
    </w:p>
    <w:p>
      <w:pPr>
        <w:pStyle w:val="BodyText"/>
        <w:spacing w:before="10"/>
        <w:ind w:left="102" w:right="20"/>
      </w:pPr>
      <w:r>
        <w:rPr/>
        <w:t>Pollock, KH. 1982. A capture-recapture design  robust to unequal     probability of  capture.</w:t>
      </w:r>
    </w:p>
    <w:p>
      <w:pPr>
        <w:pStyle w:val="BodyText"/>
      </w:pPr>
    </w:p>
    <w:p>
      <w:pPr>
        <w:pStyle w:val="BodyText"/>
        <w:ind w:left="821" w:right="197"/>
      </w:pPr>
      <w:r>
        <w:rPr/>
        <w:t>Journal of Wildlife Management 46, 757-760.</w:t>
      </w:r>
    </w:p>
    <w:p>
      <w:pPr>
        <w:pStyle w:val="BodyText"/>
      </w:pPr>
    </w:p>
    <w:p>
      <w:pPr>
        <w:pStyle w:val="BodyText"/>
        <w:spacing w:line="480" w:lineRule="auto"/>
        <w:ind w:left="821" w:right="119" w:hanging="720"/>
        <w:jc w:val="both"/>
      </w:pPr>
      <w:r>
        <w:rPr/>
        <w:t>Pollock, KH., Nichols JD. Hines JE. Brownie C. 1990. Statistical inference for capture- recapture experiments. Wildlife Monograph, 107.</w:t>
      </w:r>
    </w:p>
    <w:p>
      <w:pPr>
        <w:pStyle w:val="BodyText"/>
        <w:spacing w:line="480" w:lineRule="auto" w:before="11"/>
        <w:ind w:left="821" w:right="123" w:hanging="720"/>
        <w:jc w:val="both"/>
      </w:pPr>
      <w:r>
        <w:rPr/>
        <w:t>Price, SJ., Eskew EA. Cecala KK. Browne RA. Dorcas ME. 2012. Estimating survival of a streamside salamander: importance of temporary emigration, capture response, and location. Hydrobiologia. 679. 205-215</w:t>
      </w:r>
    </w:p>
    <w:p>
      <w:pPr>
        <w:spacing w:after="0" w:line="480" w:lineRule="auto"/>
        <w:jc w:val="both"/>
        <w:sectPr>
          <w:pgSz w:w="12240" w:h="15840"/>
          <w:pgMar w:header="740" w:footer="779" w:top="960" w:bottom="960" w:left="1600" w:right="1580"/>
        </w:sectPr>
      </w:pPr>
    </w:p>
    <w:p>
      <w:pPr>
        <w:pStyle w:val="BodyText"/>
        <w:rPr>
          <w:sz w:val="20"/>
        </w:rPr>
      </w:pPr>
    </w:p>
    <w:p>
      <w:pPr>
        <w:pStyle w:val="BodyText"/>
        <w:spacing w:before="9"/>
        <w:rPr>
          <w:sz w:val="18"/>
        </w:rPr>
      </w:pPr>
    </w:p>
    <w:p>
      <w:pPr>
        <w:pStyle w:val="BodyText"/>
        <w:spacing w:line="480" w:lineRule="auto"/>
        <w:ind w:left="821" w:right="114" w:hanging="720"/>
        <w:jc w:val="both"/>
      </w:pPr>
      <w:r>
        <w:rPr/>
        <w:t>Rodriguez-Soto, C. 2013. Descripción ambiental y social de la Reserva Natural Sierra Nanchititla. In: Monroy-Vilchis, O. and Soria-Díaz L. (Comp.). Ecología de </w:t>
      </w:r>
      <w:r>
        <w:rPr>
          <w:i/>
        </w:rPr>
        <w:t>Puma </w:t>
      </w:r>
      <w:r>
        <w:rPr>
          <w:i/>
        </w:rPr>
        <w:t>concolor </w:t>
      </w:r>
      <w:r>
        <w:rPr/>
        <w:t>en la Sierra Nanchititla, México. pp. 47-63</w:t>
      </w:r>
    </w:p>
    <w:p>
      <w:pPr>
        <w:pStyle w:val="BodyText"/>
        <w:spacing w:line="480" w:lineRule="auto" w:before="10"/>
        <w:ind w:left="1167" w:right="116" w:hanging="1066"/>
        <w:jc w:val="both"/>
      </w:pPr>
      <w:r>
        <w:rPr/>
        <w:t>Varma S., Pittet A. Jamadagni HS. 2006. Experimenting usage of camera-traps for population dynamics study of the Asian elephant Elephas maximus in southern India. Curr Sci 91:324–331.</w:t>
      </w:r>
    </w:p>
    <w:p>
      <w:pPr>
        <w:pStyle w:val="BodyText"/>
        <w:spacing w:line="480" w:lineRule="auto" w:before="10"/>
        <w:ind w:left="1167" w:right="114" w:hanging="1066"/>
        <w:jc w:val="both"/>
      </w:pPr>
      <w:r>
        <w:rPr/>
        <w:t>Zepeda, C., Monroy-Vilchis O. Velázquez-Montes E. Rodríguez-Soto C. 2008. Primer registro de </w:t>
      </w:r>
      <w:r>
        <w:rPr>
          <w:i/>
        </w:rPr>
        <w:t>Cyathea fulva </w:t>
      </w:r>
      <w:r>
        <w:rPr/>
        <w:t>(Cyatheaceae, Polypodiopsida) en el Estado de México. - Boletín de la Sociedad Botánica Mexicana 83:</w:t>
      </w:r>
      <w:r>
        <w:rPr>
          <w:spacing w:val="-11"/>
        </w:rPr>
        <w:t> </w:t>
      </w:r>
      <w:r>
        <w:rPr/>
        <w:t>93-96.</w:t>
      </w:r>
    </w:p>
    <w:p>
      <w:pPr>
        <w:spacing w:after="0" w:line="480" w:lineRule="auto"/>
        <w:jc w:val="both"/>
        <w:sectPr>
          <w:pgSz w:w="12240" w:h="15840"/>
          <w:pgMar w:header="740" w:footer="779" w:top="960" w:bottom="960" w:left="1600" w:right="1580"/>
        </w:sectPr>
      </w:pPr>
    </w:p>
    <w:p>
      <w:pPr>
        <w:pStyle w:val="BodyText"/>
        <w:rPr>
          <w:sz w:val="20"/>
        </w:rPr>
      </w:pPr>
    </w:p>
    <w:p>
      <w:pPr>
        <w:pStyle w:val="Heading1"/>
        <w:spacing w:before="192"/>
      </w:pPr>
      <w:bookmarkStart w:name="_bookmark43" w:id="51"/>
      <w:bookmarkEnd w:id="51"/>
      <w:r>
        <w:rPr>
          <w:b w:val="0"/>
        </w:rPr>
      </w:r>
      <w:r>
        <w:rPr/>
        <w:t>DISCUSIÓN GENERAL.</w:t>
      </w:r>
    </w:p>
    <w:p>
      <w:pPr>
        <w:pStyle w:val="BodyText"/>
        <w:rPr>
          <w:rFonts w:ascii="Palatino Linotype"/>
          <w:b/>
          <w:sz w:val="28"/>
        </w:rPr>
      </w:pPr>
    </w:p>
    <w:p>
      <w:pPr>
        <w:pStyle w:val="BodyText"/>
        <w:spacing w:line="508" w:lineRule="auto" w:before="196"/>
        <w:ind w:left="102" w:right="55" w:firstLine="707"/>
        <w:rPr>
          <w:rFonts w:ascii="Cambria" w:hAnsi="Cambria"/>
        </w:rPr>
      </w:pPr>
      <w:r>
        <w:rPr>
          <w:rFonts w:ascii="Cambria" w:hAnsi="Cambria"/>
          <w:w w:val="105"/>
        </w:rPr>
        <w:t>Los estudios de sobre de dinámica poblacional son escasos en México y pocos estudios, han tenido la oportunidad de analizar dinámicas poblacionales por muchos años. En este estudio se analizó la dinámica poblacional de puma y sus presas principales por cerca de 9 años de muestreo, lo cual arrojo resultados muy importantes para la conservación de estas especies. Las densidades de puma fue</w:t>
      </w:r>
    </w:p>
    <w:p>
      <w:pPr>
        <w:pStyle w:val="BodyText"/>
        <w:spacing w:line="508" w:lineRule="auto" w:before="1"/>
        <w:ind w:left="102" w:right="184"/>
        <w:rPr>
          <w:rFonts w:ascii="Cambria" w:hAnsi="Cambria"/>
        </w:rPr>
      </w:pPr>
      <w:r>
        <w:rPr>
          <w:rFonts w:ascii="Cambria" w:hAnsi="Cambria"/>
          <w:w w:val="105"/>
        </w:rPr>
        <w:t>2.7 a 6.8 individuos/100 km</w:t>
      </w:r>
      <w:r>
        <w:rPr>
          <w:rFonts w:ascii="Cambria" w:hAnsi="Cambria"/>
          <w:w w:val="105"/>
          <w:position w:val="6"/>
          <w:sz w:val="16"/>
        </w:rPr>
        <w:t>2</w:t>
      </w:r>
      <w:r>
        <w:rPr>
          <w:rFonts w:ascii="Cambria" w:hAnsi="Cambria"/>
          <w:w w:val="105"/>
        </w:rPr>
        <w:t>, y el método que mostro los mejores resultados de densidad fue el directo contrampas cámara, el muestreo indirecto del conteo de excrementos</w:t>
      </w:r>
      <w:r>
        <w:rPr>
          <w:rFonts w:ascii="Cambria" w:hAnsi="Cambria"/>
          <w:spacing w:val="-10"/>
          <w:w w:val="105"/>
        </w:rPr>
        <w:t> </w:t>
      </w:r>
      <w:r>
        <w:rPr>
          <w:rFonts w:ascii="Cambria" w:hAnsi="Cambria"/>
          <w:w w:val="105"/>
        </w:rPr>
        <w:t>no</w:t>
      </w:r>
      <w:r>
        <w:rPr>
          <w:rFonts w:ascii="Cambria" w:hAnsi="Cambria"/>
          <w:spacing w:val="-10"/>
          <w:w w:val="105"/>
        </w:rPr>
        <w:t> </w:t>
      </w:r>
      <w:r>
        <w:rPr>
          <w:rFonts w:ascii="Cambria" w:hAnsi="Cambria"/>
          <w:w w:val="105"/>
        </w:rPr>
        <w:t>mostró</w:t>
      </w:r>
      <w:r>
        <w:rPr>
          <w:rFonts w:ascii="Cambria" w:hAnsi="Cambria"/>
          <w:spacing w:val="-10"/>
          <w:w w:val="105"/>
        </w:rPr>
        <w:t> </w:t>
      </w:r>
      <w:r>
        <w:rPr>
          <w:rFonts w:ascii="Cambria" w:hAnsi="Cambria"/>
          <w:w w:val="105"/>
        </w:rPr>
        <w:t>buenos</w:t>
      </w:r>
      <w:r>
        <w:rPr>
          <w:rFonts w:ascii="Cambria" w:hAnsi="Cambria"/>
          <w:spacing w:val="-10"/>
          <w:w w:val="105"/>
        </w:rPr>
        <w:t> </w:t>
      </w:r>
      <w:r>
        <w:rPr>
          <w:rFonts w:ascii="Cambria" w:hAnsi="Cambria"/>
          <w:w w:val="105"/>
        </w:rPr>
        <w:t>resultados</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densidad.</w:t>
      </w:r>
      <w:r>
        <w:rPr>
          <w:rFonts w:ascii="Cambria" w:hAnsi="Cambria"/>
          <w:spacing w:val="-10"/>
          <w:w w:val="105"/>
        </w:rPr>
        <w:t> </w:t>
      </w:r>
      <w:r>
        <w:rPr>
          <w:rFonts w:ascii="Cambria" w:hAnsi="Cambria"/>
          <w:w w:val="105"/>
        </w:rPr>
        <w:t>Las</w:t>
      </w:r>
      <w:r>
        <w:rPr>
          <w:rFonts w:ascii="Cambria" w:hAnsi="Cambria"/>
          <w:spacing w:val="-11"/>
          <w:w w:val="105"/>
        </w:rPr>
        <w:t> </w:t>
      </w:r>
      <w:r>
        <w:rPr>
          <w:rFonts w:ascii="Cambria" w:hAnsi="Cambria"/>
          <w:w w:val="105"/>
        </w:rPr>
        <w:t>densidades</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venado del presente estudio de 0.8 a 3.1 (con un área de muestreo de 5.11 km</w:t>
      </w:r>
      <w:r>
        <w:rPr>
          <w:rFonts w:ascii="Cambria" w:hAnsi="Cambria"/>
          <w:w w:val="105"/>
          <w:position w:val="6"/>
          <w:sz w:val="16"/>
        </w:rPr>
        <w:t>2</w:t>
      </w:r>
      <w:r>
        <w:rPr>
          <w:rFonts w:ascii="Cambria" w:hAnsi="Cambria"/>
          <w:w w:val="105"/>
        </w:rPr>
        <w:t>), fueron similares a las obtenidas con trampas cámara en la Sierra de San Luis en Sonora (2.36, Lara- Díaz et al. 2011). Y fueron similares también a densidades obtenidas, con</w:t>
      </w:r>
      <w:r>
        <w:rPr>
          <w:rFonts w:ascii="Cambria" w:hAnsi="Cambria"/>
          <w:spacing w:val="-14"/>
          <w:w w:val="105"/>
        </w:rPr>
        <w:t> </w:t>
      </w:r>
      <w:r>
        <w:rPr>
          <w:rFonts w:ascii="Cambria" w:hAnsi="Cambria"/>
          <w:w w:val="105"/>
        </w:rPr>
        <w:t>métodos</w:t>
      </w:r>
      <w:r>
        <w:rPr>
          <w:rFonts w:ascii="Cambria" w:hAnsi="Cambria"/>
          <w:spacing w:val="-14"/>
          <w:w w:val="105"/>
        </w:rPr>
        <w:t> </w:t>
      </w:r>
      <w:r>
        <w:rPr>
          <w:rFonts w:ascii="Cambria" w:hAnsi="Cambria"/>
          <w:w w:val="105"/>
        </w:rPr>
        <w:t>indirectos</w:t>
      </w:r>
      <w:r>
        <w:rPr>
          <w:rFonts w:ascii="Cambria" w:hAnsi="Cambria"/>
          <w:spacing w:val="-14"/>
          <w:w w:val="105"/>
        </w:rPr>
        <w:t> </w:t>
      </w:r>
      <w:r>
        <w:rPr>
          <w:rFonts w:ascii="Cambria" w:hAnsi="Cambria"/>
          <w:w w:val="105"/>
        </w:rPr>
        <w:t>como</w:t>
      </w:r>
      <w:r>
        <w:rPr>
          <w:rFonts w:ascii="Cambria" w:hAnsi="Cambria"/>
          <w:spacing w:val="-14"/>
          <w:w w:val="105"/>
        </w:rPr>
        <w:t> </w:t>
      </w:r>
      <w:r>
        <w:rPr>
          <w:rFonts w:ascii="Cambria" w:hAnsi="Cambria"/>
          <w:w w:val="105"/>
        </w:rPr>
        <w:t>las</w:t>
      </w:r>
      <w:r>
        <w:rPr>
          <w:rFonts w:ascii="Cambria" w:hAnsi="Cambria"/>
          <w:spacing w:val="-14"/>
          <w:w w:val="105"/>
        </w:rPr>
        <w:t> </w:t>
      </w:r>
      <w:r>
        <w:rPr>
          <w:rFonts w:ascii="Cambria" w:hAnsi="Cambria"/>
          <w:w w:val="105"/>
        </w:rPr>
        <w:t>de</w:t>
      </w:r>
      <w:r>
        <w:rPr>
          <w:rFonts w:ascii="Cambria" w:hAnsi="Cambria"/>
          <w:spacing w:val="-14"/>
          <w:w w:val="105"/>
        </w:rPr>
        <w:t> </w:t>
      </w:r>
      <w:r>
        <w:rPr>
          <w:rFonts w:ascii="Cambria" w:hAnsi="Cambria"/>
          <w:w w:val="105"/>
        </w:rPr>
        <w:t>la</w:t>
      </w:r>
      <w:r>
        <w:rPr>
          <w:rFonts w:ascii="Cambria" w:hAnsi="Cambria"/>
          <w:spacing w:val="-14"/>
          <w:w w:val="105"/>
        </w:rPr>
        <w:t> </w:t>
      </w:r>
      <w:r>
        <w:rPr>
          <w:rFonts w:ascii="Cambria" w:hAnsi="Cambria"/>
          <w:w w:val="105"/>
        </w:rPr>
        <w:t>Sierra</w:t>
      </w:r>
      <w:r>
        <w:rPr>
          <w:rFonts w:ascii="Cambria" w:hAnsi="Cambria"/>
          <w:spacing w:val="-14"/>
          <w:w w:val="105"/>
        </w:rPr>
        <w:t> </w:t>
      </w:r>
      <w:r>
        <w:rPr>
          <w:rFonts w:ascii="Cambria" w:hAnsi="Cambria"/>
          <w:w w:val="105"/>
        </w:rPr>
        <w:t>Norte</w:t>
      </w:r>
      <w:r>
        <w:rPr>
          <w:rFonts w:ascii="Cambria" w:hAnsi="Cambria"/>
          <w:spacing w:val="-14"/>
          <w:w w:val="105"/>
        </w:rPr>
        <w:t> </w:t>
      </w:r>
      <w:r>
        <w:rPr>
          <w:rFonts w:ascii="Cambria" w:hAnsi="Cambria"/>
          <w:w w:val="105"/>
        </w:rPr>
        <w:t>de</w:t>
      </w:r>
      <w:r>
        <w:rPr>
          <w:rFonts w:ascii="Cambria" w:hAnsi="Cambria"/>
          <w:spacing w:val="-16"/>
          <w:w w:val="105"/>
        </w:rPr>
        <w:t> </w:t>
      </w:r>
      <w:r>
        <w:rPr>
          <w:rFonts w:ascii="Cambria" w:hAnsi="Cambria"/>
          <w:w w:val="105"/>
        </w:rPr>
        <w:t>Oaxaca</w:t>
      </w:r>
      <w:r>
        <w:rPr>
          <w:rFonts w:ascii="Cambria" w:hAnsi="Cambria"/>
          <w:spacing w:val="-14"/>
          <w:w w:val="105"/>
        </w:rPr>
        <w:t> </w:t>
      </w:r>
      <w:r>
        <w:rPr>
          <w:rFonts w:ascii="Cambria" w:hAnsi="Cambria"/>
          <w:w w:val="105"/>
        </w:rPr>
        <w:t>(2.68-3.09,</w:t>
      </w:r>
      <w:r>
        <w:rPr>
          <w:rFonts w:ascii="Cambria" w:hAnsi="Cambria"/>
          <w:spacing w:val="-14"/>
          <w:w w:val="105"/>
        </w:rPr>
        <w:t> </w:t>
      </w:r>
      <w:r>
        <w:rPr>
          <w:rFonts w:ascii="Cambria" w:hAnsi="Cambria"/>
          <w:w w:val="105"/>
        </w:rPr>
        <w:t>Briones- Salas</w:t>
      </w:r>
      <w:r>
        <w:rPr>
          <w:rFonts w:ascii="Cambria" w:hAnsi="Cambria"/>
          <w:spacing w:val="-10"/>
          <w:w w:val="105"/>
        </w:rPr>
        <w:t> </w:t>
      </w:r>
      <w:r>
        <w:rPr>
          <w:rFonts w:ascii="Cambria" w:hAnsi="Cambria"/>
          <w:w w:val="105"/>
        </w:rPr>
        <w:t>y</w:t>
      </w:r>
      <w:r>
        <w:rPr>
          <w:rFonts w:ascii="Cambria" w:hAnsi="Cambria"/>
          <w:spacing w:val="-9"/>
          <w:w w:val="105"/>
        </w:rPr>
        <w:t> </w:t>
      </w:r>
      <w:r>
        <w:rPr>
          <w:rFonts w:ascii="Cambria" w:hAnsi="Cambria"/>
          <w:w w:val="105"/>
        </w:rPr>
        <w:t>García</w:t>
      </w:r>
      <w:r>
        <w:rPr>
          <w:rFonts w:ascii="Cambria" w:hAnsi="Cambria"/>
          <w:spacing w:val="-9"/>
          <w:w w:val="105"/>
        </w:rPr>
        <w:t> </w:t>
      </w:r>
      <w:r>
        <w:rPr>
          <w:rFonts w:ascii="Cambria" w:hAnsi="Cambria"/>
          <w:w w:val="105"/>
        </w:rPr>
        <w:t>2005)</w:t>
      </w:r>
      <w:r>
        <w:rPr>
          <w:rFonts w:ascii="Cambria" w:hAnsi="Cambria"/>
          <w:spacing w:val="-10"/>
          <w:w w:val="105"/>
        </w:rPr>
        <w:t> </w:t>
      </w:r>
      <w:r>
        <w:rPr>
          <w:rFonts w:ascii="Cambria" w:hAnsi="Cambria"/>
          <w:w w:val="105"/>
        </w:rPr>
        <w:t>y</w:t>
      </w:r>
      <w:r>
        <w:rPr>
          <w:rFonts w:ascii="Cambria" w:hAnsi="Cambria"/>
          <w:spacing w:val="-9"/>
          <w:w w:val="105"/>
        </w:rPr>
        <w:t> </w:t>
      </w:r>
      <w:r>
        <w:rPr>
          <w:rFonts w:ascii="Cambria" w:hAnsi="Cambria"/>
          <w:w w:val="105"/>
        </w:rPr>
        <w:t>las</w:t>
      </w:r>
      <w:r>
        <w:rPr>
          <w:rFonts w:ascii="Cambria" w:hAnsi="Cambria"/>
          <w:spacing w:val="-10"/>
          <w:w w:val="105"/>
        </w:rPr>
        <w:t> </w:t>
      </w:r>
      <w:r>
        <w:rPr>
          <w:rFonts w:ascii="Cambria" w:hAnsi="Cambria"/>
          <w:w w:val="105"/>
        </w:rPr>
        <w:t>de</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Sierra</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Pachuca</w:t>
      </w:r>
      <w:r>
        <w:rPr>
          <w:rFonts w:ascii="Cambria" w:hAnsi="Cambria"/>
          <w:spacing w:val="-9"/>
          <w:w w:val="105"/>
        </w:rPr>
        <w:t> </w:t>
      </w:r>
      <w:r>
        <w:rPr>
          <w:rFonts w:ascii="Cambria" w:hAnsi="Cambria"/>
          <w:w w:val="105"/>
        </w:rPr>
        <w:t>en</w:t>
      </w:r>
      <w:r>
        <w:rPr>
          <w:rFonts w:ascii="Cambria" w:hAnsi="Cambria"/>
          <w:spacing w:val="-9"/>
          <w:w w:val="105"/>
        </w:rPr>
        <w:t> </w:t>
      </w:r>
      <w:r>
        <w:rPr>
          <w:rFonts w:ascii="Cambria" w:hAnsi="Cambria"/>
          <w:w w:val="105"/>
        </w:rPr>
        <w:t>Hidalgo</w:t>
      </w:r>
      <w:r>
        <w:rPr>
          <w:rFonts w:ascii="Cambria" w:hAnsi="Cambria"/>
          <w:spacing w:val="-9"/>
          <w:w w:val="105"/>
        </w:rPr>
        <w:t> </w:t>
      </w:r>
      <w:r>
        <w:rPr>
          <w:rFonts w:ascii="Cambria" w:hAnsi="Cambria"/>
          <w:w w:val="105"/>
        </w:rPr>
        <w:t>(2.1,</w:t>
      </w:r>
      <w:r>
        <w:rPr>
          <w:rFonts w:ascii="Cambria" w:hAnsi="Cambria"/>
          <w:spacing w:val="-9"/>
          <w:w w:val="105"/>
        </w:rPr>
        <w:t> </w:t>
      </w:r>
      <w:r>
        <w:rPr>
          <w:rFonts w:ascii="Cambria" w:hAnsi="Cambria"/>
          <w:w w:val="105"/>
        </w:rPr>
        <w:t>Sánchez-Rojas</w:t>
      </w:r>
      <w:r>
        <w:rPr>
          <w:rFonts w:ascii="Cambria" w:hAnsi="Cambria"/>
          <w:spacing w:val="-10"/>
          <w:w w:val="105"/>
        </w:rPr>
        <w:t> </w:t>
      </w:r>
      <w:r>
        <w:rPr>
          <w:rFonts w:ascii="Cambria" w:hAnsi="Cambria"/>
          <w:w w:val="105"/>
        </w:rPr>
        <w:t>et al. 2009). Sin embargo son más bajas que las obtenidas en el Bosque de la Primavera en Jalisco (5, Valenzuela 1994) y las de la Reserva de la Biósfera de la Michilía</w:t>
      </w:r>
      <w:r>
        <w:rPr>
          <w:rFonts w:ascii="Cambria" w:hAnsi="Cambria"/>
          <w:spacing w:val="-10"/>
          <w:w w:val="105"/>
        </w:rPr>
        <w:t> </w:t>
      </w:r>
      <w:r>
        <w:rPr>
          <w:rFonts w:ascii="Cambria" w:hAnsi="Cambria"/>
          <w:w w:val="105"/>
        </w:rPr>
        <w:t>en</w:t>
      </w:r>
      <w:r>
        <w:rPr>
          <w:rFonts w:ascii="Cambria" w:hAnsi="Cambria"/>
          <w:spacing w:val="-10"/>
          <w:w w:val="105"/>
        </w:rPr>
        <w:t> </w:t>
      </w:r>
      <w:r>
        <w:rPr>
          <w:rFonts w:ascii="Cambria" w:hAnsi="Cambria"/>
          <w:w w:val="105"/>
        </w:rPr>
        <w:t>Durango</w:t>
      </w:r>
      <w:r>
        <w:rPr>
          <w:rFonts w:ascii="Cambria" w:hAnsi="Cambria"/>
          <w:spacing w:val="-9"/>
          <w:w w:val="105"/>
        </w:rPr>
        <w:t> </w:t>
      </w:r>
      <w:r>
        <w:rPr>
          <w:rFonts w:ascii="Cambria" w:hAnsi="Cambria"/>
          <w:w w:val="105"/>
        </w:rPr>
        <w:t>(21,</w:t>
      </w:r>
      <w:r>
        <w:rPr>
          <w:rFonts w:ascii="Cambria" w:hAnsi="Cambria"/>
          <w:spacing w:val="-10"/>
          <w:w w:val="105"/>
        </w:rPr>
        <w:t> </w:t>
      </w:r>
      <w:r>
        <w:rPr>
          <w:rFonts w:ascii="Cambria" w:hAnsi="Cambria"/>
          <w:w w:val="105"/>
        </w:rPr>
        <w:t>Gallina</w:t>
      </w:r>
      <w:r>
        <w:rPr>
          <w:rFonts w:ascii="Cambria" w:hAnsi="Cambria"/>
          <w:spacing w:val="-10"/>
          <w:w w:val="105"/>
        </w:rPr>
        <w:t> </w:t>
      </w:r>
      <w:r>
        <w:rPr>
          <w:rFonts w:ascii="Cambria" w:hAnsi="Cambria"/>
          <w:w w:val="105"/>
        </w:rPr>
        <w:t>1994).</w:t>
      </w:r>
      <w:r>
        <w:rPr>
          <w:rFonts w:ascii="Cambria" w:hAnsi="Cambria"/>
          <w:spacing w:val="-9"/>
          <w:w w:val="105"/>
        </w:rPr>
        <w:t> </w:t>
      </w:r>
      <w:r>
        <w:rPr>
          <w:rFonts w:ascii="Cambria" w:hAnsi="Cambria"/>
          <w:w w:val="105"/>
        </w:rPr>
        <w:t>Sin</w:t>
      </w:r>
      <w:r>
        <w:rPr>
          <w:rFonts w:ascii="Cambria" w:hAnsi="Cambria"/>
          <w:spacing w:val="-11"/>
          <w:w w:val="105"/>
        </w:rPr>
        <w:t> </w:t>
      </w:r>
      <w:r>
        <w:rPr>
          <w:rFonts w:ascii="Cambria" w:hAnsi="Cambria"/>
          <w:w w:val="105"/>
        </w:rPr>
        <w:t>embargo</w:t>
      </w:r>
      <w:r>
        <w:rPr>
          <w:rFonts w:ascii="Cambria" w:hAnsi="Cambria"/>
          <w:spacing w:val="-10"/>
          <w:w w:val="105"/>
        </w:rPr>
        <w:t> </w:t>
      </w:r>
      <w:r>
        <w:rPr>
          <w:rFonts w:ascii="Cambria" w:hAnsi="Cambria"/>
          <w:w w:val="105"/>
        </w:rPr>
        <w:t>considerando</w:t>
      </w:r>
      <w:r>
        <w:rPr>
          <w:rFonts w:ascii="Cambria" w:hAnsi="Cambria"/>
          <w:spacing w:val="-12"/>
          <w:w w:val="105"/>
        </w:rPr>
        <w:t> </w:t>
      </w:r>
      <w:r>
        <w:rPr>
          <w:rFonts w:ascii="Cambria" w:hAnsi="Cambria"/>
          <w:w w:val="105"/>
        </w:rPr>
        <w:t>las</w:t>
      </w:r>
      <w:r>
        <w:rPr>
          <w:rFonts w:ascii="Cambria" w:hAnsi="Cambria"/>
          <w:spacing w:val="-11"/>
          <w:w w:val="105"/>
        </w:rPr>
        <w:t> </w:t>
      </w:r>
      <w:r>
        <w:rPr>
          <w:rFonts w:ascii="Cambria" w:hAnsi="Cambria"/>
          <w:w w:val="105"/>
        </w:rPr>
        <w:t>densidades de venado que se obtuvieron en la RNSN, durante la esta estación húmeda (6.3 individuals/km</w:t>
      </w:r>
      <w:r>
        <w:rPr>
          <w:rFonts w:ascii="Cambria" w:hAnsi="Cambria"/>
          <w:w w:val="105"/>
          <w:position w:val="6"/>
          <w:sz w:val="16"/>
        </w:rPr>
        <w:t>2</w:t>
      </w:r>
      <w:r>
        <w:rPr>
          <w:rFonts w:ascii="Cambria" w:hAnsi="Cambria"/>
          <w:spacing w:val="-5"/>
          <w:w w:val="105"/>
          <w:position w:val="6"/>
          <w:sz w:val="16"/>
        </w:rPr>
        <w:t> </w:t>
      </w:r>
      <w:r>
        <w:rPr>
          <w:rFonts w:ascii="Cambria" w:hAnsi="Cambria"/>
          <w:w w:val="105"/>
        </w:rPr>
        <w:t>en</w:t>
      </w:r>
      <w:r>
        <w:rPr>
          <w:rFonts w:ascii="Cambria" w:hAnsi="Cambria"/>
          <w:spacing w:val="-9"/>
          <w:w w:val="105"/>
        </w:rPr>
        <w:t> </w:t>
      </w:r>
      <w:r>
        <w:rPr>
          <w:rFonts w:ascii="Cambria" w:hAnsi="Cambria"/>
          <w:w w:val="105"/>
        </w:rPr>
        <w:t>un</w:t>
      </w:r>
      <w:r>
        <w:rPr>
          <w:rFonts w:ascii="Cambria" w:hAnsi="Cambria"/>
          <w:spacing w:val="-9"/>
          <w:w w:val="105"/>
        </w:rPr>
        <w:t> </w:t>
      </w:r>
      <w:r>
        <w:rPr>
          <w:rFonts w:ascii="Cambria" w:hAnsi="Cambria"/>
          <w:w w:val="105"/>
        </w:rPr>
        <w:t>área</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muestreo</w:t>
      </w:r>
      <w:r>
        <w:rPr>
          <w:rFonts w:ascii="Cambria" w:hAnsi="Cambria"/>
          <w:spacing w:val="-8"/>
          <w:w w:val="105"/>
        </w:rPr>
        <w:t> </w:t>
      </w:r>
      <w:r>
        <w:rPr>
          <w:rFonts w:ascii="Cambria" w:hAnsi="Cambria"/>
          <w:w w:val="105"/>
        </w:rPr>
        <w:t>do</w:t>
      </w:r>
      <w:r>
        <w:rPr>
          <w:rFonts w:ascii="Cambria" w:hAnsi="Cambria"/>
          <w:spacing w:val="-9"/>
          <w:w w:val="105"/>
        </w:rPr>
        <w:t> </w:t>
      </w:r>
      <w:r>
        <w:rPr>
          <w:rFonts w:ascii="Cambria" w:hAnsi="Cambria"/>
          <w:w w:val="105"/>
        </w:rPr>
        <w:t>1.6</w:t>
      </w:r>
      <w:r>
        <w:rPr>
          <w:rFonts w:ascii="Cambria" w:hAnsi="Cambria"/>
          <w:spacing w:val="-9"/>
          <w:w w:val="105"/>
        </w:rPr>
        <w:t> </w:t>
      </w:r>
      <w:r>
        <w:rPr>
          <w:rFonts w:ascii="Cambria" w:hAnsi="Cambria"/>
          <w:w w:val="105"/>
        </w:rPr>
        <w:t>km</w:t>
      </w:r>
      <w:r>
        <w:rPr>
          <w:rFonts w:ascii="Cambria" w:hAnsi="Cambria"/>
          <w:w w:val="105"/>
          <w:position w:val="6"/>
          <w:sz w:val="16"/>
        </w:rPr>
        <w:t>2</w:t>
      </w:r>
      <w:r>
        <w:rPr>
          <w:rFonts w:ascii="Cambria" w:hAnsi="Cambria"/>
          <w:w w:val="105"/>
        </w:rPr>
        <w:t>)</w:t>
      </w:r>
      <w:r>
        <w:rPr>
          <w:rFonts w:ascii="Cambria" w:hAnsi="Cambria"/>
          <w:spacing w:val="-10"/>
          <w:w w:val="105"/>
        </w:rPr>
        <w:t> </w:t>
      </w:r>
      <w:r>
        <w:rPr>
          <w:rFonts w:ascii="Cambria" w:hAnsi="Cambria"/>
          <w:w w:val="105"/>
        </w:rPr>
        <w:t>y</w:t>
      </w:r>
      <w:r>
        <w:rPr>
          <w:rFonts w:ascii="Cambria" w:hAnsi="Cambria"/>
          <w:spacing w:val="-9"/>
          <w:w w:val="105"/>
        </w:rPr>
        <w:t> </w:t>
      </w:r>
      <w:r>
        <w:rPr>
          <w:rFonts w:ascii="Cambria" w:hAnsi="Cambria"/>
          <w:w w:val="105"/>
        </w:rPr>
        <w:t>las</w:t>
      </w:r>
      <w:r>
        <w:rPr>
          <w:rFonts w:ascii="Cambria" w:hAnsi="Cambria"/>
          <w:spacing w:val="-10"/>
          <w:w w:val="105"/>
        </w:rPr>
        <w:t> </w:t>
      </w:r>
      <w:r>
        <w:rPr>
          <w:rFonts w:ascii="Cambria" w:hAnsi="Cambria"/>
          <w:w w:val="105"/>
        </w:rPr>
        <w:t>de</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estación</w:t>
      </w:r>
      <w:r>
        <w:rPr>
          <w:rFonts w:ascii="Cambria" w:hAnsi="Cambria"/>
          <w:spacing w:val="-9"/>
          <w:w w:val="105"/>
        </w:rPr>
        <w:t> </w:t>
      </w:r>
      <w:r>
        <w:rPr>
          <w:rFonts w:ascii="Cambria" w:hAnsi="Cambria"/>
          <w:w w:val="105"/>
        </w:rPr>
        <w:t>seca</w:t>
      </w:r>
      <w:r>
        <w:rPr>
          <w:rFonts w:ascii="Cambria" w:hAnsi="Cambria"/>
          <w:spacing w:val="-9"/>
          <w:w w:val="105"/>
        </w:rPr>
        <w:t> </w:t>
      </w:r>
      <w:r>
        <w:rPr>
          <w:rFonts w:ascii="Cambria" w:hAnsi="Cambria"/>
          <w:w w:val="105"/>
        </w:rPr>
        <w:t>(3.1</w:t>
      </w:r>
      <w:r>
        <w:rPr>
          <w:rFonts w:ascii="Cambria" w:hAnsi="Cambria"/>
          <w:spacing w:val="-9"/>
          <w:w w:val="105"/>
        </w:rPr>
        <w:t> </w:t>
      </w:r>
      <w:r>
        <w:rPr>
          <w:rFonts w:ascii="Cambria" w:hAnsi="Cambria"/>
          <w:w w:val="105"/>
        </w:rPr>
        <w:t>a 12 en un área de muestreo de 1.29 km</w:t>
      </w:r>
      <w:r>
        <w:rPr>
          <w:rFonts w:ascii="Cambria" w:hAnsi="Cambria"/>
          <w:w w:val="105"/>
          <w:position w:val="6"/>
          <w:sz w:val="16"/>
        </w:rPr>
        <w:t>2</w:t>
      </w:r>
      <w:r>
        <w:rPr>
          <w:rFonts w:ascii="Cambria" w:hAnsi="Cambria"/>
          <w:w w:val="105"/>
        </w:rPr>
        <w:t>), son densidades más altas que las de los estudios</w:t>
      </w:r>
      <w:r>
        <w:rPr>
          <w:rFonts w:ascii="Cambria" w:hAnsi="Cambria"/>
          <w:spacing w:val="-11"/>
          <w:w w:val="105"/>
        </w:rPr>
        <w:t> </w:t>
      </w:r>
      <w:r>
        <w:rPr>
          <w:rFonts w:ascii="Cambria" w:hAnsi="Cambria"/>
          <w:w w:val="105"/>
        </w:rPr>
        <w:t>citados</w:t>
      </w:r>
      <w:r>
        <w:rPr>
          <w:rFonts w:ascii="Cambria" w:hAnsi="Cambria"/>
          <w:spacing w:val="-11"/>
          <w:w w:val="105"/>
        </w:rPr>
        <w:t> </w:t>
      </w:r>
      <w:r>
        <w:rPr>
          <w:rFonts w:ascii="Cambria" w:hAnsi="Cambria"/>
          <w:w w:val="105"/>
        </w:rPr>
        <w:t>anteriormente</w:t>
      </w:r>
      <w:r>
        <w:rPr>
          <w:rFonts w:ascii="Cambria" w:hAnsi="Cambria"/>
          <w:spacing w:val="-11"/>
          <w:w w:val="105"/>
        </w:rPr>
        <w:t> </w:t>
      </w:r>
      <w:r>
        <w:rPr>
          <w:rFonts w:ascii="Cambria" w:hAnsi="Cambria"/>
          <w:w w:val="105"/>
        </w:rPr>
        <w:t>a</w:t>
      </w:r>
      <w:r>
        <w:rPr>
          <w:rFonts w:ascii="Cambria" w:hAnsi="Cambria"/>
          <w:spacing w:val="-11"/>
          <w:w w:val="105"/>
        </w:rPr>
        <w:t> </w:t>
      </w:r>
      <w:r>
        <w:rPr>
          <w:rFonts w:ascii="Cambria" w:hAnsi="Cambria"/>
          <w:w w:val="105"/>
        </w:rPr>
        <w:t>excepción</w:t>
      </w:r>
      <w:r>
        <w:rPr>
          <w:rFonts w:ascii="Cambria" w:hAnsi="Cambria"/>
          <w:spacing w:val="-11"/>
          <w:w w:val="105"/>
        </w:rPr>
        <w:t> </w:t>
      </w:r>
      <w:r>
        <w:rPr>
          <w:rFonts w:ascii="Cambria" w:hAnsi="Cambria"/>
          <w:w w:val="105"/>
        </w:rPr>
        <w:t>de</w:t>
      </w:r>
      <w:r>
        <w:rPr>
          <w:rFonts w:ascii="Cambria" w:hAnsi="Cambria"/>
          <w:spacing w:val="-11"/>
          <w:w w:val="105"/>
        </w:rPr>
        <w:t> </w:t>
      </w:r>
      <w:r>
        <w:rPr>
          <w:rFonts w:ascii="Cambria" w:hAnsi="Cambria"/>
          <w:w w:val="105"/>
        </w:rPr>
        <w:t>las</w:t>
      </w:r>
      <w:r>
        <w:rPr>
          <w:rFonts w:ascii="Cambria" w:hAnsi="Cambria"/>
          <w:spacing w:val="-12"/>
          <w:w w:val="105"/>
        </w:rPr>
        <w:t> </w:t>
      </w:r>
      <w:r>
        <w:rPr>
          <w:rFonts w:ascii="Cambria" w:hAnsi="Cambria"/>
          <w:w w:val="105"/>
        </w:rPr>
        <w:t>densidades</w:t>
      </w:r>
      <w:r>
        <w:rPr>
          <w:rFonts w:ascii="Cambria" w:hAnsi="Cambria"/>
          <w:spacing w:val="-12"/>
          <w:w w:val="105"/>
        </w:rPr>
        <w:t> </w:t>
      </w:r>
      <w:r>
        <w:rPr>
          <w:rFonts w:ascii="Cambria" w:hAnsi="Cambria"/>
          <w:w w:val="105"/>
        </w:rPr>
        <w:t>de</w:t>
      </w:r>
      <w:r>
        <w:rPr>
          <w:rFonts w:ascii="Cambria" w:hAnsi="Cambria"/>
          <w:spacing w:val="-11"/>
          <w:w w:val="105"/>
        </w:rPr>
        <w:t> </w:t>
      </w:r>
      <w:r>
        <w:rPr>
          <w:rFonts w:ascii="Cambria" w:hAnsi="Cambria"/>
          <w:w w:val="105"/>
        </w:rPr>
        <w:t>la</w:t>
      </w:r>
      <w:r>
        <w:rPr>
          <w:rFonts w:ascii="Cambria" w:hAnsi="Cambria"/>
          <w:spacing w:val="-10"/>
          <w:w w:val="105"/>
        </w:rPr>
        <w:t> </w:t>
      </w:r>
      <w:r>
        <w:rPr>
          <w:rFonts w:ascii="Cambria" w:hAnsi="Cambria"/>
          <w:w w:val="105"/>
        </w:rPr>
        <w:t>Reserva</w:t>
      </w:r>
      <w:r>
        <w:rPr>
          <w:rFonts w:ascii="Cambria" w:hAnsi="Cambria"/>
          <w:spacing w:val="-11"/>
          <w:w w:val="105"/>
        </w:rPr>
        <w:t> </w:t>
      </w:r>
      <w:r>
        <w:rPr>
          <w:rFonts w:ascii="Cambria" w:hAnsi="Cambria"/>
          <w:w w:val="105"/>
        </w:rPr>
        <w:t>de</w:t>
      </w:r>
      <w:r>
        <w:rPr>
          <w:rFonts w:ascii="Cambria" w:hAnsi="Cambria"/>
          <w:spacing w:val="-11"/>
          <w:w w:val="105"/>
        </w:rPr>
        <w:t> </w:t>
      </w:r>
      <w:r>
        <w:rPr>
          <w:rFonts w:ascii="Cambria" w:hAnsi="Cambria"/>
          <w:w w:val="105"/>
        </w:rPr>
        <w:t>la</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338"/>
        <w:rPr>
          <w:rFonts w:ascii="Cambria" w:hAnsi="Cambria"/>
        </w:rPr>
      </w:pPr>
      <w:r>
        <w:rPr>
          <w:rFonts w:ascii="Cambria" w:hAnsi="Cambria"/>
        </w:rPr>
        <w:t>Michilía en Durango. Y por otro lado, los patrones diurnos de actividad de venado mostraron que probablemente esta puede ser una estrategia antagónica para evitar ser depredado por el puma, ya que este depredador, presento actividad nocturna y crepuscular en la RNSN. la presencia de crías de venado y las densidades de este estudio mostraron que probablemente la población de venados en la RNSN es reproductiva  y  saludable.</w:t>
      </w:r>
    </w:p>
    <w:p>
      <w:pPr>
        <w:pStyle w:val="BodyText"/>
        <w:spacing w:line="508" w:lineRule="auto" w:before="1"/>
        <w:ind w:left="102" w:right="90" w:firstLine="707"/>
        <w:rPr>
          <w:rFonts w:ascii="Cambria" w:hAnsi="Cambria"/>
        </w:rPr>
      </w:pPr>
      <w:r>
        <w:rPr>
          <w:rFonts w:ascii="Cambria" w:hAnsi="Cambria"/>
          <w:w w:val="105"/>
        </w:rPr>
        <w:t>La tasa de consumo del puma mostro una respuesta funcional significativa tipo III en relación al índice de abundancia relativa (IAR) de su presa principal el armadillo,</w:t>
      </w:r>
      <w:r>
        <w:rPr>
          <w:rFonts w:ascii="Cambria" w:hAnsi="Cambria"/>
          <w:spacing w:val="-9"/>
          <w:w w:val="105"/>
        </w:rPr>
        <w:t> </w:t>
      </w:r>
      <w:r>
        <w:rPr>
          <w:rFonts w:ascii="Cambria" w:hAnsi="Cambria"/>
          <w:w w:val="105"/>
        </w:rPr>
        <w:t>pero</w:t>
      </w:r>
      <w:r>
        <w:rPr>
          <w:rFonts w:ascii="Cambria" w:hAnsi="Cambria"/>
          <w:spacing w:val="-9"/>
          <w:w w:val="105"/>
        </w:rPr>
        <w:t> </w:t>
      </w:r>
      <w:r>
        <w:rPr>
          <w:rFonts w:ascii="Cambria" w:hAnsi="Cambria"/>
          <w:w w:val="105"/>
        </w:rPr>
        <w:t>no</w:t>
      </w:r>
      <w:r>
        <w:rPr>
          <w:rFonts w:ascii="Cambria" w:hAnsi="Cambria"/>
          <w:spacing w:val="-9"/>
          <w:w w:val="105"/>
        </w:rPr>
        <w:t> </w:t>
      </w:r>
      <w:r>
        <w:rPr>
          <w:rFonts w:ascii="Cambria" w:hAnsi="Cambria"/>
          <w:w w:val="105"/>
        </w:rPr>
        <w:t>fue</w:t>
      </w:r>
      <w:r>
        <w:rPr>
          <w:rFonts w:ascii="Cambria" w:hAnsi="Cambria"/>
          <w:spacing w:val="-10"/>
          <w:w w:val="105"/>
        </w:rPr>
        <w:t> </w:t>
      </w:r>
      <w:r>
        <w:rPr>
          <w:rFonts w:ascii="Cambria" w:hAnsi="Cambria"/>
          <w:w w:val="105"/>
        </w:rPr>
        <w:t>así</w:t>
      </w:r>
      <w:r>
        <w:rPr>
          <w:rFonts w:ascii="Cambria" w:hAnsi="Cambria"/>
          <w:spacing w:val="-9"/>
          <w:w w:val="105"/>
        </w:rPr>
        <w:t> </w:t>
      </w:r>
      <w:r>
        <w:rPr>
          <w:rFonts w:ascii="Cambria" w:hAnsi="Cambria"/>
          <w:w w:val="105"/>
        </w:rPr>
        <w:t>para</w:t>
      </w:r>
      <w:r>
        <w:rPr>
          <w:rFonts w:ascii="Cambria" w:hAnsi="Cambria"/>
          <w:spacing w:val="-9"/>
          <w:w w:val="105"/>
        </w:rPr>
        <w:t> </w:t>
      </w:r>
      <w:r>
        <w:rPr>
          <w:rFonts w:ascii="Cambria" w:hAnsi="Cambria"/>
          <w:w w:val="105"/>
        </w:rPr>
        <w:t>las</w:t>
      </w:r>
      <w:r>
        <w:rPr>
          <w:rFonts w:ascii="Cambria" w:hAnsi="Cambria"/>
          <w:spacing w:val="-10"/>
          <w:w w:val="105"/>
        </w:rPr>
        <w:t> </w:t>
      </w:r>
      <w:r>
        <w:rPr>
          <w:rFonts w:ascii="Cambria" w:hAnsi="Cambria"/>
          <w:w w:val="105"/>
        </w:rPr>
        <w:t>otras</w:t>
      </w:r>
      <w:r>
        <w:rPr>
          <w:rFonts w:ascii="Cambria" w:hAnsi="Cambria"/>
          <w:spacing w:val="-10"/>
          <w:w w:val="105"/>
        </w:rPr>
        <w:t> </w:t>
      </w:r>
      <w:r>
        <w:rPr>
          <w:rFonts w:ascii="Cambria" w:hAnsi="Cambria"/>
          <w:w w:val="105"/>
        </w:rPr>
        <w:t>dos</w:t>
      </w:r>
      <w:r>
        <w:rPr>
          <w:rFonts w:ascii="Cambria" w:hAnsi="Cambria"/>
          <w:spacing w:val="-9"/>
          <w:w w:val="105"/>
        </w:rPr>
        <w:t> </w:t>
      </w:r>
      <w:r>
        <w:rPr>
          <w:rFonts w:ascii="Cambria" w:hAnsi="Cambria"/>
          <w:w w:val="105"/>
        </w:rPr>
        <w:t>presas</w:t>
      </w:r>
      <w:r>
        <w:rPr>
          <w:rFonts w:ascii="Cambria" w:hAnsi="Cambria"/>
          <w:spacing w:val="-10"/>
          <w:w w:val="105"/>
        </w:rPr>
        <w:t> </w:t>
      </w:r>
      <w:r>
        <w:rPr>
          <w:rFonts w:ascii="Cambria" w:hAnsi="Cambria"/>
          <w:w w:val="105"/>
        </w:rPr>
        <w:t>(coatí</w:t>
      </w:r>
      <w:r>
        <w:rPr>
          <w:rFonts w:ascii="Cambria" w:hAnsi="Cambria"/>
          <w:spacing w:val="-6"/>
          <w:w w:val="105"/>
        </w:rPr>
        <w:t> </w:t>
      </w:r>
      <w:r>
        <w:rPr>
          <w:rFonts w:ascii="Cambria" w:hAnsi="Cambria"/>
          <w:w w:val="105"/>
        </w:rPr>
        <w:t>y</w:t>
      </w:r>
      <w:r>
        <w:rPr>
          <w:rFonts w:ascii="Cambria" w:hAnsi="Cambria"/>
          <w:spacing w:val="-9"/>
          <w:w w:val="105"/>
        </w:rPr>
        <w:t> </w:t>
      </w:r>
      <w:r>
        <w:rPr>
          <w:rFonts w:ascii="Cambria" w:hAnsi="Cambria"/>
          <w:w w:val="105"/>
        </w:rPr>
        <w:t>venado),</w:t>
      </w:r>
      <w:r>
        <w:rPr>
          <w:rFonts w:ascii="Cambria" w:hAnsi="Cambria"/>
          <w:spacing w:val="-10"/>
          <w:w w:val="105"/>
        </w:rPr>
        <w:t> </w:t>
      </w:r>
      <w:r>
        <w:rPr>
          <w:rFonts w:ascii="Cambria" w:hAnsi="Cambria"/>
          <w:w w:val="105"/>
        </w:rPr>
        <w:t>este</w:t>
      </w:r>
      <w:r>
        <w:rPr>
          <w:rFonts w:ascii="Cambria" w:hAnsi="Cambria"/>
          <w:spacing w:val="-9"/>
          <w:w w:val="105"/>
        </w:rPr>
        <w:t> </w:t>
      </w:r>
      <w:r>
        <w:rPr>
          <w:rFonts w:ascii="Cambria" w:hAnsi="Cambria"/>
          <w:w w:val="105"/>
        </w:rPr>
        <w:t>resultado indica que cuando la abundancia de armadillo disminuye, el puma tiene la opción de consumir una presa alternativa, pero a densidades intermedias de armadillo, la tasa</w:t>
      </w:r>
      <w:r>
        <w:rPr>
          <w:rFonts w:ascii="Cambria" w:hAnsi="Cambria"/>
          <w:spacing w:val="-8"/>
          <w:w w:val="105"/>
        </w:rPr>
        <w:t> </w:t>
      </w:r>
      <w:r>
        <w:rPr>
          <w:rFonts w:ascii="Cambria" w:hAnsi="Cambria"/>
          <w:w w:val="105"/>
        </w:rPr>
        <w:t>de</w:t>
      </w:r>
      <w:r>
        <w:rPr>
          <w:rFonts w:ascii="Cambria" w:hAnsi="Cambria"/>
          <w:spacing w:val="-8"/>
          <w:w w:val="105"/>
        </w:rPr>
        <w:t> </w:t>
      </w:r>
      <w:r>
        <w:rPr>
          <w:rFonts w:ascii="Cambria" w:hAnsi="Cambria"/>
          <w:w w:val="105"/>
        </w:rPr>
        <w:t>consumo</w:t>
      </w:r>
      <w:r>
        <w:rPr>
          <w:rFonts w:ascii="Cambria" w:hAnsi="Cambria"/>
          <w:spacing w:val="-8"/>
          <w:w w:val="105"/>
        </w:rPr>
        <w:t> </w:t>
      </w:r>
      <w:r>
        <w:rPr>
          <w:rFonts w:ascii="Cambria" w:hAnsi="Cambria"/>
          <w:w w:val="105"/>
        </w:rPr>
        <w:t>del</w:t>
      </w:r>
      <w:r>
        <w:rPr>
          <w:rFonts w:ascii="Cambria" w:hAnsi="Cambria"/>
          <w:spacing w:val="-8"/>
          <w:w w:val="105"/>
        </w:rPr>
        <w:t> </w:t>
      </w:r>
      <w:r>
        <w:rPr>
          <w:rFonts w:ascii="Cambria" w:hAnsi="Cambria"/>
          <w:w w:val="105"/>
        </w:rPr>
        <w:t>armadillo</w:t>
      </w:r>
      <w:r>
        <w:rPr>
          <w:rFonts w:ascii="Cambria" w:hAnsi="Cambria"/>
          <w:spacing w:val="-8"/>
          <w:w w:val="105"/>
        </w:rPr>
        <w:t> </w:t>
      </w:r>
      <w:r>
        <w:rPr>
          <w:rFonts w:ascii="Cambria" w:hAnsi="Cambria"/>
          <w:w w:val="105"/>
        </w:rPr>
        <w:t>también</w:t>
      </w:r>
      <w:r>
        <w:rPr>
          <w:rFonts w:ascii="Cambria" w:hAnsi="Cambria"/>
          <w:spacing w:val="-8"/>
          <w:w w:val="105"/>
        </w:rPr>
        <w:t> </w:t>
      </w:r>
      <w:r>
        <w:rPr>
          <w:rFonts w:ascii="Cambria" w:hAnsi="Cambria"/>
          <w:w w:val="105"/>
        </w:rPr>
        <w:t>aumenta.</w:t>
      </w:r>
      <w:r>
        <w:rPr>
          <w:rFonts w:ascii="Cambria" w:hAnsi="Cambria"/>
          <w:spacing w:val="-8"/>
          <w:w w:val="105"/>
        </w:rPr>
        <w:t> </w:t>
      </w:r>
      <w:r>
        <w:rPr>
          <w:rFonts w:ascii="Cambria" w:hAnsi="Cambria"/>
          <w:w w:val="105"/>
        </w:rPr>
        <w:t>La</w:t>
      </w:r>
      <w:r>
        <w:rPr>
          <w:rFonts w:ascii="Cambria" w:hAnsi="Cambria"/>
          <w:spacing w:val="-8"/>
          <w:w w:val="105"/>
        </w:rPr>
        <w:t> </w:t>
      </w:r>
      <w:r>
        <w:rPr>
          <w:rFonts w:ascii="Cambria" w:hAnsi="Cambria"/>
          <w:w w:val="105"/>
        </w:rPr>
        <w:t>importancia</w:t>
      </w:r>
      <w:r>
        <w:rPr>
          <w:rFonts w:ascii="Cambria" w:hAnsi="Cambria"/>
          <w:spacing w:val="-8"/>
          <w:w w:val="105"/>
        </w:rPr>
        <w:t> </w:t>
      </w:r>
      <w:r>
        <w:rPr>
          <w:rFonts w:ascii="Cambria" w:hAnsi="Cambria"/>
          <w:w w:val="105"/>
        </w:rPr>
        <w:t>de</w:t>
      </w:r>
      <w:r>
        <w:rPr>
          <w:rFonts w:ascii="Cambria" w:hAnsi="Cambria"/>
          <w:spacing w:val="-8"/>
          <w:w w:val="105"/>
        </w:rPr>
        <w:t> </w:t>
      </w:r>
      <w:r>
        <w:rPr>
          <w:rFonts w:ascii="Cambria" w:hAnsi="Cambria"/>
          <w:w w:val="105"/>
        </w:rPr>
        <w:t>las</w:t>
      </w:r>
      <w:r>
        <w:rPr>
          <w:rFonts w:ascii="Cambria" w:hAnsi="Cambria"/>
          <w:spacing w:val="-6"/>
          <w:w w:val="105"/>
        </w:rPr>
        <w:t> </w:t>
      </w:r>
      <w:r>
        <w:rPr>
          <w:rFonts w:ascii="Cambria" w:hAnsi="Cambria"/>
          <w:w w:val="105"/>
        </w:rPr>
        <w:t>respuestas funcionales</w:t>
      </w:r>
      <w:r>
        <w:rPr>
          <w:rFonts w:ascii="Cambria" w:hAnsi="Cambria"/>
          <w:spacing w:val="-15"/>
          <w:w w:val="105"/>
        </w:rPr>
        <w:t> </w:t>
      </w:r>
      <w:r>
        <w:rPr>
          <w:rFonts w:ascii="Cambria" w:hAnsi="Cambria"/>
          <w:w w:val="105"/>
        </w:rPr>
        <w:t>tipo</w:t>
      </w:r>
      <w:r>
        <w:rPr>
          <w:rFonts w:ascii="Cambria" w:hAnsi="Cambria"/>
          <w:spacing w:val="-14"/>
          <w:w w:val="105"/>
        </w:rPr>
        <w:t> </w:t>
      </w:r>
      <w:r>
        <w:rPr>
          <w:rFonts w:ascii="Cambria" w:hAnsi="Cambria"/>
          <w:w w:val="105"/>
        </w:rPr>
        <w:t>III</w:t>
      </w:r>
      <w:r>
        <w:rPr>
          <w:rFonts w:ascii="Cambria" w:hAnsi="Cambria"/>
          <w:spacing w:val="-13"/>
          <w:w w:val="105"/>
        </w:rPr>
        <w:t> </w:t>
      </w:r>
      <w:r>
        <w:rPr>
          <w:rFonts w:ascii="Cambria" w:hAnsi="Cambria"/>
          <w:w w:val="105"/>
        </w:rPr>
        <w:t>que</w:t>
      </w:r>
      <w:r>
        <w:rPr>
          <w:rFonts w:ascii="Cambria" w:hAnsi="Cambria"/>
          <w:spacing w:val="-14"/>
          <w:w w:val="105"/>
        </w:rPr>
        <w:t> </w:t>
      </w:r>
      <w:r>
        <w:rPr>
          <w:rFonts w:ascii="Cambria" w:hAnsi="Cambria"/>
          <w:w w:val="105"/>
        </w:rPr>
        <w:t>se</w:t>
      </w:r>
      <w:r>
        <w:rPr>
          <w:rFonts w:ascii="Cambria" w:hAnsi="Cambria"/>
          <w:spacing w:val="-14"/>
          <w:w w:val="105"/>
        </w:rPr>
        <w:t> </w:t>
      </w:r>
      <w:r>
        <w:rPr>
          <w:rFonts w:ascii="Cambria" w:hAnsi="Cambria"/>
          <w:w w:val="105"/>
        </w:rPr>
        <w:t>encuentra</w:t>
      </w:r>
      <w:r>
        <w:rPr>
          <w:rFonts w:ascii="Cambria" w:hAnsi="Cambria"/>
          <w:spacing w:val="-14"/>
          <w:w w:val="105"/>
        </w:rPr>
        <w:t> </w:t>
      </w:r>
      <w:r>
        <w:rPr>
          <w:rFonts w:ascii="Cambria" w:hAnsi="Cambria"/>
          <w:w w:val="105"/>
        </w:rPr>
        <w:t>en</w:t>
      </w:r>
      <w:r>
        <w:rPr>
          <w:rFonts w:ascii="Cambria" w:hAnsi="Cambria"/>
          <w:spacing w:val="-14"/>
          <w:w w:val="105"/>
        </w:rPr>
        <w:t> </w:t>
      </w:r>
      <w:r>
        <w:rPr>
          <w:rFonts w:ascii="Cambria" w:hAnsi="Cambria"/>
          <w:w w:val="105"/>
        </w:rPr>
        <w:t>depredadores</w:t>
      </w:r>
      <w:r>
        <w:rPr>
          <w:rFonts w:ascii="Cambria" w:hAnsi="Cambria"/>
          <w:spacing w:val="-14"/>
          <w:w w:val="105"/>
        </w:rPr>
        <w:t> </w:t>
      </w:r>
      <w:r>
        <w:rPr>
          <w:rFonts w:ascii="Cambria" w:hAnsi="Cambria"/>
          <w:w w:val="105"/>
        </w:rPr>
        <w:t>generalistas</w:t>
      </w:r>
      <w:r>
        <w:rPr>
          <w:rFonts w:ascii="Cambria" w:hAnsi="Cambria"/>
          <w:spacing w:val="-17"/>
          <w:w w:val="105"/>
        </w:rPr>
        <w:t> </w:t>
      </w:r>
      <w:r>
        <w:rPr>
          <w:rFonts w:ascii="Cambria" w:hAnsi="Cambria"/>
          <w:w w:val="105"/>
        </w:rPr>
        <w:t>o</w:t>
      </w:r>
      <w:r>
        <w:rPr>
          <w:rFonts w:ascii="Cambria" w:hAnsi="Cambria"/>
          <w:spacing w:val="-14"/>
          <w:w w:val="105"/>
        </w:rPr>
        <w:t> </w:t>
      </w:r>
      <w:r>
        <w:rPr>
          <w:rFonts w:ascii="Cambria" w:hAnsi="Cambria"/>
          <w:w w:val="105"/>
        </w:rPr>
        <w:t>facultativos,</w:t>
      </w:r>
      <w:r>
        <w:rPr>
          <w:rFonts w:ascii="Cambria" w:hAnsi="Cambria"/>
          <w:spacing w:val="-14"/>
          <w:w w:val="105"/>
        </w:rPr>
        <w:t> </w:t>
      </w:r>
      <w:r>
        <w:rPr>
          <w:rFonts w:ascii="Cambria" w:hAnsi="Cambria"/>
          <w:w w:val="105"/>
        </w:rPr>
        <w:t>es que pueden consumir otra presa, cuando su presa principal está en bajas abundancias</w:t>
      </w:r>
      <w:r>
        <w:rPr>
          <w:rFonts w:ascii="Cambria" w:hAnsi="Cambria"/>
          <w:spacing w:val="-14"/>
          <w:w w:val="105"/>
        </w:rPr>
        <w:t> </w:t>
      </w:r>
      <w:r>
        <w:rPr>
          <w:rFonts w:ascii="Cambria" w:hAnsi="Cambria"/>
          <w:w w:val="105"/>
        </w:rPr>
        <w:t>(Keith</w:t>
      </w:r>
      <w:r>
        <w:rPr>
          <w:rFonts w:ascii="Cambria" w:hAnsi="Cambria"/>
          <w:spacing w:val="-13"/>
          <w:w w:val="105"/>
        </w:rPr>
        <w:t> </w:t>
      </w:r>
      <w:r>
        <w:rPr>
          <w:rFonts w:ascii="Cambria" w:hAnsi="Cambria"/>
          <w:w w:val="105"/>
        </w:rPr>
        <w:t>et</w:t>
      </w:r>
      <w:r>
        <w:rPr>
          <w:rFonts w:ascii="Cambria" w:hAnsi="Cambria"/>
          <w:spacing w:val="-13"/>
          <w:w w:val="105"/>
        </w:rPr>
        <w:t> </w:t>
      </w:r>
      <w:r>
        <w:rPr>
          <w:rFonts w:ascii="Cambria" w:hAnsi="Cambria"/>
          <w:w w:val="105"/>
        </w:rPr>
        <w:t>al.</w:t>
      </w:r>
      <w:r>
        <w:rPr>
          <w:rFonts w:ascii="Cambria" w:hAnsi="Cambria"/>
          <w:spacing w:val="-13"/>
          <w:w w:val="105"/>
        </w:rPr>
        <w:t> </w:t>
      </w:r>
      <w:r>
        <w:rPr>
          <w:rFonts w:ascii="Cambria" w:hAnsi="Cambria"/>
          <w:w w:val="105"/>
        </w:rPr>
        <w:t>1977,</w:t>
      </w:r>
      <w:r>
        <w:rPr>
          <w:rFonts w:ascii="Cambria" w:hAnsi="Cambria"/>
          <w:spacing w:val="-13"/>
          <w:w w:val="105"/>
        </w:rPr>
        <w:t> </w:t>
      </w:r>
      <w:r>
        <w:rPr>
          <w:rFonts w:ascii="Cambria" w:hAnsi="Cambria"/>
          <w:w w:val="105"/>
        </w:rPr>
        <w:t>Ferreras</w:t>
      </w:r>
      <w:r>
        <w:rPr>
          <w:rFonts w:ascii="Cambria" w:hAnsi="Cambria"/>
          <w:spacing w:val="-14"/>
          <w:w w:val="105"/>
        </w:rPr>
        <w:t> </w:t>
      </w:r>
      <w:r>
        <w:rPr>
          <w:rFonts w:ascii="Cambria" w:hAnsi="Cambria"/>
          <w:w w:val="105"/>
        </w:rPr>
        <w:t>et</w:t>
      </w:r>
      <w:r>
        <w:rPr>
          <w:rFonts w:ascii="Cambria" w:hAnsi="Cambria"/>
          <w:spacing w:val="-13"/>
          <w:w w:val="105"/>
        </w:rPr>
        <w:t> </w:t>
      </w:r>
      <w:r>
        <w:rPr>
          <w:rFonts w:ascii="Cambria" w:hAnsi="Cambria"/>
          <w:w w:val="105"/>
        </w:rPr>
        <w:t>al.</w:t>
      </w:r>
      <w:r>
        <w:rPr>
          <w:rFonts w:ascii="Cambria" w:hAnsi="Cambria"/>
          <w:spacing w:val="-16"/>
          <w:w w:val="105"/>
        </w:rPr>
        <w:t> </w:t>
      </w:r>
      <w:r>
        <w:rPr>
          <w:rFonts w:ascii="Cambria" w:hAnsi="Cambria"/>
          <w:w w:val="105"/>
        </w:rPr>
        <w:t>2011).</w:t>
      </w:r>
      <w:r>
        <w:rPr>
          <w:rFonts w:ascii="Cambria" w:hAnsi="Cambria"/>
          <w:spacing w:val="-13"/>
          <w:w w:val="105"/>
        </w:rPr>
        <w:t> </w:t>
      </w:r>
      <w:r>
        <w:rPr>
          <w:rFonts w:ascii="Cambria" w:hAnsi="Cambria"/>
          <w:w w:val="105"/>
        </w:rPr>
        <w:t>En</w:t>
      </w:r>
      <w:r>
        <w:rPr>
          <w:rFonts w:ascii="Cambria" w:hAnsi="Cambria"/>
          <w:spacing w:val="-14"/>
          <w:w w:val="105"/>
        </w:rPr>
        <w:t> </w:t>
      </w:r>
      <w:r>
        <w:rPr>
          <w:rFonts w:ascii="Cambria" w:hAnsi="Cambria"/>
          <w:w w:val="105"/>
        </w:rPr>
        <w:t>un</w:t>
      </w:r>
      <w:r>
        <w:rPr>
          <w:rFonts w:ascii="Cambria" w:hAnsi="Cambria"/>
          <w:spacing w:val="-13"/>
          <w:w w:val="105"/>
        </w:rPr>
        <w:t> </w:t>
      </w:r>
      <w:r>
        <w:rPr>
          <w:rFonts w:ascii="Cambria" w:hAnsi="Cambria"/>
          <w:w w:val="105"/>
        </w:rPr>
        <w:t>tipo</w:t>
      </w:r>
      <w:r>
        <w:rPr>
          <w:rFonts w:ascii="Cambria" w:hAnsi="Cambria"/>
          <w:spacing w:val="-13"/>
          <w:w w:val="105"/>
        </w:rPr>
        <w:t> </w:t>
      </w:r>
      <w:r>
        <w:rPr>
          <w:rFonts w:ascii="Cambria" w:hAnsi="Cambria"/>
          <w:w w:val="105"/>
        </w:rPr>
        <w:t>de</w:t>
      </w:r>
      <w:r>
        <w:rPr>
          <w:rFonts w:ascii="Cambria" w:hAnsi="Cambria"/>
          <w:spacing w:val="-13"/>
          <w:w w:val="105"/>
        </w:rPr>
        <w:t> </w:t>
      </w:r>
      <w:r>
        <w:rPr>
          <w:rFonts w:ascii="Cambria" w:hAnsi="Cambria"/>
          <w:w w:val="105"/>
        </w:rPr>
        <w:t>respuesta</w:t>
      </w:r>
      <w:r>
        <w:rPr>
          <w:rFonts w:ascii="Cambria" w:hAnsi="Cambria"/>
          <w:spacing w:val="-13"/>
          <w:w w:val="105"/>
        </w:rPr>
        <w:t> </w:t>
      </w:r>
      <w:r>
        <w:rPr>
          <w:rFonts w:ascii="Cambria" w:hAnsi="Cambria"/>
          <w:w w:val="105"/>
        </w:rPr>
        <w:t>II</w:t>
      </w:r>
      <w:r>
        <w:rPr>
          <w:rFonts w:ascii="Cambria" w:hAnsi="Cambria"/>
          <w:spacing w:val="-13"/>
          <w:w w:val="105"/>
        </w:rPr>
        <w:t> </w:t>
      </w:r>
      <w:r>
        <w:rPr>
          <w:rFonts w:ascii="Cambria" w:hAnsi="Cambria"/>
          <w:w w:val="105"/>
        </w:rPr>
        <w:t>que se presenta en depredadores especialistas, lo que puede ocurrir cuando su presa principal</w:t>
      </w:r>
      <w:r>
        <w:rPr>
          <w:rFonts w:ascii="Cambria" w:hAnsi="Cambria"/>
          <w:spacing w:val="-9"/>
          <w:w w:val="105"/>
        </w:rPr>
        <w:t> </w:t>
      </w:r>
      <w:r>
        <w:rPr>
          <w:rFonts w:ascii="Cambria" w:hAnsi="Cambria"/>
          <w:w w:val="105"/>
        </w:rPr>
        <w:t>está</w:t>
      </w:r>
      <w:r>
        <w:rPr>
          <w:rFonts w:ascii="Cambria" w:hAnsi="Cambria"/>
          <w:spacing w:val="-8"/>
          <w:w w:val="105"/>
        </w:rPr>
        <w:t> </w:t>
      </w:r>
      <w:r>
        <w:rPr>
          <w:rFonts w:ascii="Cambria" w:hAnsi="Cambria"/>
          <w:w w:val="105"/>
        </w:rPr>
        <w:t>en</w:t>
      </w:r>
      <w:r>
        <w:rPr>
          <w:rFonts w:ascii="Cambria" w:hAnsi="Cambria"/>
          <w:spacing w:val="-8"/>
          <w:w w:val="105"/>
        </w:rPr>
        <w:t> </w:t>
      </w:r>
      <w:r>
        <w:rPr>
          <w:rFonts w:ascii="Cambria" w:hAnsi="Cambria"/>
          <w:w w:val="105"/>
        </w:rPr>
        <w:t>bajas</w:t>
      </w:r>
      <w:r>
        <w:rPr>
          <w:rFonts w:ascii="Cambria" w:hAnsi="Cambria"/>
          <w:spacing w:val="-7"/>
          <w:w w:val="105"/>
        </w:rPr>
        <w:t> </w:t>
      </w:r>
      <w:r>
        <w:rPr>
          <w:rFonts w:ascii="Cambria" w:hAnsi="Cambria"/>
          <w:w w:val="105"/>
        </w:rPr>
        <w:t>abundancias,</w:t>
      </w:r>
      <w:r>
        <w:rPr>
          <w:rFonts w:ascii="Cambria" w:hAnsi="Cambria"/>
          <w:spacing w:val="-8"/>
          <w:w w:val="105"/>
        </w:rPr>
        <w:t> </w:t>
      </w:r>
      <w:r>
        <w:rPr>
          <w:rFonts w:ascii="Cambria" w:hAnsi="Cambria"/>
          <w:w w:val="105"/>
        </w:rPr>
        <w:t>es</w:t>
      </w:r>
      <w:r>
        <w:rPr>
          <w:rFonts w:ascii="Cambria" w:hAnsi="Cambria"/>
          <w:spacing w:val="-9"/>
          <w:w w:val="105"/>
        </w:rPr>
        <w:t> </w:t>
      </w:r>
      <w:r>
        <w:rPr>
          <w:rFonts w:ascii="Cambria" w:hAnsi="Cambria"/>
          <w:w w:val="105"/>
        </w:rPr>
        <w:t>que</w:t>
      </w:r>
      <w:r>
        <w:rPr>
          <w:rFonts w:ascii="Cambria" w:hAnsi="Cambria"/>
          <w:spacing w:val="-8"/>
          <w:w w:val="105"/>
        </w:rPr>
        <w:t> </w:t>
      </w:r>
      <w:r>
        <w:rPr>
          <w:rFonts w:ascii="Cambria" w:hAnsi="Cambria"/>
          <w:w w:val="105"/>
        </w:rPr>
        <w:t>el</w:t>
      </w:r>
      <w:r>
        <w:rPr>
          <w:rFonts w:ascii="Cambria" w:hAnsi="Cambria"/>
          <w:spacing w:val="-6"/>
          <w:w w:val="105"/>
        </w:rPr>
        <w:t> </w:t>
      </w:r>
      <w:r>
        <w:rPr>
          <w:rFonts w:ascii="Cambria" w:hAnsi="Cambria"/>
          <w:w w:val="105"/>
        </w:rPr>
        <w:t>depredador</w:t>
      </w:r>
      <w:r>
        <w:rPr>
          <w:rFonts w:ascii="Cambria" w:hAnsi="Cambria"/>
          <w:spacing w:val="-7"/>
          <w:w w:val="105"/>
        </w:rPr>
        <w:t> </w:t>
      </w:r>
      <w:r>
        <w:rPr>
          <w:rFonts w:ascii="Cambria" w:hAnsi="Cambria"/>
          <w:w w:val="105"/>
        </w:rPr>
        <w:t>se</w:t>
      </w:r>
      <w:r>
        <w:rPr>
          <w:rFonts w:ascii="Cambria" w:hAnsi="Cambria"/>
          <w:spacing w:val="-8"/>
          <w:w w:val="105"/>
        </w:rPr>
        <w:t> </w:t>
      </w:r>
      <w:r>
        <w:rPr>
          <w:rFonts w:ascii="Cambria" w:hAnsi="Cambria"/>
          <w:w w:val="105"/>
        </w:rPr>
        <w:t>puede</w:t>
      </w:r>
      <w:r>
        <w:rPr>
          <w:rFonts w:ascii="Cambria" w:hAnsi="Cambria"/>
          <w:spacing w:val="-10"/>
          <w:w w:val="105"/>
        </w:rPr>
        <w:t> </w:t>
      </w:r>
      <w:r>
        <w:rPr>
          <w:rFonts w:ascii="Cambria" w:hAnsi="Cambria"/>
          <w:w w:val="105"/>
        </w:rPr>
        <w:t>morir</w:t>
      </w:r>
      <w:r>
        <w:rPr>
          <w:rFonts w:ascii="Cambria" w:hAnsi="Cambria"/>
          <w:spacing w:val="-8"/>
          <w:w w:val="105"/>
        </w:rPr>
        <w:t> </w:t>
      </w:r>
      <w:r>
        <w:rPr>
          <w:rFonts w:ascii="Cambria" w:hAnsi="Cambria"/>
          <w:w w:val="105"/>
        </w:rPr>
        <w:t>o</w:t>
      </w:r>
      <w:r>
        <w:rPr>
          <w:rFonts w:ascii="Cambria" w:hAnsi="Cambria"/>
          <w:spacing w:val="-8"/>
          <w:w w:val="105"/>
        </w:rPr>
        <w:t> </w:t>
      </w:r>
      <w:r>
        <w:rPr>
          <w:rFonts w:ascii="Cambria" w:hAnsi="Cambria"/>
          <w:w w:val="105"/>
        </w:rPr>
        <w:t>migrar hacia otros sitios, aumentando su riesgo de sobrevivencia (Stenseth et al. 1997, O´Donoghue et al. 1998, Ruth y Murphy 2010). Probablemente coatí y venado, son presas secundarias y por ello no presentaron una respuesta funcional. En la RNSN, el armadillo es una presa importante para puma, jaguar y es la tercer presa más utilizada</w:t>
      </w:r>
      <w:r>
        <w:rPr>
          <w:rFonts w:ascii="Cambria" w:hAnsi="Cambria"/>
          <w:spacing w:val="-5"/>
          <w:w w:val="105"/>
        </w:rPr>
        <w:t> </w:t>
      </w:r>
      <w:r>
        <w:rPr>
          <w:rFonts w:ascii="Cambria" w:hAnsi="Cambria"/>
          <w:w w:val="105"/>
        </w:rPr>
        <w:t>para</w:t>
      </w:r>
      <w:r>
        <w:rPr>
          <w:rFonts w:ascii="Cambria" w:hAnsi="Cambria"/>
          <w:spacing w:val="-5"/>
          <w:w w:val="105"/>
        </w:rPr>
        <w:t> </w:t>
      </w:r>
      <w:r>
        <w:rPr>
          <w:rFonts w:ascii="Cambria" w:hAnsi="Cambria"/>
          <w:w w:val="105"/>
        </w:rPr>
        <w:t>los</w:t>
      </w:r>
      <w:r>
        <w:rPr>
          <w:rFonts w:ascii="Cambria" w:hAnsi="Cambria"/>
          <w:spacing w:val="-5"/>
          <w:w w:val="105"/>
        </w:rPr>
        <w:t> </w:t>
      </w:r>
      <w:r>
        <w:rPr>
          <w:rFonts w:ascii="Cambria" w:hAnsi="Cambria"/>
          <w:w w:val="105"/>
        </w:rPr>
        <w:t>humanos,</w:t>
      </w:r>
      <w:r>
        <w:rPr>
          <w:rFonts w:ascii="Cambria" w:hAnsi="Cambria"/>
          <w:spacing w:val="-5"/>
          <w:w w:val="105"/>
        </w:rPr>
        <w:t> </w:t>
      </w:r>
      <w:r>
        <w:rPr>
          <w:rFonts w:ascii="Cambria" w:hAnsi="Cambria"/>
          <w:w w:val="105"/>
        </w:rPr>
        <w:t>por</w:t>
      </w:r>
      <w:r>
        <w:rPr>
          <w:rFonts w:ascii="Cambria" w:hAnsi="Cambria"/>
          <w:spacing w:val="-4"/>
          <w:w w:val="105"/>
        </w:rPr>
        <w:t> </w:t>
      </w:r>
      <w:r>
        <w:rPr>
          <w:rFonts w:ascii="Cambria" w:hAnsi="Cambria"/>
          <w:w w:val="105"/>
        </w:rPr>
        <w:t>lo</w:t>
      </w:r>
      <w:r>
        <w:rPr>
          <w:rFonts w:ascii="Cambria" w:hAnsi="Cambria"/>
          <w:spacing w:val="-5"/>
          <w:w w:val="105"/>
        </w:rPr>
        <w:t> </w:t>
      </w:r>
      <w:r>
        <w:rPr>
          <w:rFonts w:ascii="Cambria" w:hAnsi="Cambria"/>
          <w:w w:val="105"/>
        </w:rPr>
        <w:t>que</w:t>
      </w:r>
      <w:r>
        <w:rPr>
          <w:rFonts w:ascii="Cambria" w:hAnsi="Cambria"/>
          <w:spacing w:val="-5"/>
          <w:w w:val="105"/>
        </w:rPr>
        <w:t> </w:t>
      </w:r>
      <w:r>
        <w:rPr>
          <w:rFonts w:ascii="Cambria" w:hAnsi="Cambria"/>
          <w:w w:val="105"/>
        </w:rPr>
        <w:t>se</w:t>
      </w:r>
      <w:r>
        <w:rPr>
          <w:rFonts w:ascii="Cambria" w:hAnsi="Cambria"/>
          <w:spacing w:val="-5"/>
          <w:w w:val="105"/>
        </w:rPr>
        <w:t> </w:t>
      </w:r>
      <w:r>
        <w:rPr>
          <w:rFonts w:ascii="Cambria" w:hAnsi="Cambria"/>
          <w:w w:val="105"/>
        </w:rPr>
        <w:t>puede</w:t>
      </w:r>
      <w:r>
        <w:rPr>
          <w:rFonts w:ascii="Cambria" w:hAnsi="Cambria"/>
          <w:spacing w:val="-5"/>
          <w:w w:val="105"/>
        </w:rPr>
        <w:t> </w:t>
      </w:r>
      <w:r>
        <w:rPr>
          <w:rFonts w:ascii="Cambria" w:hAnsi="Cambria"/>
          <w:w w:val="105"/>
        </w:rPr>
        <w:t>pensar</w:t>
      </w:r>
      <w:r>
        <w:rPr>
          <w:rFonts w:ascii="Cambria" w:hAnsi="Cambria"/>
          <w:spacing w:val="-4"/>
          <w:w w:val="105"/>
        </w:rPr>
        <w:t> </w:t>
      </w:r>
      <w:r>
        <w:rPr>
          <w:rFonts w:ascii="Cambria" w:hAnsi="Cambria"/>
          <w:w w:val="105"/>
        </w:rPr>
        <w:t>que</w:t>
      </w:r>
      <w:r>
        <w:rPr>
          <w:rFonts w:ascii="Cambria" w:hAnsi="Cambria"/>
          <w:spacing w:val="-5"/>
          <w:w w:val="105"/>
        </w:rPr>
        <w:t> </w:t>
      </w:r>
      <w:r>
        <w:rPr>
          <w:rFonts w:ascii="Cambria" w:hAnsi="Cambria"/>
          <w:w w:val="105"/>
        </w:rPr>
        <w:t>pueda</w:t>
      </w:r>
      <w:r>
        <w:rPr>
          <w:rFonts w:ascii="Cambria" w:hAnsi="Cambria"/>
          <w:spacing w:val="-5"/>
          <w:w w:val="105"/>
        </w:rPr>
        <w:t> </w:t>
      </w:r>
      <w:r>
        <w:rPr>
          <w:rFonts w:ascii="Cambria" w:hAnsi="Cambria"/>
          <w:w w:val="105"/>
        </w:rPr>
        <w:t>ser</w:t>
      </w:r>
      <w:r>
        <w:rPr>
          <w:rFonts w:ascii="Cambria" w:hAnsi="Cambria"/>
          <w:spacing w:val="-4"/>
          <w:w w:val="105"/>
        </w:rPr>
        <w:t> </w:t>
      </w:r>
      <w:r>
        <w:rPr>
          <w:rFonts w:ascii="Cambria" w:hAnsi="Cambria"/>
          <w:w w:val="105"/>
        </w:rPr>
        <w:t>una</w:t>
      </w:r>
      <w:r>
        <w:rPr>
          <w:rFonts w:ascii="Cambria" w:hAnsi="Cambria"/>
          <w:spacing w:val="-5"/>
          <w:w w:val="105"/>
        </w:rPr>
        <w:t> </w:t>
      </w:r>
      <w:r>
        <w:rPr>
          <w:rFonts w:ascii="Cambria" w:hAnsi="Cambria"/>
          <w:w w:val="105"/>
        </w:rPr>
        <w:t>presa</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295"/>
        <w:rPr>
          <w:rFonts w:ascii="Cambria" w:hAnsi="Cambria"/>
        </w:rPr>
      </w:pPr>
      <w:r>
        <w:rPr>
          <w:rFonts w:ascii="Cambria" w:hAnsi="Cambria"/>
          <w:w w:val="105"/>
        </w:rPr>
        <w:t>clave en el ecosistema y es de gran relevancia que se realice un monitorio específico</w:t>
      </w:r>
      <w:r>
        <w:rPr>
          <w:rFonts w:ascii="Cambria" w:hAnsi="Cambria"/>
          <w:spacing w:val="-12"/>
          <w:w w:val="105"/>
        </w:rPr>
        <w:t> </w:t>
      </w:r>
      <w:r>
        <w:rPr>
          <w:rFonts w:ascii="Cambria" w:hAnsi="Cambria"/>
          <w:w w:val="105"/>
        </w:rPr>
        <w:t>sobre</w:t>
      </w:r>
      <w:r>
        <w:rPr>
          <w:rFonts w:ascii="Cambria" w:hAnsi="Cambria"/>
          <w:spacing w:val="-12"/>
          <w:w w:val="105"/>
        </w:rPr>
        <w:t> </w:t>
      </w:r>
      <w:r>
        <w:rPr>
          <w:rFonts w:ascii="Cambria" w:hAnsi="Cambria"/>
          <w:w w:val="105"/>
        </w:rPr>
        <w:t>esta</w:t>
      </w:r>
      <w:r>
        <w:rPr>
          <w:rFonts w:ascii="Cambria" w:hAnsi="Cambria"/>
          <w:spacing w:val="-12"/>
          <w:w w:val="105"/>
        </w:rPr>
        <w:t> </w:t>
      </w:r>
      <w:r>
        <w:rPr>
          <w:rFonts w:ascii="Cambria" w:hAnsi="Cambria"/>
          <w:w w:val="105"/>
        </w:rPr>
        <w:t>especie,</w:t>
      </w:r>
      <w:r>
        <w:rPr>
          <w:rFonts w:ascii="Cambria" w:hAnsi="Cambria"/>
          <w:spacing w:val="-12"/>
          <w:w w:val="105"/>
        </w:rPr>
        <w:t> </w:t>
      </w:r>
      <w:r>
        <w:rPr>
          <w:rFonts w:ascii="Cambria" w:hAnsi="Cambria"/>
          <w:w w:val="105"/>
        </w:rPr>
        <w:t>para</w:t>
      </w:r>
      <w:r>
        <w:rPr>
          <w:rFonts w:ascii="Cambria" w:hAnsi="Cambria"/>
          <w:spacing w:val="-12"/>
          <w:w w:val="105"/>
        </w:rPr>
        <w:t> </w:t>
      </w:r>
      <w:r>
        <w:rPr>
          <w:rFonts w:ascii="Cambria" w:hAnsi="Cambria"/>
          <w:w w:val="105"/>
        </w:rPr>
        <w:t>conocer</w:t>
      </w:r>
      <w:r>
        <w:rPr>
          <w:rFonts w:ascii="Cambria" w:hAnsi="Cambria"/>
          <w:spacing w:val="-12"/>
          <w:w w:val="105"/>
        </w:rPr>
        <w:t> </w:t>
      </w:r>
      <w:r>
        <w:rPr>
          <w:rFonts w:ascii="Cambria" w:hAnsi="Cambria"/>
          <w:w w:val="105"/>
        </w:rPr>
        <w:t>su</w:t>
      </w:r>
      <w:r>
        <w:rPr>
          <w:rFonts w:ascii="Cambria" w:hAnsi="Cambria"/>
          <w:spacing w:val="-13"/>
          <w:w w:val="105"/>
        </w:rPr>
        <w:t> </w:t>
      </w:r>
      <w:r>
        <w:rPr>
          <w:rFonts w:ascii="Cambria" w:hAnsi="Cambria"/>
          <w:w w:val="105"/>
        </w:rPr>
        <w:t>viabilidad</w:t>
      </w:r>
      <w:r>
        <w:rPr>
          <w:rFonts w:ascii="Cambria" w:hAnsi="Cambria"/>
          <w:spacing w:val="-12"/>
          <w:w w:val="105"/>
        </w:rPr>
        <w:t> </w:t>
      </w:r>
      <w:r>
        <w:rPr>
          <w:rFonts w:ascii="Cambria" w:hAnsi="Cambria"/>
          <w:w w:val="105"/>
        </w:rPr>
        <w:t>y</w:t>
      </w:r>
      <w:r>
        <w:rPr>
          <w:rFonts w:ascii="Cambria" w:hAnsi="Cambria"/>
          <w:spacing w:val="-12"/>
          <w:w w:val="105"/>
        </w:rPr>
        <w:t> </w:t>
      </w:r>
      <w:r>
        <w:rPr>
          <w:rFonts w:ascii="Cambria" w:hAnsi="Cambria"/>
          <w:w w:val="105"/>
        </w:rPr>
        <w:t>estatus</w:t>
      </w:r>
      <w:r>
        <w:rPr>
          <w:rFonts w:ascii="Cambria" w:hAnsi="Cambria"/>
          <w:spacing w:val="-13"/>
          <w:w w:val="105"/>
        </w:rPr>
        <w:t> </w:t>
      </w:r>
      <w:r>
        <w:rPr>
          <w:rFonts w:ascii="Cambria" w:hAnsi="Cambria"/>
          <w:w w:val="105"/>
        </w:rPr>
        <w:t>poblacional</w:t>
      </w:r>
      <w:r>
        <w:rPr>
          <w:rFonts w:ascii="Cambria" w:hAnsi="Cambria"/>
          <w:spacing w:val="-12"/>
          <w:w w:val="105"/>
        </w:rPr>
        <w:t> </w:t>
      </w:r>
      <w:r>
        <w:rPr>
          <w:rFonts w:ascii="Cambria" w:hAnsi="Cambria"/>
          <w:w w:val="105"/>
        </w:rPr>
        <w:t>a</w:t>
      </w:r>
      <w:r>
        <w:rPr>
          <w:rFonts w:ascii="Cambria" w:hAnsi="Cambria"/>
          <w:spacing w:val="-12"/>
          <w:w w:val="105"/>
        </w:rPr>
        <w:t> </w:t>
      </w:r>
      <w:r>
        <w:rPr>
          <w:rFonts w:ascii="Cambria" w:hAnsi="Cambria"/>
          <w:w w:val="105"/>
        </w:rPr>
        <w:t>lo largo del</w:t>
      </w:r>
      <w:r>
        <w:rPr>
          <w:rFonts w:ascii="Cambria" w:hAnsi="Cambria"/>
          <w:spacing w:val="-4"/>
          <w:w w:val="105"/>
        </w:rPr>
        <w:t> </w:t>
      </w:r>
      <w:r>
        <w:rPr>
          <w:rFonts w:ascii="Cambria" w:hAnsi="Cambria"/>
          <w:w w:val="105"/>
        </w:rPr>
        <w:t>tiempo.</w:t>
      </w:r>
    </w:p>
    <w:p>
      <w:pPr>
        <w:pStyle w:val="BodyText"/>
        <w:spacing w:line="506" w:lineRule="auto" w:before="1"/>
        <w:ind w:left="102" w:right="136" w:firstLine="707"/>
        <w:rPr>
          <w:rFonts w:ascii="Palatino Linotype" w:hAnsi="Palatino Linotype"/>
          <w:i/>
        </w:rPr>
      </w:pPr>
      <w:r>
        <w:rPr>
          <w:rFonts w:ascii="Cambria" w:hAnsi="Cambria"/>
          <w:w w:val="105"/>
        </w:rPr>
        <w:t>El patrón de actividad de puma se relaciono positivamente con el de su presa principal (armadillo) y el índice de Pianka mostró solapamiento en la mayoría de los intervalos de tiempo utilizados por ambas especies, ya que el valor de este índice fue más cercano a uno. Se encontró una relación negativa en el patrón de actividad de puma en relación al de coatí y venado, el índice de Pianka para estas últimas especies presa mostró un bajo solapamiento. Estos resultados son</w:t>
      </w:r>
      <w:r>
        <w:rPr>
          <w:rFonts w:ascii="Cambria" w:hAnsi="Cambria"/>
          <w:spacing w:val="-10"/>
          <w:w w:val="105"/>
        </w:rPr>
        <w:t> </w:t>
      </w:r>
      <w:r>
        <w:rPr>
          <w:rFonts w:ascii="Cambria" w:hAnsi="Cambria"/>
          <w:w w:val="105"/>
        </w:rPr>
        <w:t>similares</w:t>
      </w:r>
      <w:r>
        <w:rPr>
          <w:rFonts w:ascii="Cambria" w:hAnsi="Cambria"/>
          <w:spacing w:val="-10"/>
          <w:w w:val="105"/>
        </w:rPr>
        <w:t> </w:t>
      </w:r>
      <w:r>
        <w:rPr>
          <w:rFonts w:ascii="Cambria" w:hAnsi="Cambria"/>
          <w:w w:val="105"/>
        </w:rPr>
        <w:t>a</w:t>
      </w:r>
      <w:r>
        <w:rPr>
          <w:rFonts w:ascii="Cambria" w:hAnsi="Cambria"/>
          <w:spacing w:val="-10"/>
          <w:w w:val="105"/>
        </w:rPr>
        <w:t> </w:t>
      </w:r>
      <w:r>
        <w:rPr>
          <w:rFonts w:ascii="Cambria" w:hAnsi="Cambria"/>
          <w:w w:val="105"/>
        </w:rPr>
        <w:t>los</w:t>
      </w:r>
      <w:r>
        <w:rPr>
          <w:rFonts w:ascii="Cambria" w:hAnsi="Cambria"/>
          <w:spacing w:val="-10"/>
          <w:w w:val="105"/>
        </w:rPr>
        <w:t> </w:t>
      </w:r>
      <w:r>
        <w:rPr>
          <w:rFonts w:ascii="Cambria" w:hAnsi="Cambria"/>
          <w:w w:val="105"/>
        </w:rPr>
        <w:t>obtenidos</w:t>
      </w:r>
      <w:r>
        <w:rPr>
          <w:rFonts w:ascii="Cambria" w:hAnsi="Cambria"/>
          <w:spacing w:val="-10"/>
          <w:w w:val="105"/>
        </w:rPr>
        <w:t> </w:t>
      </w:r>
      <w:r>
        <w:rPr>
          <w:rFonts w:ascii="Cambria" w:hAnsi="Cambria"/>
          <w:w w:val="105"/>
        </w:rPr>
        <w:t>en</w:t>
      </w:r>
      <w:r>
        <w:rPr>
          <w:rFonts w:ascii="Cambria" w:hAnsi="Cambria"/>
          <w:spacing w:val="-10"/>
          <w:w w:val="105"/>
        </w:rPr>
        <w:t> </w:t>
      </w:r>
      <w:r>
        <w:rPr>
          <w:rFonts w:ascii="Cambria" w:hAnsi="Cambria"/>
          <w:w w:val="105"/>
        </w:rPr>
        <w:t>Belice,</w:t>
      </w:r>
      <w:r>
        <w:rPr>
          <w:rFonts w:ascii="Cambria" w:hAnsi="Cambria"/>
          <w:spacing w:val="-10"/>
          <w:w w:val="105"/>
        </w:rPr>
        <w:t> </w:t>
      </w:r>
      <w:r>
        <w:rPr>
          <w:rFonts w:ascii="Cambria" w:hAnsi="Cambria"/>
          <w:w w:val="105"/>
        </w:rPr>
        <w:t>donde</w:t>
      </w:r>
      <w:r>
        <w:rPr>
          <w:rFonts w:ascii="Cambria" w:hAnsi="Cambria"/>
          <w:spacing w:val="-8"/>
          <w:w w:val="105"/>
        </w:rPr>
        <w:t> </w:t>
      </w:r>
      <w:r>
        <w:rPr>
          <w:rFonts w:ascii="Cambria" w:hAnsi="Cambria"/>
          <w:w w:val="105"/>
        </w:rPr>
        <w:t>también</w:t>
      </w:r>
      <w:r>
        <w:rPr>
          <w:rFonts w:ascii="Cambria" w:hAnsi="Cambria"/>
          <w:spacing w:val="-10"/>
          <w:w w:val="105"/>
        </w:rPr>
        <w:t> </w:t>
      </w:r>
      <w:r>
        <w:rPr>
          <w:rFonts w:ascii="Cambria" w:hAnsi="Cambria"/>
          <w:w w:val="105"/>
        </w:rPr>
        <w:t>describe</w:t>
      </w:r>
      <w:r>
        <w:rPr>
          <w:rFonts w:ascii="Cambria" w:hAnsi="Cambria"/>
          <w:spacing w:val="-10"/>
          <w:w w:val="105"/>
        </w:rPr>
        <w:t> </w:t>
      </w:r>
      <w:r>
        <w:rPr>
          <w:rFonts w:ascii="Cambria" w:hAnsi="Cambria"/>
          <w:w w:val="105"/>
        </w:rPr>
        <w:t>que</w:t>
      </w:r>
      <w:r>
        <w:rPr>
          <w:rFonts w:ascii="Cambria" w:hAnsi="Cambria"/>
          <w:spacing w:val="-10"/>
          <w:w w:val="105"/>
        </w:rPr>
        <w:t> </w:t>
      </w:r>
      <w:r>
        <w:rPr>
          <w:rFonts w:ascii="Cambria" w:hAnsi="Cambria"/>
          <w:w w:val="105"/>
        </w:rPr>
        <w:t>la</w:t>
      </w:r>
      <w:r>
        <w:rPr>
          <w:rFonts w:ascii="Cambria" w:hAnsi="Cambria"/>
          <w:spacing w:val="-10"/>
          <w:w w:val="105"/>
        </w:rPr>
        <w:t> </w:t>
      </w:r>
      <w:r>
        <w:rPr>
          <w:rFonts w:ascii="Cambria" w:hAnsi="Cambria"/>
          <w:w w:val="105"/>
        </w:rPr>
        <w:t>actividad</w:t>
      </w:r>
      <w:r>
        <w:rPr>
          <w:rFonts w:ascii="Cambria" w:hAnsi="Cambria"/>
          <w:spacing w:val="-10"/>
          <w:w w:val="105"/>
        </w:rPr>
        <w:t> </w:t>
      </w:r>
      <w:r>
        <w:rPr>
          <w:rFonts w:ascii="Cambria" w:hAnsi="Cambria"/>
          <w:w w:val="105"/>
        </w:rPr>
        <w:t>de puma</w:t>
      </w:r>
      <w:r>
        <w:rPr>
          <w:rFonts w:ascii="Cambria" w:hAnsi="Cambria"/>
          <w:spacing w:val="-10"/>
          <w:w w:val="105"/>
        </w:rPr>
        <w:t> </w:t>
      </w:r>
      <w:r>
        <w:rPr>
          <w:rFonts w:ascii="Cambria" w:hAnsi="Cambria"/>
          <w:w w:val="105"/>
        </w:rPr>
        <w:t>se</w:t>
      </w:r>
      <w:r>
        <w:rPr>
          <w:rFonts w:ascii="Cambria" w:hAnsi="Cambria"/>
          <w:spacing w:val="-10"/>
          <w:w w:val="105"/>
        </w:rPr>
        <w:t> </w:t>
      </w:r>
      <w:r>
        <w:rPr>
          <w:rFonts w:ascii="Cambria" w:hAnsi="Cambria"/>
          <w:w w:val="105"/>
        </w:rPr>
        <w:t>sincroniza</w:t>
      </w:r>
      <w:r>
        <w:rPr>
          <w:rFonts w:ascii="Cambria" w:hAnsi="Cambria"/>
          <w:spacing w:val="-10"/>
          <w:w w:val="105"/>
        </w:rPr>
        <w:t> </w:t>
      </w:r>
      <w:r>
        <w:rPr>
          <w:rFonts w:ascii="Cambria" w:hAnsi="Cambria"/>
          <w:w w:val="105"/>
        </w:rPr>
        <w:t>con</w:t>
      </w:r>
      <w:r>
        <w:rPr>
          <w:rFonts w:ascii="Cambria" w:hAnsi="Cambria"/>
          <w:spacing w:val="-10"/>
          <w:w w:val="105"/>
        </w:rPr>
        <w:t> </w:t>
      </w:r>
      <w:r>
        <w:rPr>
          <w:rFonts w:ascii="Cambria" w:hAnsi="Cambria"/>
          <w:w w:val="105"/>
        </w:rPr>
        <w:t>el</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la</w:t>
      </w:r>
      <w:r>
        <w:rPr>
          <w:rFonts w:ascii="Cambria" w:hAnsi="Cambria"/>
          <w:spacing w:val="-10"/>
          <w:w w:val="105"/>
        </w:rPr>
        <w:t> </w:t>
      </w:r>
      <w:r>
        <w:rPr>
          <w:rFonts w:ascii="Cambria" w:hAnsi="Cambria"/>
          <w:w w:val="105"/>
        </w:rPr>
        <w:t>paca</w:t>
      </w:r>
      <w:r>
        <w:rPr>
          <w:rFonts w:ascii="Cambria" w:hAnsi="Cambria"/>
          <w:spacing w:val="-10"/>
          <w:w w:val="105"/>
        </w:rPr>
        <w:t> </w:t>
      </w:r>
      <w:r>
        <w:rPr>
          <w:rFonts w:ascii="Cambria" w:hAnsi="Cambria"/>
          <w:w w:val="105"/>
        </w:rPr>
        <w:t>que</w:t>
      </w:r>
      <w:r>
        <w:rPr>
          <w:rFonts w:ascii="Cambria" w:hAnsi="Cambria"/>
          <w:spacing w:val="-10"/>
          <w:w w:val="105"/>
        </w:rPr>
        <w:t> </w:t>
      </w:r>
      <w:r>
        <w:rPr>
          <w:rFonts w:ascii="Cambria" w:hAnsi="Cambria"/>
          <w:w w:val="105"/>
        </w:rPr>
        <w:t>es</w:t>
      </w:r>
      <w:r>
        <w:rPr>
          <w:rFonts w:ascii="Cambria" w:hAnsi="Cambria"/>
          <w:spacing w:val="-11"/>
          <w:w w:val="105"/>
        </w:rPr>
        <w:t> </w:t>
      </w:r>
      <w:r>
        <w:rPr>
          <w:rFonts w:ascii="Cambria" w:hAnsi="Cambria"/>
          <w:w w:val="105"/>
        </w:rPr>
        <w:t>también</w:t>
      </w:r>
      <w:r>
        <w:rPr>
          <w:rFonts w:ascii="Cambria" w:hAnsi="Cambria"/>
          <w:spacing w:val="-10"/>
          <w:w w:val="105"/>
        </w:rPr>
        <w:t> </w:t>
      </w:r>
      <w:r>
        <w:rPr>
          <w:rFonts w:ascii="Cambria" w:hAnsi="Cambria"/>
          <w:w w:val="105"/>
        </w:rPr>
        <w:t>su</w:t>
      </w:r>
      <w:r>
        <w:rPr>
          <w:rFonts w:ascii="Cambria" w:hAnsi="Cambria"/>
          <w:spacing w:val="-11"/>
          <w:w w:val="105"/>
        </w:rPr>
        <w:t> </w:t>
      </w:r>
      <w:r>
        <w:rPr>
          <w:rFonts w:ascii="Cambria" w:hAnsi="Cambria"/>
          <w:w w:val="105"/>
        </w:rPr>
        <w:t>presa</w:t>
      </w:r>
      <w:r>
        <w:rPr>
          <w:rFonts w:ascii="Cambria" w:hAnsi="Cambria"/>
          <w:spacing w:val="-10"/>
          <w:w w:val="105"/>
        </w:rPr>
        <w:t> </w:t>
      </w:r>
      <w:r>
        <w:rPr>
          <w:rFonts w:ascii="Cambria" w:hAnsi="Cambria"/>
          <w:w w:val="105"/>
        </w:rPr>
        <w:t>principal</w:t>
      </w:r>
      <w:r>
        <w:rPr>
          <w:rFonts w:ascii="Cambria" w:hAnsi="Cambria"/>
          <w:spacing w:val="-10"/>
          <w:w w:val="105"/>
        </w:rPr>
        <w:t> </w:t>
      </w:r>
      <w:r>
        <w:rPr>
          <w:rFonts w:ascii="Cambria" w:hAnsi="Cambria"/>
          <w:w w:val="105"/>
        </w:rPr>
        <w:t>(</w:t>
      </w:r>
      <w:r>
        <w:rPr>
          <w:rFonts w:ascii="Palatino Linotype" w:hAnsi="Palatino Linotype"/>
          <w:i/>
          <w:w w:val="105"/>
        </w:rPr>
        <w:t>Agouti</w:t>
      </w:r>
    </w:p>
    <w:p>
      <w:pPr>
        <w:pStyle w:val="BodyText"/>
        <w:spacing w:line="236" w:lineRule="exact"/>
        <w:ind w:left="102"/>
        <w:rPr>
          <w:rFonts w:ascii="Cambria"/>
        </w:rPr>
      </w:pPr>
      <w:r>
        <w:rPr>
          <w:rFonts w:ascii="Palatino Linotype"/>
          <w:i/>
        </w:rPr>
        <w:t>paca, </w:t>
      </w:r>
      <w:r>
        <w:rPr>
          <w:rFonts w:ascii="Cambria"/>
        </w:rPr>
        <w:t>Harmsen et al. 2010). Pero en otras especies como; coyote, lobo y jaguar no se</w:t>
      </w:r>
    </w:p>
    <w:p>
      <w:pPr>
        <w:pStyle w:val="BodyText"/>
        <w:spacing w:before="5"/>
        <w:rPr>
          <w:rFonts w:ascii="Cambria"/>
          <w:sz w:val="25"/>
        </w:rPr>
      </w:pPr>
    </w:p>
    <w:p>
      <w:pPr>
        <w:pStyle w:val="BodyText"/>
        <w:spacing w:line="508" w:lineRule="auto"/>
        <w:ind w:left="102" w:right="480"/>
        <w:rPr>
          <w:rFonts w:ascii="Cambria" w:hAnsi="Cambria"/>
        </w:rPr>
      </w:pPr>
      <w:r>
        <w:rPr>
          <w:rFonts w:ascii="Cambria" w:hAnsi="Cambria"/>
        </w:rPr>
        <w:t>encuentra esta relación, hay una baja sincronía en la actividad de estos   depredadores en relación a sus presas principales (Eriksen et al. 2010, Romero- Muñoz et al. 2010, Arias-Del Razo et al. 2011). Esto puede explicarse por el comportamiento anti-depredatorio de las presas ya que estas pueden modificar su actividad para evitar ser depredadas. O puede ser que debido a la gran diversidad       o abundancia de presas que se encuentren en el ambiente, se incremente el acceso  de los carnívoros a mas presas y por tanto no sincronizarse con ninguna en  particular (Romero-Muñoz et al. 2010, Eriksen et al. </w:t>
      </w:r>
      <w:r>
        <w:rPr>
          <w:rFonts w:ascii="Cambria" w:hAnsi="Cambria"/>
          <w:spacing w:val="48"/>
        </w:rPr>
        <w:t> </w:t>
      </w:r>
      <w:r>
        <w:rPr>
          <w:rFonts w:ascii="Cambria" w:hAnsi="Cambria"/>
        </w:rPr>
        <w:t>2010).</w:t>
      </w:r>
    </w:p>
    <w:p>
      <w:pPr>
        <w:pStyle w:val="BodyText"/>
        <w:spacing w:line="508" w:lineRule="auto"/>
        <w:ind w:left="102" w:firstLine="707"/>
        <w:rPr>
          <w:rFonts w:ascii="Cambria" w:hAnsi="Cambria"/>
        </w:rPr>
      </w:pPr>
      <w:r>
        <w:rPr>
          <w:rFonts w:ascii="Cambria" w:hAnsi="Cambria"/>
          <w:w w:val="105"/>
        </w:rPr>
        <w:t>El patrón de puma en la RNSN fue principalmente crepuscular y nocturno, mientras que el jaguar, el 60% de los registros demuestran actividad nocturna.</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143"/>
        <w:rPr>
          <w:rFonts w:ascii="Cambria" w:hAnsi="Cambria"/>
        </w:rPr>
      </w:pPr>
      <w:r>
        <w:rPr>
          <w:rFonts w:ascii="Cambria" w:hAnsi="Cambria"/>
          <w:w w:val="105"/>
        </w:rPr>
        <w:t>Considerando que ambos felinos utilizan el mismo hábitat (Monroy-Vilchis et al. 2009), es probablemente que el puma en la RNSN, evite utilizar los mismos horarios que jaguar para reducir la competencia. Romero-Muñoz et al. (2010) también encuentra diferencias en el patrón de actividad de puma y jaguar en bosques secos de Bolivia, mientras que otros estudios muestran que estos dos grandes</w:t>
      </w:r>
      <w:r>
        <w:rPr>
          <w:rFonts w:ascii="Cambria" w:hAnsi="Cambria"/>
          <w:spacing w:val="-9"/>
          <w:w w:val="105"/>
        </w:rPr>
        <w:t> </w:t>
      </w:r>
      <w:r>
        <w:rPr>
          <w:rFonts w:ascii="Cambria" w:hAnsi="Cambria"/>
          <w:w w:val="105"/>
        </w:rPr>
        <w:t>depredadores</w:t>
      </w:r>
      <w:r>
        <w:rPr>
          <w:rFonts w:ascii="Cambria" w:hAnsi="Cambria"/>
          <w:spacing w:val="-9"/>
          <w:w w:val="105"/>
        </w:rPr>
        <w:t> </w:t>
      </w:r>
      <w:r>
        <w:rPr>
          <w:rFonts w:ascii="Cambria" w:hAnsi="Cambria"/>
          <w:w w:val="105"/>
        </w:rPr>
        <w:t>coinciden</w:t>
      </w:r>
      <w:r>
        <w:rPr>
          <w:rFonts w:ascii="Cambria" w:hAnsi="Cambria"/>
          <w:spacing w:val="-10"/>
          <w:w w:val="105"/>
        </w:rPr>
        <w:t> </w:t>
      </w:r>
      <w:r>
        <w:rPr>
          <w:rFonts w:ascii="Cambria" w:hAnsi="Cambria"/>
          <w:w w:val="105"/>
        </w:rPr>
        <w:t>en</w:t>
      </w:r>
      <w:r>
        <w:rPr>
          <w:rFonts w:ascii="Cambria" w:hAnsi="Cambria"/>
          <w:spacing w:val="-9"/>
          <w:w w:val="105"/>
        </w:rPr>
        <w:t> </w:t>
      </w:r>
      <w:r>
        <w:rPr>
          <w:rFonts w:ascii="Cambria" w:hAnsi="Cambria"/>
          <w:w w:val="105"/>
        </w:rPr>
        <w:t>actividad</w:t>
      </w:r>
      <w:r>
        <w:rPr>
          <w:rFonts w:ascii="Cambria" w:hAnsi="Cambria"/>
          <w:spacing w:val="-9"/>
          <w:w w:val="105"/>
        </w:rPr>
        <w:t> </w:t>
      </w:r>
      <w:r>
        <w:rPr>
          <w:rFonts w:ascii="Cambria" w:hAnsi="Cambria"/>
          <w:w w:val="105"/>
        </w:rPr>
        <w:t>(Núñez</w:t>
      </w:r>
      <w:r>
        <w:rPr>
          <w:rFonts w:ascii="Cambria" w:hAnsi="Cambria"/>
          <w:spacing w:val="-9"/>
          <w:w w:val="105"/>
        </w:rPr>
        <w:t> </w:t>
      </w:r>
      <w:r>
        <w:rPr>
          <w:rFonts w:ascii="Cambria" w:hAnsi="Cambria"/>
          <w:w w:val="105"/>
        </w:rPr>
        <w:t>et</w:t>
      </w:r>
      <w:r>
        <w:rPr>
          <w:rFonts w:ascii="Cambria" w:hAnsi="Cambria"/>
          <w:spacing w:val="-9"/>
          <w:w w:val="105"/>
        </w:rPr>
        <w:t> </w:t>
      </w:r>
      <w:r>
        <w:rPr>
          <w:rFonts w:ascii="Cambria" w:hAnsi="Cambria"/>
          <w:w w:val="105"/>
        </w:rPr>
        <w:t>al.</w:t>
      </w:r>
      <w:r>
        <w:rPr>
          <w:rFonts w:ascii="Cambria" w:hAnsi="Cambria"/>
          <w:spacing w:val="-9"/>
          <w:w w:val="105"/>
        </w:rPr>
        <w:t> </w:t>
      </w:r>
      <w:r>
        <w:rPr>
          <w:rFonts w:ascii="Cambria" w:hAnsi="Cambria"/>
          <w:w w:val="105"/>
        </w:rPr>
        <w:t>2002,</w:t>
      </w:r>
      <w:r>
        <w:rPr>
          <w:rFonts w:ascii="Cambria" w:hAnsi="Cambria"/>
          <w:spacing w:val="-9"/>
          <w:w w:val="105"/>
        </w:rPr>
        <w:t> </w:t>
      </w:r>
      <w:r>
        <w:rPr>
          <w:rFonts w:ascii="Cambria" w:hAnsi="Cambria"/>
          <w:w w:val="105"/>
        </w:rPr>
        <w:t>Scognamillo</w:t>
      </w:r>
      <w:r>
        <w:rPr>
          <w:rFonts w:ascii="Cambria" w:hAnsi="Cambria"/>
          <w:spacing w:val="-9"/>
          <w:w w:val="105"/>
        </w:rPr>
        <w:t> </w:t>
      </w:r>
      <w:r>
        <w:rPr>
          <w:rFonts w:ascii="Cambria" w:hAnsi="Cambria"/>
          <w:w w:val="105"/>
        </w:rPr>
        <w:t>et</w:t>
      </w:r>
      <w:r>
        <w:rPr>
          <w:rFonts w:ascii="Cambria" w:hAnsi="Cambria"/>
          <w:spacing w:val="-9"/>
          <w:w w:val="105"/>
        </w:rPr>
        <w:t> </w:t>
      </w:r>
      <w:r>
        <w:rPr>
          <w:rFonts w:ascii="Cambria" w:hAnsi="Cambria"/>
          <w:w w:val="105"/>
        </w:rPr>
        <w:t>al. 2003, Harmsen et al. 2009), lo cual puede estar relacionado por la alta disponibilidad</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presas</w:t>
      </w:r>
      <w:r>
        <w:rPr>
          <w:rFonts w:ascii="Cambria" w:hAnsi="Cambria"/>
          <w:spacing w:val="-12"/>
          <w:w w:val="105"/>
        </w:rPr>
        <w:t> </w:t>
      </w:r>
      <w:r>
        <w:rPr>
          <w:rFonts w:ascii="Cambria" w:hAnsi="Cambria"/>
          <w:w w:val="105"/>
        </w:rPr>
        <w:t>o</w:t>
      </w:r>
      <w:r>
        <w:rPr>
          <w:rFonts w:ascii="Cambria" w:hAnsi="Cambria"/>
          <w:spacing w:val="-10"/>
          <w:w w:val="105"/>
        </w:rPr>
        <w:t> </w:t>
      </w:r>
      <w:r>
        <w:rPr>
          <w:rFonts w:ascii="Cambria" w:hAnsi="Cambria"/>
          <w:w w:val="105"/>
        </w:rPr>
        <w:t>el</w:t>
      </w:r>
      <w:r>
        <w:rPr>
          <w:rFonts w:ascii="Cambria" w:hAnsi="Cambria"/>
          <w:spacing w:val="-10"/>
          <w:w w:val="105"/>
        </w:rPr>
        <w:t> </w:t>
      </w:r>
      <w:r>
        <w:rPr>
          <w:rFonts w:ascii="Cambria" w:hAnsi="Cambria"/>
          <w:w w:val="105"/>
        </w:rPr>
        <w:t>uso</w:t>
      </w:r>
      <w:r>
        <w:rPr>
          <w:rFonts w:ascii="Cambria" w:hAnsi="Cambria"/>
          <w:spacing w:val="-10"/>
          <w:w w:val="105"/>
        </w:rPr>
        <w:t> </w:t>
      </w:r>
      <w:r>
        <w:rPr>
          <w:rFonts w:ascii="Cambria" w:hAnsi="Cambria"/>
          <w:w w:val="105"/>
        </w:rPr>
        <w:t>de</w:t>
      </w:r>
      <w:r>
        <w:rPr>
          <w:rFonts w:ascii="Cambria" w:hAnsi="Cambria"/>
          <w:spacing w:val="-10"/>
          <w:w w:val="105"/>
        </w:rPr>
        <w:t> </w:t>
      </w:r>
      <w:r>
        <w:rPr>
          <w:rFonts w:ascii="Cambria" w:hAnsi="Cambria"/>
          <w:w w:val="105"/>
        </w:rPr>
        <w:t>diferentes</w:t>
      </w:r>
      <w:r>
        <w:rPr>
          <w:rFonts w:ascii="Cambria" w:hAnsi="Cambria"/>
          <w:spacing w:val="-10"/>
          <w:w w:val="105"/>
        </w:rPr>
        <w:t> </w:t>
      </w:r>
      <w:r>
        <w:rPr>
          <w:rFonts w:ascii="Cambria" w:hAnsi="Cambria"/>
          <w:w w:val="105"/>
        </w:rPr>
        <w:t>ambientes.</w:t>
      </w:r>
    </w:p>
    <w:p>
      <w:pPr>
        <w:pStyle w:val="BodyText"/>
        <w:spacing w:line="508" w:lineRule="auto" w:before="1"/>
        <w:ind w:left="102" w:right="109" w:firstLine="707"/>
        <w:rPr>
          <w:rFonts w:ascii="Cambria" w:hAnsi="Cambria"/>
        </w:rPr>
      </w:pPr>
      <w:r>
        <w:rPr>
          <w:rFonts w:ascii="Cambria" w:hAnsi="Cambria"/>
          <w:w w:val="105"/>
        </w:rPr>
        <w:t>Puma y armadillo no mostraron un efecto significativo de aumentar o disminuir su patrón de actividad conforme se acercaba la fase de la luna llena como se esperaba. Esto muestra probablemente que el armadillo no tiene esta estrategia anti-depredatoria en la RNSN. La facilidad de captura de armadillo en comparación con coatí y venado, además de la coincidencia en patrón de actividad de puma y armadillo y el no disminuir la actividad durante la luna llena, pueden explicar porque esta especie es la presa principal de puma y no coatí y venado, los cuales probablemente como estrategia anti-depredatoria utilizan horarios antagónicos a los de este depredador.</w:t>
      </w:r>
    </w:p>
    <w:p>
      <w:pPr>
        <w:pStyle w:val="BodyText"/>
        <w:spacing w:line="508" w:lineRule="auto" w:before="1"/>
        <w:ind w:left="102" w:right="194" w:firstLine="707"/>
        <w:rPr>
          <w:rFonts w:ascii="Cambria" w:hAnsi="Cambria"/>
        </w:rPr>
      </w:pPr>
      <w:r>
        <w:rPr>
          <w:rFonts w:ascii="Cambria" w:hAnsi="Cambria"/>
        </w:rPr>
        <w:t>Otra forma de abordar las interacciones depredador-presa, es a partir de los efectos top-down (depredación) y buttom-up (alimentación/nutrientes). Estos efectos tienen influencia en las cascadas tróficas y pueden regular la estructura poblacional. En los resultados de este estudio se encontró que la población de     puma</w:t>
      </w:r>
      <w:r>
        <w:rPr>
          <w:rFonts w:ascii="Cambria" w:hAnsi="Cambria"/>
          <w:spacing w:val="27"/>
        </w:rPr>
        <w:t> </w:t>
      </w:r>
      <w:r>
        <w:rPr>
          <w:rFonts w:ascii="Cambria" w:hAnsi="Cambria"/>
        </w:rPr>
        <w:t>y</w:t>
      </w:r>
      <w:r>
        <w:rPr>
          <w:rFonts w:ascii="Cambria" w:hAnsi="Cambria"/>
          <w:spacing w:val="27"/>
        </w:rPr>
        <w:t> </w:t>
      </w:r>
      <w:r>
        <w:rPr>
          <w:rFonts w:ascii="Cambria" w:hAnsi="Cambria"/>
        </w:rPr>
        <w:t>sus</w:t>
      </w:r>
      <w:r>
        <w:rPr>
          <w:rFonts w:ascii="Cambria" w:hAnsi="Cambria"/>
          <w:spacing w:val="29"/>
        </w:rPr>
        <w:t> </w:t>
      </w:r>
      <w:r>
        <w:rPr>
          <w:rFonts w:ascii="Cambria" w:hAnsi="Cambria"/>
        </w:rPr>
        <w:t>presas</w:t>
      </w:r>
      <w:r>
        <w:rPr>
          <w:rFonts w:ascii="Cambria" w:hAnsi="Cambria"/>
          <w:spacing w:val="25"/>
        </w:rPr>
        <w:t> </w:t>
      </w:r>
      <w:r>
        <w:rPr>
          <w:rFonts w:ascii="Cambria" w:hAnsi="Cambria"/>
        </w:rPr>
        <w:t>principales</w:t>
      </w:r>
      <w:r>
        <w:rPr>
          <w:rFonts w:ascii="Cambria" w:hAnsi="Cambria"/>
          <w:spacing w:val="27"/>
        </w:rPr>
        <w:t> </w:t>
      </w:r>
      <w:r>
        <w:rPr>
          <w:rFonts w:ascii="Cambria" w:hAnsi="Cambria"/>
        </w:rPr>
        <w:t>tienen</w:t>
      </w:r>
      <w:r>
        <w:rPr>
          <w:rFonts w:ascii="Cambria" w:hAnsi="Cambria"/>
          <w:spacing w:val="27"/>
        </w:rPr>
        <w:t> </w:t>
      </w:r>
      <w:r>
        <w:rPr>
          <w:rFonts w:ascii="Cambria" w:hAnsi="Cambria"/>
        </w:rPr>
        <w:t>un</w:t>
      </w:r>
      <w:r>
        <w:rPr>
          <w:rFonts w:ascii="Cambria" w:hAnsi="Cambria"/>
          <w:spacing w:val="27"/>
        </w:rPr>
        <w:t> </w:t>
      </w:r>
      <w:r>
        <w:rPr>
          <w:rFonts w:ascii="Cambria" w:hAnsi="Cambria"/>
        </w:rPr>
        <w:t>efecto</w:t>
      </w:r>
      <w:r>
        <w:rPr>
          <w:rFonts w:ascii="Cambria" w:hAnsi="Cambria"/>
          <w:spacing w:val="27"/>
        </w:rPr>
        <w:t> </w:t>
      </w:r>
      <w:r>
        <w:rPr>
          <w:rFonts w:ascii="Cambria" w:hAnsi="Cambria"/>
        </w:rPr>
        <w:t>bottom-up.</w:t>
      </w:r>
      <w:r>
        <w:rPr>
          <w:rFonts w:ascii="Cambria" w:hAnsi="Cambria"/>
          <w:spacing w:val="27"/>
        </w:rPr>
        <w:t> </w:t>
      </w:r>
      <w:r>
        <w:rPr>
          <w:rFonts w:ascii="Cambria" w:hAnsi="Cambria"/>
        </w:rPr>
        <w:t>El</w:t>
      </w:r>
      <w:r>
        <w:rPr>
          <w:rFonts w:ascii="Cambria" w:hAnsi="Cambria"/>
          <w:spacing w:val="27"/>
        </w:rPr>
        <w:t> </w:t>
      </w:r>
      <w:r>
        <w:rPr>
          <w:rFonts w:ascii="Cambria" w:hAnsi="Cambria"/>
        </w:rPr>
        <w:t>IAR</w:t>
      </w:r>
      <w:r>
        <w:rPr>
          <w:rFonts w:ascii="Cambria" w:hAnsi="Cambria"/>
          <w:spacing w:val="29"/>
        </w:rPr>
        <w:t> </w:t>
      </w:r>
      <w:r>
        <w:rPr>
          <w:rFonts w:ascii="Cambria" w:hAnsi="Cambria"/>
        </w:rPr>
        <w:t>de</w:t>
      </w:r>
      <w:r>
        <w:rPr>
          <w:rFonts w:ascii="Cambria" w:hAnsi="Cambria"/>
          <w:spacing w:val="27"/>
        </w:rPr>
        <w:t> </w:t>
      </w:r>
      <w:r>
        <w:rPr>
          <w:rFonts w:ascii="Cambria" w:hAnsi="Cambria"/>
        </w:rPr>
        <w:t>puma</w:t>
      </w:r>
      <w:r>
        <w:rPr>
          <w:rFonts w:ascii="Cambria" w:hAnsi="Cambria"/>
          <w:spacing w:val="27"/>
        </w:rPr>
        <w:t> </w:t>
      </w:r>
      <w:r>
        <w:rPr>
          <w:rFonts w:ascii="Cambria" w:hAnsi="Cambria"/>
        </w:rPr>
        <w:t>y</w:t>
      </w:r>
      <w:r>
        <w:rPr>
          <w:rFonts w:ascii="Cambria" w:hAnsi="Cambria"/>
          <w:spacing w:val="27"/>
        </w:rPr>
        <w:t> </w:t>
      </w:r>
      <w:r>
        <w:rPr>
          <w:rFonts w:ascii="Cambria" w:hAnsi="Cambria"/>
        </w:rPr>
        <w:t>sus</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123"/>
        <w:rPr>
          <w:rFonts w:ascii="Cambria" w:hAnsi="Cambria"/>
        </w:rPr>
      </w:pPr>
      <w:r>
        <w:rPr>
          <w:rFonts w:ascii="Cambria" w:hAnsi="Cambria"/>
          <w:w w:val="105"/>
        </w:rPr>
        <w:t>principales presas (armadillo y coatí) explican más del 98% de la variación en la tasa de crecimiento poblacional de puma. Es probable que una abundancia alta de pumas incremente la competición entre ellos y por eso se afecte la tasa de crecimiento.</w:t>
      </w:r>
      <w:r>
        <w:rPr>
          <w:rFonts w:ascii="Cambria" w:hAnsi="Cambria"/>
          <w:spacing w:val="-9"/>
          <w:w w:val="105"/>
        </w:rPr>
        <w:t> </w:t>
      </w:r>
      <w:r>
        <w:rPr>
          <w:rFonts w:ascii="Cambria" w:hAnsi="Cambria"/>
          <w:w w:val="105"/>
        </w:rPr>
        <w:t>Coatí</w:t>
      </w:r>
      <w:r>
        <w:rPr>
          <w:rFonts w:ascii="Cambria" w:hAnsi="Cambria"/>
          <w:spacing w:val="-10"/>
          <w:w w:val="105"/>
        </w:rPr>
        <w:t> </w:t>
      </w:r>
      <w:r>
        <w:rPr>
          <w:rFonts w:ascii="Cambria" w:hAnsi="Cambria"/>
          <w:w w:val="105"/>
        </w:rPr>
        <w:t>y</w:t>
      </w:r>
      <w:r>
        <w:rPr>
          <w:rFonts w:ascii="Cambria" w:hAnsi="Cambria"/>
          <w:spacing w:val="-9"/>
          <w:w w:val="105"/>
        </w:rPr>
        <w:t> </w:t>
      </w:r>
      <w:r>
        <w:rPr>
          <w:rFonts w:ascii="Cambria" w:hAnsi="Cambria"/>
          <w:w w:val="105"/>
        </w:rPr>
        <w:t>armadillo</w:t>
      </w:r>
      <w:r>
        <w:rPr>
          <w:rFonts w:ascii="Cambria" w:hAnsi="Cambria"/>
          <w:spacing w:val="-9"/>
          <w:w w:val="105"/>
        </w:rPr>
        <w:t> </w:t>
      </w:r>
      <w:r>
        <w:rPr>
          <w:rFonts w:ascii="Cambria" w:hAnsi="Cambria"/>
          <w:w w:val="105"/>
        </w:rPr>
        <w:t>tuvieron</w:t>
      </w:r>
      <w:r>
        <w:rPr>
          <w:rFonts w:ascii="Cambria" w:hAnsi="Cambria"/>
          <w:spacing w:val="-9"/>
          <w:w w:val="105"/>
        </w:rPr>
        <w:t> </w:t>
      </w:r>
      <w:r>
        <w:rPr>
          <w:rFonts w:ascii="Cambria" w:hAnsi="Cambria"/>
          <w:w w:val="105"/>
        </w:rPr>
        <w:t>un</w:t>
      </w:r>
      <w:r>
        <w:rPr>
          <w:rFonts w:ascii="Cambria" w:hAnsi="Cambria"/>
          <w:spacing w:val="-9"/>
          <w:w w:val="105"/>
        </w:rPr>
        <w:t> </w:t>
      </w:r>
      <w:r>
        <w:rPr>
          <w:rFonts w:ascii="Cambria" w:hAnsi="Cambria"/>
          <w:w w:val="105"/>
        </w:rPr>
        <w:t>efecto</w:t>
      </w:r>
      <w:r>
        <w:rPr>
          <w:rFonts w:ascii="Cambria" w:hAnsi="Cambria"/>
          <w:spacing w:val="-8"/>
          <w:w w:val="105"/>
        </w:rPr>
        <w:t> </w:t>
      </w:r>
      <w:r>
        <w:rPr>
          <w:rFonts w:ascii="Cambria" w:hAnsi="Cambria"/>
          <w:w w:val="105"/>
        </w:rPr>
        <w:t>positivo</w:t>
      </w:r>
      <w:r>
        <w:rPr>
          <w:rFonts w:ascii="Cambria" w:hAnsi="Cambria"/>
          <w:spacing w:val="-10"/>
          <w:w w:val="105"/>
        </w:rPr>
        <w:t> </w:t>
      </w:r>
      <w:r>
        <w:rPr>
          <w:rFonts w:ascii="Cambria" w:hAnsi="Cambria"/>
          <w:w w:val="105"/>
        </w:rPr>
        <w:t>en</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tasa</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crecimiento de puma, es probable que la abundancia de puma dependa de la abundancia de armadillo y coatí; los cambios positivos o negativos en la abundancia de estas presas puedes determinar los parámetros demográficos o la tasa de crecimiento poblacional del puma (Gittleman et al. 2001, Bowyer et al. 2005). El venado no fue incluido en este modelo, debido a que no mostro una relación significativa con la tasa</w:t>
      </w:r>
      <w:r>
        <w:rPr>
          <w:rFonts w:ascii="Cambria" w:hAnsi="Cambria"/>
          <w:spacing w:val="-15"/>
          <w:w w:val="105"/>
        </w:rPr>
        <w:t> </w:t>
      </w:r>
      <w:r>
        <w:rPr>
          <w:rFonts w:ascii="Cambria" w:hAnsi="Cambria"/>
          <w:w w:val="105"/>
        </w:rPr>
        <w:t>de</w:t>
      </w:r>
      <w:r>
        <w:rPr>
          <w:rFonts w:ascii="Cambria" w:hAnsi="Cambria"/>
          <w:spacing w:val="-15"/>
          <w:w w:val="105"/>
        </w:rPr>
        <w:t> </w:t>
      </w:r>
      <w:r>
        <w:rPr>
          <w:rFonts w:ascii="Cambria" w:hAnsi="Cambria"/>
          <w:w w:val="105"/>
        </w:rPr>
        <w:t>crecimiento</w:t>
      </w:r>
      <w:r>
        <w:rPr>
          <w:rFonts w:ascii="Cambria" w:hAnsi="Cambria"/>
          <w:spacing w:val="-15"/>
          <w:w w:val="105"/>
        </w:rPr>
        <w:t> </w:t>
      </w:r>
      <w:r>
        <w:rPr>
          <w:rFonts w:ascii="Cambria" w:hAnsi="Cambria"/>
          <w:w w:val="105"/>
        </w:rPr>
        <w:t>del</w:t>
      </w:r>
      <w:r>
        <w:rPr>
          <w:rFonts w:ascii="Cambria" w:hAnsi="Cambria"/>
          <w:spacing w:val="-15"/>
          <w:w w:val="105"/>
        </w:rPr>
        <w:t> </w:t>
      </w:r>
      <w:r>
        <w:rPr>
          <w:rFonts w:ascii="Cambria" w:hAnsi="Cambria"/>
          <w:w w:val="105"/>
        </w:rPr>
        <w:t>depredador.</w:t>
      </w:r>
    </w:p>
    <w:p>
      <w:pPr>
        <w:spacing w:line="301" w:lineRule="exact" w:before="0"/>
        <w:ind w:left="810" w:right="0" w:firstLine="0"/>
        <w:jc w:val="left"/>
        <w:rPr>
          <w:rFonts w:ascii="Cambria"/>
          <w:sz w:val="24"/>
        </w:rPr>
      </w:pPr>
      <w:r>
        <w:rPr>
          <w:rFonts w:ascii="Cambria"/>
          <w:sz w:val="24"/>
        </w:rPr>
        <w:t>En otros estudios con puma y  </w:t>
      </w:r>
      <w:r>
        <w:rPr>
          <w:rFonts w:ascii="Palatino Linotype"/>
          <w:i/>
          <w:sz w:val="24"/>
        </w:rPr>
        <w:t>Odocoileus emionus </w:t>
      </w:r>
      <w:r>
        <w:rPr>
          <w:rFonts w:ascii="Cambria"/>
          <w:sz w:val="24"/>
        </w:rPr>
        <w:t>en Round    valley han</w:t>
      </w:r>
    </w:p>
    <w:p>
      <w:pPr>
        <w:pStyle w:val="BodyText"/>
        <w:spacing w:before="2"/>
        <w:rPr>
          <w:rFonts w:ascii="Cambria"/>
          <w:sz w:val="25"/>
        </w:rPr>
      </w:pPr>
    </w:p>
    <w:p>
      <w:pPr>
        <w:pStyle w:val="BodyText"/>
        <w:spacing w:line="508" w:lineRule="auto"/>
        <w:ind w:left="102" w:right="159"/>
        <w:rPr>
          <w:rFonts w:ascii="Cambria" w:hAnsi="Cambria"/>
        </w:rPr>
      </w:pPr>
      <w:r>
        <w:rPr>
          <w:rFonts w:ascii="Cambria" w:hAnsi="Cambria"/>
          <w:w w:val="105"/>
        </w:rPr>
        <w:t>encontrado</w:t>
      </w:r>
      <w:r>
        <w:rPr>
          <w:rFonts w:ascii="Cambria" w:hAnsi="Cambria"/>
          <w:spacing w:val="-9"/>
          <w:w w:val="105"/>
        </w:rPr>
        <w:t> </w:t>
      </w:r>
      <w:r>
        <w:rPr>
          <w:rFonts w:ascii="Cambria" w:hAnsi="Cambria"/>
          <w:w w:val="105"/>
        </w:rPr>
        <w:t>que</w:t>
      </w:r>
      <w:r>
        <w:rPr>
          <w:rFonts w:ascii="Cambria" w:hAnsi="Cambria"/>
          <w:spacing w:val="-9"/>
          <w:w w:val="105"/>
        </w:rPr>
        <w:t> </w:t>
      </w:r>
      <w:r>
        <w:rPr>
          <w:rFonts w:ascii="Cambria" w:hAnsi="Cambria"/>
          <w:w w:val="105"/>
        </w:rPr>
        <w:t>ambos</w:t>
      </w:r>
      <w:r>
        <w:rPr>
          <w:rFonts w:ascii="Cambria" w:hAnsi="Cambria"/>
          <w:spacing w:val="-10"/>
          <w:w w:val="105"/>
        </w:rPr>
        <w:t> </w:t>
      </w:r>
      <w:r>
        <w:rPr>
          <w:rFonts w:ascii="Cambria" w:hAnsi="Cambria"/>
          <w:w w:val="105"/>
        </w:rPr>
        <w:t>efectos</w:t>
      </w:r>
      <w:r>
        <w:rPr>
          <w:rFonts w:ascii="Cambria" w:hAnsi="Cambria"/>
          <w:spacing w:val="-10"/>
          <w:w w:val="105"/>
        </w:rPr>
        <w:t> </w:t>
      </w:r>
      <w:r>
        <w:rPr>
          <w:rFonts w:ascii="Cambria" w:hAnsi="Cambria"/>
          <w:w w:val="105"/>
        </w:rPr>
        <w:t>(top-down</w:t>
      </w:r>
      <w:r>
        <w:rPr>
          <w:rFonts w:ascii="Cambria" w:hAnsi="Cambria"/>
          <w:spacing w:val="-10"/>
          <w:w w:val="105"/>
        </w:rPr>
        <w:t> </w:t>
      </w:r>
      <w:r>
        <w:rPr>
          <w:rFonts w:ascii="Cambria" w:hAnsi="Cambria"/>
          <w:w w:val="105"/>
        </w:rPr>
        <w:t>y</w:t>
      </w:r>
      <w:r>
        <w:rPr>
          <w:rFonts w:ascii="Cambria" w:hAnsi="Cambria"/>
          <w:spacing w:val="-9"/>
          <w:w w:val="105"/>
        </w:rPr>
        <w:t> </w:t>
      </w:r>
      <w:r>
        <w:rPr>
          <w:rFonts w:ascii="Cambria" w:hAnsi="Cambria"/>
          <w:w w:val="105"/>
        </w:rPr>
        <w:t>buttom-up),</w:t>
      </w:r>
      <w:r>
        <w:rPr>
          <w:rFonts w:ascii="Cambria" w:hAnsi="Cambria"/>
          <w:spacing w:val="-9"/>
          <w:w w:val="105"/>
        </w:rPr>
        <w:t> </w:t>
      </w:r>
      <w:r>
        <w:rPr>
          <w:rFonts w:ascii="Cambria" w:hAnsi="Cambria"/>
          <w:w w:val="105"/>
        </w:rPr>
        <w:t>regulan</w:t>
      </w:r>
      <w:r>
        <w:rPr>
          <w:rFonts w:ascii="Cambria" w:hAnsi="Cambria"/>
          <w:spacing w:val="-10"/>
          <w:w w:val="105"/>
        </w:rPr>
        <w:t> </w:t>
      </w:r>
      <w:r>
        <w:rPr>
          <w:rFonts w:ascii="Cambria" w:hAnsi="Cambria"/>
          <w:w w:val="105"/>
        </w:rPr>
        <w:t>la</w:t>
      </w:r>
      <w:r>
        <w:rPr>
          <w:rFonts w:ascii="Cambria" w:hAnsi="Cambria"/>
          <w:spacing w:val="-9"/>
          <w:w w:val="105"/>
        </w:rPr>
        <w:t> </w:t>
      </w:r>
      <w:r>
        <w:rPr>
          <w:rFonts w:ascii="Cambria" w:hAnsi="Cambria"/>
          <w:w w:val="105"/>
        </w:rPr>
        <w:t>dinámica</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las poblaciones</w:t>
      </w:r>
      <w:r>
        <w:rPr>
          <w:rFonts w:ascii="Cambria" w:hAnsi="Cambria"/>
          <w:spacing w:val="-16"/>
          <w:w w:val="105"/>
        </w:rPr>
        <w:t> </w:t>
      </w:r>
      <w:r>
        <w:rPr>
          <w:rFonts w:ascii="Cambria" w:hAnsi="Cambria"/>
          <w:w w:val="105"/>
        </w:rPr>
        <w:t>(Pierce</w:t>
      </w:r>
      <w:r>
        <w:rPr>
          <w:rFonts w:ascii="Cambria" w:hAnsi="Cambria"/>
          <w:spacing w:val="-15"/>
          <w:w w:val="105"/>
        </w:rPr>
        <w:t> </w:t>
      </w:r>
      <w:r>
        <w:rPr>
          <w:rFonts w:ascii="Cambria" w:hAnsi="Cambria"/>
          <w:w w:val="105"/>
        </w:rPr>
        <w:t>et</w:t>
      </w:r>
      <w:r>
        <w:rPr>
          <w:rFonts w:ascii="Cambria" w:hAnsi="Cambria"/>
          <w:spacing w:val="-14"/>
          <w:w w:val="105"/>
        </w:rPr>
        <w:t> </w:t>
      </w:r>
      <w:r>
        <w:rPr>
          <w:rFonts w:ascii="Cambria" w:hAnsi="Cambria"/>
          <w:w w:val="105"/>
        </w:rPr>
        <w:t>al.</w:t>
      </w:r>
      <w:r>
        <w:rPr>
          <w:rFonts w:ascii="Cambria" w:hAnsi="Cambria"/>
          <w:spacing w:val="-15"/>
          <w:w w:val="105"/>
        </w:rPr>
        <w:t> </w:t>
      </w:r>
      <w:r>
        <w:rPr>
          <w:rFonts w:ascii="Cambria" w:hAnsi="Cambria"/>
          <w:w w:val="105"/>
        </w:rPr>
        <w:t>2012).</w:t>
      </w:r>
      <w:r>
        <w:rPr>
          <w:rFonts w:ascii="Cambria" w:hAnsi="Cambria"/>
          <w:spacing w:val="-15"/>
          <w:w w:val="105"/>
        </w:rPr>
        <w:t> </w:t>
      </w:r>
      <w:r>
        <w:rPr>
          <w:rFonts w:ascii="Cambria" w:hAnsi="Cambria"/>
          <w:w w:val="105"/>
        </w:rPr>
        <w:t>Mientras</w:t>
      </w:r>
      <w:r>
        <w:rPr>
          <w:rFonts w:ascii="Cambria" w:hAnsi="Cambria"/>
          <w:spacing w:val="-16"/>
          <w:w w:val="105"/>
        </w:rPr>
        <w:t> </w:t>
      </w:r>
      <w:r>
        <w:rPr>
          <w:rFonts w:ascii="Cambria" w:hAnsi="Cambria"/>
          <w:w w:val="105"/>
        </w:rPr>
        <w:t>que</w:t>
      </w:r>
      <w:r>
        <w:rPr>
          <w:rFonts w:ascii="Cambria" w:hAnsi="Cambria"/>
          <w:spacing w:val="-15"/>
          <w:w w:val="105"/>
        </w:rPr>
        <w:t> </w:t>
      </w:r>
      <w:r>
        <w:rPr>
          <w:rFonts w:ascii="Cambria" w:hAnsi="Cambria"/>
          <w:w w:val="105"/>
        </w:rPr>
        <w:t>en</w:t>
      </w:r>
      <w:r>
        <w:rPr>
          <w:rFonts w:ascii="Cambria" w:hAnsi="Cambria"/>
          <w:spacing w:val="-15"/>
          <w:w w:val="105"/>
        </w:rPr>
        <w:t> </w:t>
      </w:r>
      <w:r>
        <w:rPr>
          <w:rFonts w:ascii="Cambria" w:hAnsi="Cambria"/>
          <w:w w:val="105"/>
        </w:rPr>
        <w:t>el</w:t>
      </w:r>
      <w:r>
        <w:rPr>
          <w:rFonts w:ascii="Cambria" w:hAnsi="Cambria"/>
          <w:spacing w:val="-15"/>
          <w:w w:val="105"/>
        </w:rPr>
        <w:t> </w:t>
      </w:r>
      <w:r>
        <w:rPr>
          <w:rFonts w:ascii="Cambria" w:hAnsi="Cambria"/>
          <w:w w:val="105"/>
        </w:rPr>
        <w:t>parque</w:t>
      </w:r>
      <w:r>
        <w:rPr>
          <w:rFonts w:ascii="Cambria" w:hAnsi="Cambria"/>
          <w:spacing w:val="-15"/>
          <w:w w:val="105"/>
        </w:rPr>
        <w:t> </w:t>
      </w:r>
      <w:r>
        <w:rPr>
          <w:rFonts w:ascii="Cambria" w:hAnsi="Cambria"/>
          <w:w w:val="105"/>
        </w:rPr>
        <w:t>nacional</w:t>
      </w:r>
      <w:r>
        <w:rPr>
          <w:rFonts w:ascii="Cambria" w:hAnsi="Cambria"/>
          <w:spacing w:val="-14"/>
          <w:w w:val="105"/>
        </w:rPr>
        <w:t> </w:t>
      </w:r>
      <w:r>
        <w:rPr>
          <w:rFonts w:ascii="Cambria" w:hAnsi="Cambria"/>
          <w:w w:val="105"/>
        </w:rPr>
        <w:t>de</w:t>
      </w:r>
      <w:r>
        <w:rPr>
          <w:rFonts w:ascii="Cambria" w:hAnsi="Cambria"/>
          <w:spacing w:val="-15"/>
          <w:w w:val="105"/>
        </w:rPr>
        <w:t> </w:t>
      </w:r>
      <w:r>
        <w:rPr>
          <w:rFonts w:ascii="Cambria" w:hAnsi="Cambria"/>
          <w:w w:val="105"/>
        </w:rPr>
        <w:t>Yosemite</w:t>
      </w:r>
      <w:r>
        <w:rPr>
          <w:rFonts w:ascii="Cambria" w:hAnsi="Cambria"/>
          <w:spacing w:val="-15"/>
          <w:w w:val="105"/>
        </w:rPr>
        <w:t> </w:t>
      </w:r>
      <w:r>
        <w:rPr>
          <w:rFonts w:ascii="Cambria" w:hAnsi="Cambria"/>
          <w:w w:val="105"/>
        </w:rPr>
        <w:t>se encontro</w:t>
      </w:r>
      <w:r>
        <w:rPr>
          <w:rFonts w:ascii="Cambria" w:hAnsi="Cambria"/>
          <w:spacing w:val="-18"/>
          <w:w w:val="105"/>
        </w:rPr>
        <w:t> </w:t>
      </w:r>
      <w:r>
        <w:rPr>
          <w:rFonts w:ascii="Cambria" w:hAnsi="Cambria"/>
          <w:w w:val="105"/>
        </w:rPr>
        <w:t>un</w:t>
      </w:r>
      <w:r>
        <w:rPr>
          <w:rFonts w:ascii="Cambria" w:hAnsi="Cambria"/>
          <w:spacing w:val="-18"/>
          <w:w w:val="105"/>
        </w:rPr>
        <w:t> </w:t>
      </w:r>
      <w:r>
        <w:rPr>
          <w:rFonts w:ascii="Cambria" w:hAnsi="Cambria"/>
          <w:w w:val="105"/>
        </w:rPr>
        <w:t>efecto</w:t>
      </w:r>
      <w:r>
        <w:rPr>
          <w:rFonts w:ascii="Cambria" w:hAnsi="Cambria"/>
          <w:spacing w:val="-17"/>
          <w:w w:val="105"/>
        </w:rPr>
        <w:t> </w:t>
      </w:r>
      <w:r>
        <w:rPr>
          <w:rFonts w:ascii="Cambria" w:hAnsi="Cambria"/>
          <w:w w:val="105"/>
        </w:rPr>
        <w:t>top-down</w:t>
      </w:r>
      <w:r>
        <w:rPr>
          <w:rFonts w:ascii="Cambria" w:hAnsi="Cambria"/>
          <w:spacing w:val="-19"/>
          <w:w w:val="105"/>
        </w:rPr>
        <w:t> </w:t>
      </w:r>
      <w:r>
        <w:rPr>
          <w:rFonts w:ascii="Cambria" w:hAnsi="Cambria"/>
          <w:w w:val="105"/>
        </w:rPr>
        <w:t>(Novaro</w:t>
      </w:r>
      <w:r>
        <w:rPr>
          <w:rFonts w:ascii="Cambria" w:hAnsi="Cambria"/>
          <w:spacing w:val="-18"/>
          <w:w w:val="105"/>
        </w:rPr>
        <w:t> </w:t>
      </w:r>
      <w:r>
        <w:rPr>
          <w:rFonts w:ascii="Cambria" w:hAnsi="Cambria"/>
          <w:w w:val="105"/>
        </w:rPr>
        <w:t>and</w:t>
      </w:r>
      <w:r>
        <w:rPr>
          <w:rFonts w:ascii="Cambria" w:hAnsi="Cambria"/>
          <w:spacing w:val="-19"/>
          <w:w w:val="105"/>
        </w:rPr>
        <w:t> </w:t>
      </w:r>
      <w:r>
        <w:rPr>
          <w:rFonts w:ascii="Cambria" w:hAnsi="Cambria"/>
          <w:w w:val="105"/>
        </w:rPr>
        <w:t>Walker</w:t>
      </w:r>
      <w:r>
        <w:rPr>
          <w:rFonts w:ascii="Cambria" w:hAnsi="Cambria"/>
          <w:spacing w:val="-17"/>
          <w:w w:val="105"/>
        </w:rPr>
        <w:t> </w:t>
      </w:r>
      <w:r>
        <w:rPr>
          <w:rFonts w:ascii="Cambria" w:hAnsi="Cambria"/>
          <w:w w:val="105"/>
        </w:rPr>
        <w:t>2005;</w:t>
      </w:r>
      <w:r>
        <w:rPr>
          <w:rFonts w:ascii="Cambria" w:hAnsi="Cambria"/>
          <w:spacing w:val="-18"/>
          <w:w w:val="105"/>
        </w:rPr>
        <w:t> </w:t>
      </w:r>
      <w:r>
        <w:rPr>
          <w:rFonts w:ascii="Cambria" w:hAnsi="Cambria"/>
          <w:w w:val="105"/>
        </w:rPr>
        <w:t>Ripple</w:t>
      </w:r>
      <w:r>
        <w:rPr>
          <w:rFonts w:ascii="Cambria" w:hAnsi="Cambria"/>
          <w:spacing w:val="-18"/>
          <w:w w:val="105"/>
        </w:rPr>
        <w:t> </w:t>
      </w:r>
      <w:r>
        <w:rPr>
          <w:rFonts w:ascii="Cambria" w:hAnsi="Cambria"/>
          <w:w w:val="105"/>
        </w:rPr>
        <w:t>and</w:t>
      </w:r>
      <w:r>
        <w:rPr>
          <w:rFonts w:ascii="Cambria" w:hAnsi="Cambria"/>
          <w:spacing w:val="-19"/>
          <w:w w:val="105"/>
        </w:rPr>
        <w:t> </w:t>
      </w:r>
      <w:r>
        <w:rPr>
          <w:rFonts w:ascii="Cambria" w:hAnsi="Cambria"/>
          <w:w w:val="105"/>
        </w:rPr>
        <w:t>Beschta</w:t>
      </w:r>
      <w:r>
        <w:rPr>
          <w:rFonts w:ascii="Cambria" w:hAnsi="Cambria"/>
          <w:spacing w:val="-18"/>
          <w:w w:val="105"/>
        </w:rPr>
        <w:t> </w:t>
      </w:r>
      <w:r>
        <w:rPr>
          <w:rFonts w:ascii="Cambria" w:hAnsi="Cambria"/>
          <w:w w:val="105"/>
        </w:rPr>
        <w:t>2008), sin</w:t>
      </w:r>
      <w:r>
        <w:rPr>
          <w:rFonts w:ascii="Cambria" w:hAnsi="Cambria"/>
          <w:spacing w:val="-13"/>
          <w:w w:val="105"/>
        </w:rPr>
        <w:t> </w:t>
      </w:r>
      <w:r>
        <w:rPr>
          <w:rFonts w:ascii="Cambria" w:hAnsi="Cambria"/>
          <w:w w:val="105"/>
        </w:rPr>
        <w:t>embargo</w:t>
      </w:r>
      <w:r>
        <w:rPr>
          <w:rFonts w:ascii="Cambria" w:hAnsi="Cambria"/>
          <w:spacing w:val="-12"/>
          <w:w w:val="105"/>
        </w:rPr>
        <w:t> </w:t>
      </w:r>
      <w:r>
        <w:rPr>
          <w:rFonts w:ascii="Cambria" w:hAnsi="Cambria"/>
          <w:w w:val="105"/>
        </w:rPr>
        <w:t>es</w:t>
      </w:r>
      <w:r>
        <w:rPr>
          <w:rFonts w:ascii="Cambria" w:hAnsi="Cambria"/>
          <w:spacing w:val="-13"/>
          <w:w w:val="105"/>
        </w:rPr>
        <w:t> </w:t>
      </w:r>
      <w:r>
        <w:rPr>
          <w:rFonts w:ascii="Cambria" w:hAnsi="Cambria"/>
          <w:w w:val="105"/>
        </w:rPr>
        <w:t>importante</w:t>
      </w:r>
      <w:r>
        <w:rPr>
          <w:rFonts w:ascii="Cambria" w:hAnsi="Cambria"/>
          <w:spacing w:val="-12"/>
          <w:w w:val="105"/>
        </w:rPr>
        <w:t> </w:t>
      </w:r>
      <w:r>
        <w:rPr>
          <w:rFonts w:ascii="Cambria" w:hAnsi="Cambria"/>
          <w:w w:val="105"/>
        </w:rPr>
        <w:t>considerar</w:t>
      </w:r>
      <w:r>
        <w:rPr>
          <w:rFonts w:ascii="Cambria" w:hAnsi="Cambria"/>
          <w:spacing w:val="-12"/>
          <w:w w:val="105"/>
        </w:rPr>
        <w:t> </w:t>
      </w:r>
      <w:r>
        <w:rPr>
          <w:rFonts w:ascii="Cambria" w:hAnsi="Cambria"/>
          <w:w w:val="105"/>
        </w:rPr>
        <w:t>que</w:t>
      </w:r>
      <w:r>
        <w:rPr>
          <w:rFonts w:ascii="Cambria" w:hAnsi="Cambria"/>
          <w:spacing w:val="-12"/>
          <w:w w:val="105"/>
        </w:rPr>
        <w:t> </w:t>
      </w:r>
      <w:r>
        <w:rPr>
          <w:rFonts w:ascii="Cambria" w:hAnsi="Cambria"/>
          <w:w w:val="105"/>
        </w:rPr>
        <w:t>las</w:t>
      </w:r>
      <w:r>
        <w:rPr>
          <w:rFonts w:ascii="Cambria" w:hAnsi="Cambria"/>
          <w:spacing w:val="-13"/>
          <w:w w:val="105"/>
        </w:rPr>
        <w:t> </w:t>
      </w:r>
      <w:r>
        <w:rPr>
          <w:rFonts w:ascii="Cambria" w:hAnsi="Cambria"/>
          <w:w w:val="105"/>
        </w:rPr>
        <w:t>direcciones</w:t>
      </w:r>
      <w:r>
        <w:rPr>
          <w:rFonts w:ascii="Cambria" w:hAnsi="Cambria"/>
          <w:spacing w:val="-12"/>
          <w:w w:val="105"/>
        </w:rPr>
        <w:t> </w:t>
      </w:r>
      <w:r>
        <w:rPr>
          <w:rFonts w:ascii="Cambria" w:hAnsi="Cambria"/>
          <w:w w:val="105"/>
        </w:rPr>
        <w:t>de</w:t>
      </w:r>
      <w:r>
        <w:rPr>
          <w:rFonts w:ascii="Cambria" w:hAnsi="Cambria"/>
          <w:spacing w:val="-12"/>
          <w:w w:val="105"/>
        </w:rPr>
        <w:t> </w:t>
      </w:r>
      <w:r>
        <w:rPr>
          <w:rFonts w:ascii="Cambria" w:hAnsi="Cambria"/>
          <w:w w:val="105"/>
        </w:rPr>
        <w:t>los</w:t>
      </w:r>
      <w:r>
        <w:rPr>
          <w:rFonts w:ascii="Cambria" w:hAnsi="Cambria"/>
          <w:spacing w:val="-13"/>
          <w:w w:val="105"/>
        </w:rPr>
        <w:t> </w:t>
      </w:r>
      <w:r>
        <w:rPr>
          <w:rFonts w:ascii="Cambria" w:hAnsi="Cambria"/>
          <w:w w:val="105"/>
        </w:rPr>
        <w:t>efectos</w:t>
      </w:r>
      <w:r>
        <w:rPr>
          <w:rFonts w:ascii="Cambria" w:hAnsi="Cambria"/>
          <w:spacing w:val="-13"/>
          <w:w w:val="105"/>
        </w:rPr>
        <w:t> </w:t>
      </w:r>
      <w:r>
        <w:rPr>
          <w:rFonts w:ascii="Cambria" w:hAnsi="Cambria"/>
          <w:w w:val="105"/>
        </w:rPr>
        <w:t>top-down y bottom-up en dinámicas poblacionales pueden cambiar sobre el tiempo y espacio, por lo que es importante realizar un monitoreo constante para tomar mejores</w:t>
      </w:r>
      <w:r>
        <w:rPr>
          <w:rFonts w:ascii="Cambria" w:hAnsi="Cambria"/>
          <w:spacing w:val="-15"/>
          <w:w w:val="105"/>
        </w:rPr>
        <w:t> </w:t>
      </w:r>
      <w:r>
        <w:rPr>
          <w:rFonts w:ascii="Cambria" w:hAnsi="Cambria"/>
          <w:w w:val="105"/>
        </w:rPr>
        <w:t>decisiones</w:t>
      </w:r>
      <w:r>
        <w:rPr>
          <w:rFonts w:ascii="Cambria" w:hAnsi="Cambria"/>
          <w:spacing w:val="-15"/>
          <w:w w:val="105"/>
        </w:rPr>
        <w:t> </w:t>
      </w:r>
      <w:r>
        <w:rPr>
          <w:rFonts w:ascii="Cambria" w:hAnsi="Cambria"/>
          <w:w w:val="105"/>
        </w:rPr>
        <w:t>de</w:t>
      </w:r>
      <w:r>
        <w:rPr>
          <w:rFonts w:ascii="Cambria" w:hAnsi="Cambria"/>
          <w:spacing w:val="-13"/>
          <w:w w:val="105"/>
        </w:rPr>
        <w:t> </w:t>
      </w:r>
      <w:r>
        <w:rPr>
          <w:rFonts w:ascii="Cambria" w:hAnsi="Cambria"/>
          <w:w w:val="105"/>
        </w:rPr>
        <w:t>conservación</w:t>
      </w:r>
      <w:r>
        <w:rPr>
          <w:rFonts w:ascii="Cambria" w:hAnsi="Cambria"/>
          <w:spacing w:val="-13"/>
          <w:w w:val="105"/>
        </w:rPr>
        <w:t> </w:t>
      </w:r>
      <w:r>
        <w:rPr>
          <w:rFonts w:ascii="Cambria" w:hAnsi="Cambria"/>
          <w:w w:val="105"/>
        </w:rPr>
        <w:t>(Boyer</w:t>
      </w:r>
      <w:r>
        <w:rPr>
          <w:rFonts w:ascii="Cambria" w:hAnsi="Cambria"/>
          <w:spacing w:val="-14"/>
          <w:w w:val="105"/>
        </w:rPr>
        <w:t> </w:t>
      </w:r>
      <w:r>
        <w:rPr>
          <w:rFonts w:ascii="Cambria" w:hAnsi="Cambria"/>
          <w:w w:val="105"/>
        </w:rPr>
        <w:t>et</w:t>
      </w:r>
      <w:r>
        <w:rPr>
          <w:rFonts w:ascii="Cambria" w:hAnsi="Cambria"/>
          <w:spacing w:val="-16"/>
          <w:w w:val="105"/>
        </w:rPr>
        <w:t> </w:t>
      </w:r>
      <w:r>
        <w:rPr>
          <w:rFonts w:ascii="Cambria" w:hAnsi="Cambria"/>
          <w:w w:val="105"/>
        </w:rPr>
        <w:t>al.</w:t>
      </w:r>
      <w:r>
        <w:rPr>
          <w:rFonts w:ascii="Cambria" w:hAnsi="Cambria"/>
          <w:spacing w:val="-15"/>
          <w:w w:val="105"/>
        </w:rPr>
        <w:t> </w:t>
      </w:r>
      <w:r>
        <w:rPr>
          <w:rFonts w:ascii="Cambria" w:hAnsi="Cambria"/>
          <w:w w:val="105"/>
        </w:rPr>
        <w:t>2003).</w:t>
      </w:r>
      <w:r>
        <w:rPr>
          <w:rFonts w:ascii="Cambria" w:hAnsi="Cambria"/>
          <w:spacing w:val="-15"/>
          <w:w w:val="105"/>
        </w:rPr>
        <w:t> </w:t>
      </w:r>
      <w:r>
        <w:rPr>
          <w:rFonts w:ascii="Cambria" w:hAnsi="Cambria"/>
          <w:w w:val="105"/>
        </w:rPr>
        <w:t>Con</w:t>
      </w:r>
      <w:r>
        <w:rPr>
          <w:rFonts w:ascii="Cambria" w:hAnsi="Cambria"/>
          <w:spacing w:val="-15"/>
          <w:w w:val="105"/>
        </w:rPr>
        <w:t> </w:t>
      </w:r>
      <w:r>
        <w:rPr>
          <w:rFonts w:ascii="Cambria" w:hAnsi="Cambria"/>
          <w:w w:val="105"/>
        </w:rPr>
        <w:t>este</w:t>
      </w:r>
      <w:r>
        <w:rPr>
          <w:rFonts w:ascii="Cambria" w:hAnsi="Cambria"/>
          <w:spacing w:val="-15"/>
          <w:w w:val="105"/>
        </w:rPr>
        <w:t> </w:t>
      </w:r>
      <w:r>
        <w:rPr>
          <w:rFonts w:ascii="Cambria" w:hAnsi="Cambria"/>
          <w:w w:val="105"/>
        </w:rPr>
        <w:t>estudio</w:t>
      </w:r>
      <w:r>
        <w:rPr>
          <w:rFonts w:ascii="Cambria" w:hAnsi="Cambria"/>
          <w:spacing w:val="-15"/>
          <w:w w:val="105"/>
        </w:rPr>
        <w:t> </w:t>
      </w:r>
      <w:r>
        <w:rPr>
          <w:rFonts w:ascii="Cambria" w:hAnsi="Cambria"/>
          <w:w w:val="105"/>
        </w:rPr>
        <w:t>se</w:t>
      </w:r>
      <w:r>
        <w:rPr>
          <w:rFonts w:ascii="Cambria" w:hAnsi="Cambria"/>
          <w:spacing w:val="-15"/>
          <w:w w:val="105"/>
        </w:rPr>
        <w:t> </w:t>
      </w:r>
      <w:r>
        <w:rPr>
          <w:rFonts w:ascii="Cambria" w:hAnsi="Cambria"/>
          <w:w w:val="105"/>
        </w:rPr>
        <w:t>puede demostrar que las presas principales del puma (armadillo y coatí) en al RNSN son importantes</w:t>
      </w:r>
      <w:r>
        <w:rPr>
          <w:rFonts w:ascii="Cambria" w:hAnsi="Cambria"/>
          <w:spacing w:val="-16"/>
          <w:w w:val="105"/>
        </w:rPr>
        <w:t> </w:t>
      </w:r>
      <w:r>
        <w:rPr>
          <w:rFonts w:ascii="Cambria" w:hAnsi="Cambria"/>
          <w:w w:val="105"/>
        </w:rPr>
        <w:t>para</w:t>
      </w:r>
      <w:r>
        <w:rPr>
          <w:rFonts w:ascii="Cambria" w:hAnsi="Cambria"/>
          <w:spacing w:val="-14"/>
          <w:w w:val="105"/>
        </w:rPr>
        <w:t> </w:t>
      </w:r>
      <w:r>
        <w:rPr>
          <w:rFonts w:ascii="Cambria" w:hAnsi="Cambria"/>
          <w:w w:val="105"/>
        </w:rPr>
        <w:t>la</w:t>
      </w:r>
      <w:r>
        <w:rPr>
          <w:rFonts w:ascii="Cambria" w:hAnsi="Cambria"/>
          <w:spacing w:val="-15"/>
          <w:w w:val="105"/>
        </w:rPr>
        <w:t> </w:t>
      </w:r>
      <w:r>
        <w:rPr>
          <w:rFonts w:ascii="Cambria" w:hAnsi="Cambria"/>
          <w:w w:val="105"/>
        </w:rPr>
        <w:t>conservación</w:t>
      </w:r>
      <w:r>
        <w:rPr>
          <w:rFonts w:ascii="Cambria" w:hAnsi="Cambria"/>
          <w:spacing w:val="-15"/>
          <w:w w:val="105"/>
        </w:rPr>
        <w:t> </w:t>
      </w:r>
      <w:r>
        <w:rPr>
          <w:rFonts w:ascii="Cambria" w:hAnsi="Cambria"/>
          <w:w w:val="105"/>
        </w:rPr>
        <w:t>de</w:t>
      </w:r>
      <w:r>
        <w:rPr>
          <w:rFonts w:ascii="Cambria" w:hAnsi="Cambria"/>
          <w:spacing w:val="-15"/>
          <w:w w:val="105"/>
        </w:rPr>
        <w:t> </w:t>
      </w:r>
      <w:r>
        <w:rPr>
          <w:rFonts w:ascii="Cambria" w:hAnsi="Cambria"/>
          <w:w w:val="105"/>
        </w:rPr>
        <w:t>felino.</w:t>
      </w:r>
    </w:p>
    <w:p>
      <w:pPr>
        <w:pStyle w:val="BodyText"/>
        <w:spacing w:line="508" w:lineRule="auto"/>
        <w:ind w:left="102" w:firstLine="707"/>
        <w:rPr>
          <w:rFonts w:ascii="Cambria" w:hAnsi="Cambria"/>
        </w:rPr>
      </w:pPr>
      <w:r>
        <w:rPr>
          <w:rFonts w:ascii="Cambria" w:hAnsi="Cambria"/>
          <w:w w:val="105"/>
        </w:rPr>
        <w:t>Finalmente la estimación de parámetros demográficos (migración e inmigración),</w:t>
      </w:r>
      <w:r>
        <w:rPr>
          <w:rFonts w:ascii="Cambria" w:hAnsi="Cambria"/>
          <w:spacing w:val="-9"/>
          <w:w w:val="105"/>
        </w:rPr>
        <w:t> </w:t>
      </w:r>
      <w:r>
        <w:rPr>
          <w:rFonts w:ascii="Cambria" w:hAnsi="Cambria"/>
          <w:w w:val="105"/>
        </w:rPr>
        <w:t>para</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primer</w:t>
      </w:r>
      <w:r>
        <w:rPr>
          <w:rFonts w:ascii="Cambria" w:hAnsi="Cambria"/>
          <w:spacing w:val="-8"/>
          <w:w w:val="105"/>
        </w:rPr>
        <w:t> </w:t>
      </w:r>
      <w:r>
        <w:rPr>
          <w:rFonts w:ascii="Cambria" w:hAnsi="Cambria"/>
          <w:w w:val="105"/>
        </w:rPr>
        <w:t>área</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muestreo</w:t>
      </w:r>
      <w:r>
        <w:rPr>
          <w:rFonts w:ascii="Cambria" w:hAnsi="Cambria"/>
          <w:spacing w:val="-9"/>
          <w:w w:val="105"/>
        </w:rPr>
        <w:t> </w:t>
      </w:r>
      <w:r>
        <w:rPr>
          <w:rFonts w:ascii="Cambria" w:hAnsi="Cambria"/>
          <w:w w:val="105"/>
        </w:rPr>
        <w:t>fue</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57</w:t>
      </w:r>
      <w:r>
        <w:rPr>
          <w:rFonts w:ascii="Cambria" w:hAnsi="Cambria"/>
          <w:spacing w:val="-9"/>
          <w:w w:val="105"/>
        </w:rPr>
        <w:t> </w:t>
      </w:r>
      <w:r>
        <w:rPr>
          <w:rFonts w:ascii="Cambria" w:hAnsi="Cambria"/>
          <w:w w:val="105"/>
        </w:rPr>
        <w:t>%,</w:t>
      </w:r>
      <w:r>
        <w:rPr>
          <w:rFonts w:ascii="Cambria" w:hAnsi="Cambria"/>
          <w:spacing w:val="-9"/>
          <w:w w:val="105"/>
        </w:rPr>
        <w:t> </w:t>
      </w:r>
      <w:r>
        <w:rPr>
          <w:rFonts w:ascii="Cambria" w:hAnsi="Cambria"/>
          <w:w w:val="105"/>
        </w:rPr>
        <w:t>para</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segunda</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de</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101"/>
        <w:rPr>
          <w:rFonts w:ascii="Cambria" w:hAnsi="Cambria"/>
        </w:rPr>
      </w:pPr>
      <w:r>
        <w:rPr>
          <w:rFonts w:ascii="Cambria" w:hAnsi="Cambria"/>
          <w:w w:val="105"/>
        </w:rPr>
        <w:t>40% y en la tercer de 100 % para ambos parámetros. En este estudio, se consideraron, las dos primeras áreas de muestreo como las de la zona protegida, y las</w:t>
      </w:r>
      <w:r>
        <w:rPr>
          <w:rFonts w:ascii="Cambria" w:hAnsi="Cambria"/>
          <w:spacing w:val="-8"/>
          <w:w w:val="105"/>
        </w:rPr>
        <w:t> </w:t>
      </w:r>
      <w:r>
        <w:rPr>
          <w:rFonts w:ascii="Cambria" w:hAnsi="Cambria"/>
          <w:w w:val="105"/>
        </w:rPr>
        <w:t>del</w:t>
      </w:r>
      <w:r>
        <w:rPr>
          <w:rFonts w:ascii="Cambria" w:hAnsi="Cambria"/>
          <w:spacing w:val="-7"/>
          <w:w w:val="105"/>
        </w:rPr>
        <w:t> </w:t>
      </w:r>
      <w:r>
        <w:rPr>
          <w:rFonts w:ascii="Cambria" w:hAnsi="Cambria"/>
          <w:w w:val="105"/>
        </w:rPr>
        <w:t>último</w:t>
      </w:r>
      <w:r>
        <w:rPr>
          <w:rFonts w:ascii="Cambria" w:hAnsi="Cambria"/>
          <w:spacing w:val="-7"/>
          <w:w w:val="105"/>
        </w:rPr>
        <w:t> </w:t>
      </w:r>
      <w:r>
        <w:rPr>
          <w:rFonts w:ascii="Cambria" w:hAnsi="Cambria"/>
          <w:w w:val="105"/>
        </w:rPr>
        <w:t>muestreo</w:t>
      </w:r>
      <w:r>
        <w:rPr>
          <w:rFonts w:ascii="Cambria" w:hAnsi="Cambria"/>
          <w:spacing w:val="-5"/>
          <w:w w:val="105"/>
        </w:rPr>
        <w:t> </w:t>
      </w:r>
      <w:r>
        <w:rPr>
          <w:rFonts w:ascii="Cambria" w:hAnsi="Cambria"/>
          <w:w w:val="105"/>
        </w:rPr>
        <w:t>como</w:t>
      </w:r>
      <w:r>
        <w:rPr>
          <w:rFonts w:ascii="Cambria" w:hAnsi="Cambria"/>
          <w:spacing w:val="-7"/>
          <w:w w:val="105"/>
        </w:rPr>
        <w:t> </w:t>
      </w:r>
      <w:r>
        <w:rPr>
          <w:rFonts w:ascii="Cambria" w:hAnsi="Cambria"/>
          <w:w w:val="105"/>
        </w:rPr>
        <w:t>las</w:t>
      </w:r>
      <w:r>
        <w:rPr>
          <w:rFonts w:ascii="Cambria" w:hAnsi="Cambria"/>
          <w:spacing w:val="-8"/>
          <w:w w:val="105"/>
        </w:rPr>
        <w:t> </w:t>
      </w:r>
      <w:r>
        <w:rPr>
          <w:rFonts w:ascii="Cambria" w:hAnsi="Cambria"/>
          <w:w w:val="105"/>
        </w:rPr>
        <w:t>de</w:t>
      </w:r>
      <w:r>
        <w:rPr>
          <w:rFonts w:ascii="Cambria" w:hAnsi="Cambria"/>
          <w:spacing w:val="-7"/>
          <w:w w:val="105"/>
        </w:rPr>
        <w:t> </w:t>
      </w:r>
      <w:r>
        <w:rPr>
          <w:rFonts w:ascii="Cambria" w:hAnsi="Cambria"/>
          <w:w w:val="105"/>
        </w:rPr>
        <w:t>la</w:t>
      </w:r>
      <w:r>
        <w:rPr>
          <w:rFonts w:ascii="Cambria" w:hAnsi="Cambria"/>
          <w:spacing w:val="-7"/>
          <w:w w:val="105"/>
        </w:rPr>
        <w:t> </w:t>
      </w:r>
      <w:r>
        <w:rPr>
          <w:rFonts w:ascii="Cambria" w:hAnsi="Cambria"/>
          <w:w w:val="105"/>
        </w:rPr>
        <w:t>zona</w:t>
      </w:r>
      <w:r>
        <w:rPr>
          <w:rFonts w:ascii="Cambria" w:hAnsi="Cambria"/>
          <w:spacing w:val="-7"/>
          <w:w w:val="105"/>
        </w:rPr>
        <w:t> </w:t>
      </w:r>
      <w:r>
        <w:rPr>
          <w:rFonts w:ascii="Cambria" w:hAnsi="Cambria"/>
          <w:w w:val="105"/>
        </w:rPr>
        <w:t>sin</w:t>
      </w:r>
      <w:r>
        <w:rPr>
          <w:rFonts w:ascii="Cambria" w:hAnsi="Cambria"/>
          <w:spacing w:val="-8"/>
          <w:w w:val="105"/>
        </w:rPr>
        <w:t> </w:t>
      </w:r>
      <w:r>
        <w:rPr>
          <w:rFonts w:ascii="Cambria" w:hAnsi="Cambria"/>
          <w:w w:val="105"/>
        </w:rPr>
        <w:t>protección.</w:t>
      </w:r>
      <w:r>
        <w:rPr>
          <w:rFonts w:ascii="Cambria" w:hAnsi="Cambria"/>
          <w:spacing w:val="-7"/>
          <w:w w:val="105"/>
        </w:rPr>
        <w:t> </w:t>
      </w:r>
      <w:r>
        <w:rPr>
          <w:rFonts w:ascii="Cambria" w:hAnsi="Cambria"/>
          <w:w w:val="105"/>
        </w:rPr>
        <w:t>Con</w:t>
      </w:r>
      <w:r>
        <w:rPr>
          <w:rFonts w:ascii="Cambria" w:hAnsi="Cambria"/>
          <w:spacing w:val="-7"/>
          <w:w w:val="105"/>
        </w:rPr>
        <w:t> </w:t>
      </w:r>
      <w:r>
        <w:rPr>
          <w:rFonts w:ascii="Cambria" w:hAnsi="Cambria"/>
          <w:w w:val="105"/>
        </w:rPr>
        <w:t>estos</w:t>
      </w:r>
      <w:r>
        <w:rPr>
          <w:rFonts w:ascii="Cambria" w:hAnsi="Cambria"/>
          <w:spacing w:val="-8"/>
          <w:w w:val="105"/>
        </w:rPr>
        <w:t> </w:t>
      </w:r>
      <w:r>
        <w:rPr>
          <w:rFonts w:ascii="Cambria" w:hAnsi="Cambria"/>
          <w:w w:val="105"/>
        </w:rPr>
        <w:t>resultados,</w:t>
      </w:r>
      <w:r>
        <w:rPr>
          <w:rFonts w:ascii="Cambria" w:hAnsi="Cambria"/>
          <w:spacing w:val="-7"/>
          <w:w w:val="105"/>
        </w:rPr>
        <w:t> </w:t>
      </w:r>
      <w:r>
        <w:rPr>
          <w:rFonts w:ascii="Cambria" w:hAnsi="Cambria"/>
          <w:w w:val="105"/>
        </w:rPr>
        <w:t>se puede asumir que en el área protegida tiene menor porcentaje de migración e inmigración que con respecto a la zona no protegida. En la zona no protegida es probable que los pumas se muevan más, debido a que tienen mayor presión antropogénica, hay muchos campos de cultivo y la cacería no es controlada y aunado a esto no durante todo el periodo de muestreo no identificamos ningún puma residente en esta zona, solo individuos juveniles, se pudieron observar. En cambio</w:t>
      </w:r>
      <w:r>
        <w:rPr>
          <w:rFonts w:ascii="Cambria" w:hAnsi="Cambria"/>
          <w:spacing w:val="-9"/>
          <w:w w:val="105"/>
        </w:rPr>
        <w:t> </w:t>
      </w:r>
      <w:r>
        <w:rPr>
          <w:rFonts w:ascii="Cambria" w:hAnsi="Cambria"/>
          <w:w w:val="105"/>
        </w:rPr>
        <w:t>en</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zona</w:t>
      </w:r>
      <w:r>
        <w:rPr>
          <w:rFonts w:ascii="Cambria" w:hAnsi="Cambria"/>
          <w:spacing w:val="-9"/>
          <w:w w:val="105"/>
        </w:rPr>
        <w:t> </w:t>
      </w:r>
      <w:r>
        <w:rPr>
          <w:rFonts w:ascii="Cambria" w:hAnsi="Cambria"/>
          <w:w w:val="105"/>
        </w:rPr>
        <w:t>protegida</w:t>
      </w:r>
      <w:r>
        <w:rPr>
          <w:rFonts w:ascii="Cambria" w:hAnsi="Cambria"/>
          <w:spacing w:val="-9"/>
          <w:w w:val="105"/>
        </w:rPr>
        <w:t> </w:t>
      </w:r>
      <w:r>
        <w:rPr>
          <w:rFonts w:ascii="Cambria" w:hAnsi="Cambria"/>
          <w:w w:val="105"/>
        </w:rPr>
        <w:t>el</w:t>
      </w:r>
      <w:r>
        <w:rPr>
          <w:rFonts w:ascii="Cambria" w:hAnsi="Cambria"/>
          <w:spacing w:val="-9"/>
          <w:w w:val="105"/>
        </w:rPr>
        <w:t> </w:t>
      </w:r>
      <w:r>
        <w:rPr>
          <w:rFonts w:ascii="Cambria" w:hAnsi="Cambria"/>
          <w:w w:val="105"/>
        </w:rPr>
        <w:t>porcentaje</w:t>
      </w:r>
      <w:r>
        <w:rPr>
          <w:rFonts w:ascii="Cambria" w:hAnsi="Cambria"/>
          <w:spacing w:val="-9"/>
          <w:w w:val="105"/>
        </w:rPr>
        <w:t> </w:t>
      </w:r>
      <w:r>
        <w:rPr>
          <w:rFonts w:ascii="Cambria" w:hAnsi="Cambria"/>
          <w:w w:val="105"/>
        </w:rPr>
        <w:t>de</w:t>
      </w:r>
      <w:r>
        <w:rPr>
          <w:rFonts w:ascii="Cambria" w:hAnsi="Cambria"/>
          <w:spacing w:val="-11"/>
          <w:w w:val="105"/>
        </w:rPr>
        <w:t> </w:t>
      </w:r>
      <w:r>
        <w:rPr>
          <w:rFonts w:ascii="Cambria" w:hAnsi="Cambria"/>
          <w:w w:val="105"/>
        </w:rPr>
        <w:t>migración</w:t>
      </w:r>
      <w:r>
        <w:rPr>
          <w:rFonts w:ascii="Cambria" w:hAnsi="Cambria"/>
          <w:spacing w:val="-9"/>
          <w:w w:val="105"/>
        </w:rPr>
        <w:t> </w:t>
      </w:r>
      <w:r>
        <w:rPr>
          <w:rFonts w:ascii="Cambria" w:hAnsi="Cambria"/>
          <w:w w:val="105"/>
        </w:rPr>
        <w:t>e</w:t>
      </w:r>
      <w:r>
        <w:rPr>
          <w:rFonts w:ascii="Cambria" w:hAnsi="Cambria"/>
          <w:spacing w:val="-9"/>
          <w:w w:val="105"/>
        </w:rPr>
        <w:t> </w:t>
      </w:r>
      <w:r>
        <w:rPr>
          <w:rFonts w:ascii="Cambria" w:hAnsi="Cambria"/>
          <w:w w:val="105"/>
        </w:rPr>
        <w:t>inmigración</w:t>
      </w:r>
      <w:r>
        <w:rPr>
          <w:rFonts w:ascii="Cambria" w:hAnsi="Cambria"/>
          <w:spacing w:val="-9"/>
          <w:w w:val="105"/>
        </w:rPr>
        <w:t> </w:t>
      </w:r>
      <w:r>
        <w:rPr>
          <w:rFonts w:ascii="Cambria" w:hAnsi="Cambria"/>
          <w:w w:val="105"/>
        </w:rPr>
        <w:t>fue</w:t>
      </w:r>
      <w:r>
        <w:rPr>
          <w:rFonts w:ascii="Cambria" w:hAnsi="Cambria"/>
          <w:spacing w:val="-9"/>
          <w:w w:val="105"/>
        </w:rPr>
        <w:t> </w:t>
      </w:r>
      <w:r>
        <w:rPr>
          <w:rFonts w:ascii="Cambria" w:hAnsi="Cambria"/>
          <w:w w:val="105"/>
        </w:rPr>
        <w:t>menores y se observo una proporción de un macho residente por dos hembras también residentes (Soria-Díaz et al. 2010). Considerando este análisis, se puede argumentar que el área protegida es importante en la RNSN, debido a que en los diferentes años de muestreo que se realizaron en este estudio, se fotografiaron hembras con crías, machos con hembras y un macho jaguar, mientras que en la zona no protegida el número de fotografías de puma fue bajo (20% del total) y únicamente</w:t>
      </w:r>
      <w:r>
        <w:rPr>
          <w:rFonts w:ascii="Cambria" w:hAnsi="Cambria"/>
          <w:spacing w:val="-9"/>
          <w:w w:val="105"/>
        </w:rPr>
        <w:t> </w:t>
      </w:r>
      <w:r>
        <w:rPr>
          <w:rFonts w:ascii="Cambria" w:hAnsi="Cambria"/>
          <w:w w:val="105"/>
        </w:rPr>
        <w:t>pumas</w:t>
      </w:r>
      <w:r>
        <w:rPr>
          <w:rFonts w:ascii="Cambria" w:hAnsi="Cambria"/>
          <w:spacing w:val="-10"/>
          <w:w w:val="105"/>
        </w:rPr>
        <w:t> </w:t>
      </w:r>
      <w:r>
        <w:rPr>
          <w:rFonts w:ascii="Cambria" w:hAnsi="Cambria"/>
          <w:w w:val="105"/>
        </w:rPr>
        <w:t>juveniles</w:t>
      </w:r>
      <w:r>
        <w:rPr>
          <w:rFonts w:ascii="Cambria" w:hAnsi="Cambria"/>
          <w:spacing w:val="-9"/>
          <w:w w:val="105"/>
        </w:rPr>
        <w:t> </w:t>
      </w:r>
      <w:r>
        <w:rPr>
          <w:rFonts w:ascii="Cambria" w:hAnsi="Cambria"/>
          <w:w w:val="105"/>
        </w:rPr>
        <w:t>fueron</w:t>
      </w:r>
      <w:r>
        <w:rPr>
          <w:rFonts w:ascii="Cambria" w:hAnsi="Cambria"/>
          <w:spacing w:val="-9"/>
          <w:w w:val="105"/>
        </w:rPr>
        <w:t> </w:t>
      </w:r>
      <w:r>
        <w:rPr>
          <w:rFonts w:ascii="Cambria" w:hAnsi="Cambria"/>
          <w:w w:val="105"/>
        </w:rPr>
        <w:t>registrados</w:t>
      </w:r>
      <w:r>
        <w:rPr>
          <w:rFonts w:ascii="Cambria" w:hAnsi="Cambria"/>
          <w:spacing w:val="-9"/>
          <w:w w:val="105"/>
        </w:rPr>
        <w:t> </w:t>
      </w:r>
      <w:r>
        <w:rPr>
          <w:rFonts w:ascii="Cambria" w:hAnsi="Cambria"/>
          <w:w w:val="105"/>
        </w:rPr>
        <w:t>y</w:t>
      </w:r>
      <w:r>
        <w:rPr>
          <w:rFonts w:ascii="Cambria" w:hAnsi="Cambria"/>
          <w:spacing w:val="-9"/>
          <w:w w:val="105"/>
        </w:rPr>
        <w:t> </w:t>
      </w:r>
      <w:r>
        <w:rPr>
          <w:rFonts w:ascii="Cambria" w:hAnsi="Cambria"/>
          <w:w w:val="105"/>
        </w:rPr>
        <w:t>no</w:t>
      </w:r>
      <w:r>
        <w:rPr>
          <w:rFonts w:ascii="Cambria" w:hAnsi="Cambria"/>
          <w:spacing w:val="-9"/>
          <w:w w:val="105"/>
        </w:rPr>
        <w:t> </w:t>
      </w:r>
      <w:r>
        <w:rPr>
          <w:rFonts w:ascii="Cambria" w:hAnsi="Cambria"/>
          <w:w w:val="105"/>
        </w:rPr>
        <w:t>hubo</w:t>
      </w:r>
      <w:r>
        <w:rPr>
          <w:rFonts w:ascii="Cambria" w:hAnsi="Cambria"/>
          <w:spacing w:val="-9"/>
          <w:w w:val="105"/>
        </w:rPr>
        <w:t> </w:t>
      </w:r>
      <w:r>
        <w:rPr>
          <w:rFonts w:ascii="Cambria" w:hAnsi="Cambria"/>
          <w:w w:val="105"/>
        </w:rPr>
        <w:t>fotos</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jaguar.</w:t>
      </w:r>
    </w:p>
    <w:p>
      <w:pPr>
        <w:pStyle w:val="BodyText"/>
        <w:spacing w:line="508" w:lineRule="auto" w:before="1"/>
        <w:ind w:left="102" w:right="152"/>
        <w:rPr>
          <w:rFonts w:ascii="Cambria" w:hAnsi="Cambria"/>
        </w:rPr>
      </w:pPr>
      <w:r>
        <w:rPr>
          <w:rFonts w:ascii="Cambria" w:hAnsi="Cambria"/>
          <w:w w:val="105"/>
        </w:rPr>
        <w:t>Entonces la zona protegida juega un papel muy importante en la conservación de los felinos grandes en la RNSN, ya que puede ser un reservorio importante de estas especies. Es probable pensar, que si toda la RNSN tuviera el mismo grado de protección que la zona protegida, el número de especies de mamíferos podría ser</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11" w:lineRule="auto"/>
        <w:ind w:left="102"/>
        <w:rPr>
          <w:rFonts w:ascii="Cambria" w:hAnsi="Cambria"/>
        </w:rPr>
      </w:pPr>
      <w:r>
        <w:rPr>
          <w:rFonts w:ascii="Cambria" w:hAnsi="Cambria"/>
        </w:rPr>
        <w:t>mayor. Es importante que se consideren estos resultados y se pueda elaborar estrategias de  conservación  en  la RNSN.</w:t>
      </w:r>
    </w:p>
    <w:p>
      <w:pPr>
        <w:pStyle w:val="BodyText"/>
        <w:spacing w:line="508" w:lineRule="auto"/>
        <w:ind w:left="102" w:right="193" w:firstLine="707"/>
        <w:rPr>
          <w:rFonts w:ascii="Cambria" w:hAnsi="Cambria"/>
        </w:rPr>
      </w:pPr>
      <w:r>
        <w:rPr>
          <w:rFonts w:ascii="Cambria" w:hAnsi="Cambria"/>
        </w:rPr>
        <w:t>Es evidente que con los resultados de este estudio, se muestra la     importancia que tienen las presas para mantener a las poblaciones de carnívoros y también es evidente que la presión antropogénica puede afectar bastante la abundancia y distribución de las especies. Las propuestas que pueden ayudar a conservar a las poblaciones de carnívoros serían las siguientes; 1) realizar un monitoreo intensivo sobre armadillo que es la presa principal para puma y jaguar      y determinar su viabilidad a largo plazo, 2) mantener en buenas condiciones a las poblaciones de armadillo, 3) disminuir la presión humana sobre la fauna silvestre con educación ambiental e 4) implementar el desarrollo de proyectos ecoturísticos, para disminuir el impacto sobre la fauna   </w:t>
      </w:r>
      <w:r>
        <w:rPr>
          <w:rFonts w:ascii="Cambria" w:hAnsi="Cambria"/>
          <w:spacing w:val="22"/>
        </w:rPr>
        <w:t> </w:t>
      </w:r>
      <w:r>
        <w:rPr>
          <w:rFonts w:ascii="Cambria" w:hAnsi="Cambria"/>
        </w:rPr>
        <w:t>silvestre.</w:t>
      </w:r>
    </w:p>
    <w:p>
      <w:pPr>
        <w:pStyle w:val="BodyText"/>
        <w:spacing w:line="508" w:lineRule="auto" w:before="1"/>
        <w:ind w:left="102" w:right="117" w:firstLine="707"/>
        <w:rPr>
          <w:rFonts w:ascii="Cambria" w:hAnsi="Cambria"/>
        </w:rPr>
      </w:pPr>
      <w:r>
        <w:rPr>
          <w:rFonts w:ascii="Cambria" w:hAnsi="Cambria"/>
          <w:w w:val="105"/>
        </w:rPr>
        <w:t>Finalmente se estimaron diferentes parámetros poblacionales de puma, supervivencia, migración e inmigración, utilizando capturas y recapturas de pumas identificados en fotografías y con ayuda del programa MARK y la herramienta robust design. Se estimaron estos parámetros para dos zonas con diferente grado de protección. La supervivencia de puma fue de 100% en las diferentes áreas de muestreo y la migración e inmigración de fue del 40 % en la zona</w:t>
      </w:r>
      <w:r>
        <w:rPr>
          <w:rFonts w:ascii="Cambria" w:hAnsi="Cambria"/>
          <w:spacing w:val="-8"/>
          <w:w w:val="105"/>
        </w:rPr>
        <w:t> </w:t>
      </w:r>
      <w:r>
        <w:rPr>
          <w:rFonts w:ascii="Cambria" w:hAnsi="Cambria"/>
          <w:w w:val="105"/>
        </w:rPr>
        <w:t>protegida</w:t>
      </w:r>
      <w:r>
        <w:rPr>
          <w:rFonts w:ascii="Cambria" w:hAnsi="Cambria"/>
          <w:spacing w:val="-8"/>
          <w:w w:val="105"/>
        </w:rPr>
        <w:t> </w:t>
      </w:r>
      <w:r>
        <w:rPr>
          <w:rFonts w:ascii="Cambria" w:hAnsi="Cambria"/>
          <w:w w:val="105"/>
        </w:rPr>
        <w:t>y</w:t>
      </w:r>
      <w:r>
        <w:rPr>
          <w:rFonts w:ascii="Cambria" w:hAnsi="Cambria"/>
          <w:spacing w:val="-8"/>
          <w:w w:val="105"/>
        </w:rPr>
        <w:t> </w:t>
      </w:r>
      <w:r>
        <w:rPr>
          <w:rFonts w:ascii="Cambria" w:hAnsi="Cambria"/>
          <w:w w:val="105"/>
        </w:rPr>
        <w:t>de</w:t>
      </w:r>
      <w:r>
        <w:rPr>
          <w:rFonts w:ascii="Cambria" w:hAnsi="Cambria"/>
          <w:spacing w:val="-8"/>
          <w:w w:val="105"/>
        </w:rPr>
        <w:t> </w:t>
      </w:r>
      <w:r>
        <w:rPr>
          <w:rFonts w:ascii="Cambria" w:hAnsi="Cambria"/>
          <w:w w:val="105"/>
        </w:rPr>
        <w:t>100%</w:t>
      </w:r>
      <w:r>
        <w:rPr>
          <w:rFonts w:ascii="Cambria" w:hAnsi="Cambria"/>
          <w:spacing w:val="-8"/>
          <w:w w:val="105"/>
        </w:rPr>
        <w:t> </w:t>
      </w:r>
      <w:r>
        <w:rPr>
          <w:rFonts w:ascii="Cambria" w:hAnsi="Cambria"/>
          <w:w w:val="105"/>
        </w:rPr>
        <w:t>en</w:t>
      </w:r>
      <w:r>
        <w:rPr>
          <w:rFonts w:ascii="Cambria" w:hAnsi="Cambria"/>
          <w:spacing w:val="-8"/>
          <w:w w:val="105"/>
        </w:rPr>
        <w:t> </w:t>
      </w:r>
      <w:r>
        <w:rPr>
          <w:rFonts w:ascii="Cambria" w:hAnsi="Cambria"/>
          <w:w w:val="105"/>
        </w:rPr>
        <w:t>la</w:t>
      </w:r>
      <w:r>
        <w:rPr>
          <w:rFonts w:ascii="Cambria" w:hAnsi="Cambria"/>
          <w:spacing w:val="-8"/>
          <w:w w:val="105"/>
        </w:rPr>
        <w:t> </w:t>
      </w:r>
      <w:r>
        <w:rPr>
          <w:rFonts w:ascii="Cambria" w:hAnsi="Cambria"/>
          <w:w w:val="105"/>
        </w:rPr>
        <w:t>zona</w:t>
      </w:r>
      <w:r>
        <w:rPr>
          <w:rFonts w:ascii="Cambria" w:hAnsi="Cambria"/>
          <w:spacing w:val="-8"/>
          <w:w w:val="105"/>
        </w:rPr>
        <w:t> </w:t>
      </w:r>
      <w:r>
        <w:rPr>
          <w:rFonts w:ascii="Cambria" w:hAnsi="Cambria"/>
          <w:w w:val="105"/>
        </w:rPr>
        <w:t>sin</w:t>
      </w:r>
      <w:r>
        <w:rPr>
          <w:rFonts w:ascii="Cambria" w:hAnsi="Cambria"/>
          <w:spacing w:val="-8"/>
          <w:w w:val="105"/>
        </w:rPr>
        <w:t> </w:t>
      </w:r>
      <w:r>
        <w:rPr>
          <w:rFonts w:ascii="Cambria" w:hAnsi="Cambria"/>
          <w:w w:val="105"/>
        </w:rPr>
        <w:t>protección.</w:t>
      </w:r>
      <w:r>
        <w:rPr>
          <w:rFonts w:ascii="Cambria" w:hAnsi="Cambria"/>
          <w:spacing w:val="-8"/>
          <w:w w:val="105"/>
        </w:rPr>
        <w:t> </w:t>
      </w:r>
      <w:r>
        <w:rPr>
          <w:rFonts w:ascii="Cambria" w:hAnsi="Cambria"/>
          <w:w w:val="105"/>
        </w:rPr>
        <w:t>Los</w:t>
      </w:r>
      <w:r>
        <w:rPr>
          <w:rFonts w:ascii="Cambria" w:hAnsi="Cambria"/>
          <w:spacing w:val="-8"/>
          <w:w w:val="105"/>
        </w:rPr>
        <w:t> </w:t>
      </w:r>
      <w:r>
        <w:rPr>
          <w:rFonts w:ascii="Cambria" w:hAnsi="Cambria"/>
          <w:w w:val="105"/>
        </w:rPr>
        <w:t>movimientos</w:t>
      </w:r>
      <w:r>
        <w:rPr>
          <w:rFonts w:ascii="Cambria" w:hAnsi="Cambria"/>
          <w:spacing w:val="-8"/>
          <w:w w:val="105"/>
        </w:rPr>
        <w:t> </w:t>
      </w:r>
      <w:r>
        <w:rPr>
          <w:rFonts w:ascii="Cambria" w:hAnsi="Cambria"/>
          <w:w w:val="105"/>
        </w:rPr>
        <w:t>de</w:t>
      </w:r>
      <w:r>
        <w:rPr>
          <w:rFonts w:ascii="Cambria" w:hAnsi="Cambria"/>
          <w:spacing w:val="-8"/>
          <w:w w:val="105"/>
        </w:rPr>
        <w:t> </w:t>
      </w:r>
      <w:r>
        <w:rPr>
          <w:rFonts w:ascii="Cambria" w:hAnsi="Cambria"/>
          <w:w w:val="105"/>
        </w:rPr>
        <w:t>puma</w:t>
      </w:r>
      <w:r>
        <w:rPr>
          <w:rFonts w:ascii="Cambria" w:hAnsi="Cambria"/>
          <w:spacing w:val="-8"/>
          <w:w w:val="105"/>
        </w:rPr>
        <w:t> </w:t>
      </w:r>
      <w:r>
        <w:rPr>
          <w:rFonts w:ascii="Cambria" w:hAnsi="Cambria"/>
          <w:w w:val="105"/>
        </w:rPr>
        <w:t>son mayores en la zona sin protección probablemente porque hay mayor presión antropogénica,</w:t>
      </w:r>
      <w:r>
        <w:rPr>
          <w:rFonts w:ascii="Cambria" w:hAnsi="Cambria"/>
          <w:spacing w:val="-6"/>
          <w:w w:val="105"/>
        </w:rPr>
        <w:t> </w:t>
      </w:r>
      <w:r>
        <w:rPr>
          <w:rFonts w:ascii="Cambria" w:hAnsi="Cambria"/>
          <w:w w:val="105"/>
        </w:rPr>
        <w:t>campos</w:t>
      </w:r>
      <w:r>
        <w:rPr>
          <w:rFonts w:ascii="Cambria" w:hAnsi="Cambria"/>
          <w:spacing w:val="-6"/>
          <w:w w:val="105"/>
        </w:rPr>
        <w:t> </w:t>
      </w:r>
      <w:r>
        <w:rPr>
          <w:rFonts w:ascii="Cambria" w:hAnsi="Cambria"/>
          <w:w w:val="105"/>
        </w:rPr>
        <w:t>de</w:t>
      </w:r>
      <w:r>
        <w:rPr>
          <w:rFonts w:ascii="Cambria" w:hAnsi="Cambria"/>
          <w:spacing w:val="-6"/>
          <w:w w:val="105"/>
        </w:rPr>
        <w:t> </w:t>
      </w:r>
      <w:r>
        <w:rPr>
          <w:rFonts w:ascii="Cambria" w:hAnsi="Cambria"/>
          <w:w w:val="105"/>
        </w:rPr>
        <w:t>cultivo</w:t>
      </w:r>
      <w:r>
        <w:rPr>
          <w:rFonts w:ascii="Cambria" w:hAnsi="Cambria"/>
          <w:spacing w:val="-6"/>
          <w:w w:val="105"/>
        </w:rPr>
        <w:t> </w:t>
      </w:r>
      <w:r>
        <w:rPr>
          <w:rFonts w:ascii="Cambria" w:hAnsi="Cambria"/>
          <w:w w:val="105"/>
        </w:rPr>
        <w:t>y</w:t>
      </w:r>
      <w:r>
        <w:rPr>
          <w:rFonts w:ascii="Cambria" w:hAnsi="Cambria"/>
          <w:spacing w:val="-6"/>
          <w:w w:val="105"/>
        </w:rPr>
        <w:t> </w:t>
      </w:r>
      <w:r>
        <w:rPr>
          <w:rFonts w:ascii="Cambria" w:hAnsi="Cambria"/>
          <w:w w:val="105"/>
        </w:rPr>
        <w:t>la</w:t>
      </w:r>
      <w:r>
        <w:rPr>
          <w:rFonts w:ascii="Cambria" w:hAnsi="Cambria"/>
          <w:spacing w:val="-6"/>
          <w:w w:val="105"/>
        </w:rPr>
        <w:t> </w:t>
      </w:r>
      <w:r>
        <w:rPr>
          <w:rFonts w:ascii="Cambria" w:hAnsi="Cambria"/>
          <w:w w:val="105"/>
        </w:rPr>
        <w:t>cacería</w:t>
      </w:r>
      <w:r>
        <w:rPr>
          <w:rFonts w:ascii="Cambria" w:hAnsi="Cambria"/>
          <w:spacing w:val="-6"/>
          <w:w w:val="105"/>
        </w:rPr>
        <w:t> </w:t>
      </w:r>
      <w:r>
        <w:rPr>
          <w:rFonts w:ascii="Cambria" w:hAnsi="Cambria"/>
          <w:w w:val="105"/>
        </w:rPr>
        <w:t>no</w:t>
      </w:r>
      <w:r>
        <w:rPr>
          <w:rFonts w:ascii="Cambria" w:hAnsi="Cambria"/>
          <w:spacing w:val="-6"/>
          <w:w w:val="105"/>
        </w:rPr>
        <w:t> </w:t>
      </w:r>
      <w:r>
        <w:rPr>
          <w:rFonts w:ascii="Cambria" w:hAnsi="Cambria"/>
          <w:w w:val="105"/>
        </w:rPr>
        <w:t>es</w:t>
      </w:r>
      <w:r>
        <w:rPr>
          <w:rFonts w:ascii="Cambria" w:hAnsi="Cambria"/>
          <w:spacing w:val="-7"/>
          <w:w w:val="105"/>
        </w:rPr>
        <w:t> </w:t>
      </w:r>
      <w:r>
        <w:rPr>
          <w:rFonts w:ascii="Cambria" w:hAnsi="Cambria"/>
          <w:w w:val="105"/>
        </w:rPr>
        <w:t>controlada.</w:t>
      </w:r>
      <w:r>
        <w:rPr>
          <w:rFonts w:ascii="Cambria" w:hAnsi="Cambria"/>
          <w:spacing w:val="-6"/>
          <w:w w:val="105"/>
        </w:rPr>
        <w:t> </w:t>
      </w:r>
      <w:r>
        <w:rPr>
          <w:rFonts w:ascii="Cambria" w:hAnsi="Cambria"/>
          <w:w w:val="105"/>
        </w:rPr>
        <w:t>No</w:t>
      </w:r>
      <w:r>
        <w:rPr>
          <w:rFonts w:ascii="Cambria" w:hAnsi="Cambria"/>
          <w:spacing w:val="-6"/>
          <w:w w:val="105"/>
        </w:rPr>
        <w:t> </w:t>
      </w:r>
      <w:r>
        <w:rPr>
          <w:rFonts w:ascii="Cambria" w:hAnsi="Cambria"/>
          <w:w w:val="105"/>
        </w:rPr>
        <w:t>se</w:t>
      </w:r>
      <w:r>
        <w:rPr>
          <w:rFonts w:ascii="Cambria" w:hAnsi="Cambria"/>
          <w:spacing w:val="-6"/>
          <w:w w:val="105"/>
        </w:rPr>
        <w:t> </w:t>
      </w:r>
      <w:r>
        <w:rPr>
          <w:rFonts w:ascii="Cambria" w:hAnsi="Cambria"/>
          <w:w w:val="105"/>
        </w:rPr>
        <w:t>identificaron pumas</w:t>
      </w:r>
      <w:r>
        <w:rPr>
          <w:rFonts w:ascii="Cambria" w:hAnsi="Cambria"/>
          <w:spacing w:val="-10"/>
          <w:w w:val="105"/>
        </w:rPr>
        <w:t> </w:t>
      </w:r>
      <w:r>
        <w:rPr>
          <w:rFonts w:ascii="Cambria" w:hAnsi="Cambria"/>
          <w:w w:val="105"/>
        </w:rPr>
        <w:t>residentes</w:t>
      </w:r>
      <w:r>
        <w:rPr>
          <w:rFonts w:ascii="Cambria" w:hAnsi="Cambria"/>
          <w:spacing w:val="-9"/>
          <w:w w:val="105"/>
        </w:rPr>
        <w:t> </w:t>
      </w:r>
      <w:r>
        <w:rPr>
          <w:rFonts w:ascii="Cambria" w:hAnsi="Cambria"/>
          <w:w w:val="105"/>
        </w:rPr>
        <w:t>en</w:t>
      </w:r>
      <w:r>
        <w:rPr>
          <w:rFonts w:ascii="Cambria" w:hAnsi="Cambria"/>
          <w:spacing w:val="-8"/>
          <w:w w:val="105"/>
        </w:rPr>
        <w:t> </w:t>
      </w:r>
      <w:r>
        <w:rPr>
          <w:rFonts w:ascii="Cambria" w:hAnsi="Cambria"/>
          <w:w w:val="105"/>
        </w:rPr>
        <w:t>esta</w:t>
      </w:r>
      <w:r>
        <w:rPr>
          <w:rFonts w:ascii="Cambria" w:hAnsi="Cambria"/>
          <w:spacing w:val="-8"/>
          <w:w w:val="105"/>
        </w:rPr>
        <w:t> </w:t>
      </w:r>
      <w:r>
        <w:rPr>
          <w:rFonts w:ascii="Cambria" w:hAnsi="Cambria"/>
          <w:w w:val="105"/>
        </w:rPr>
        <w:t>zona,</w:t>
      </w:r>
      <w:r>
        <w:rPr>
          <w:rFonts w:ascii="Cambria" w:hAnsi="Cambria"/>
          <w:spacing w:val="-8"/>
          <w:w w:val="105"/>
        </w:rPr>
        <w:t> </w:t>
      </w:r>
      <w:r>
        <w:rPr>
          <w:rFonts w:ascii="Cambria" w:hAnsi="Cambria"/>
          <w:w w:val="105"/>
        </w:rPr>
        <w:t>lo</w:t>
      </w:r>
      <w:r>
        <w:rPr>
          <w:rFonts w:ascii="Cambria" w:hAnsi="Cambria"/>
          <w:spacing w:val="-8"/>
          <w:w w:val="105"/>
        </w:rPr>
        <w:t> </w:t>
      </w:r>
      <w:r>
        <w:rPr>
          <w:rFonts w:ascii="Cambria" w:hAnsi="Cambria"/>
          <w:w w:val="105"/>
        </w:rPr>
        <w:t>que</w:t>
      </w:r>
      <w:r>
        <w:rPr>
          <w:rFonts w:ascii="Cambria" w:hAnsi="Cambria"/>
          <w:spacing w:val="-8"/>
          <w:w w:val="105"/>
        </w:rPr>
        <w:t> </w:t>
      </w:r>
      <w:r>
        <w:rPr>
          <w:rFonts w:ascii="Cambria" w:hAnsi="Cambria"/>
          <w:w w:val="105"/>
        </w:rPr>
        <w:t>también</w:t>
      </w:r>
      <w:r>
        <w:rPr>
          <w:rFonts w:ascii="Cambria" w:hAnsi="Cambria"/>
          <w:spacing w:val="-8"/>
          <w:w w:val="105"/>
        </w:rPr>
        <w:t> </w:t>
      </w:r>
      <w:r>
        <w:rPr>
          <w:rFonts w:ascii="Cambria" w:hAnsi="Cambria"/>
          <w:w w:val="105"/>
        </w:rPr>
        <w:t>puede</w:t>
      </w:r>
      <w:r>
        <w:rPr>
          <w:rFonts w:ascii="Cambria" w:hAnsi="Cambria"/>
          <w:spacing w:val="-8"/>
          <w:w w:val="105"/>
        </w:rPr>
        <w:t> </w:t>
      </w:r>
      <w:r>
        <w:rPr>
          <w:rFonts w:ascii="Cambria" w:hAnsi="Cambria"/>
          <w:w w:val="105"/>
        </w:rPr>
        <w:t>explicar</w:t>
      </w:r>
      <w:r>
        <w:rPr>
          <w:rFonts w:ascii="Cambria" w:hAnsi="Cambria"/>
          <w:spacing w:val="-8"/>
          <w:w w:val="105"/>
        </w:rPr>
        <w:t> </w:t>
      </w:r>
      <w:r>
        <w:rPr>
          <w:rFonts w:ascii="Cambria" w:hAnsi="Cambria"/>
          <w:w w:val="105"/>
        </w:rPr>
        <w:t>mayor</w:t>
      </w:r>
      <w:r>
        <w:rPr>
          <w:rFonts w:ascii="Cambria" w:hAnsi="Cambria"/>
          <w:spacing w:val="-8"/>
          <w:w w:val="105"/>
        </w:rPr>
        <w:t> </w:t>
      </w:r>
      <w:r>
        <w:rPr>
          <w:rFonts w:ascii="Cambria" w:hAnsi="Cambria"/>
          <w:w w:val="105"/>
        </w:rPr>
        <w:t>movimiento.</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Pr>
          <w:rFonts w:ascii="Cambria" w:hAnsi="Cambria"/>
        </w:rPr>
      </w:pPr>
      <w:r>
        <w:rPr>
          <w:rFonts w:ascii="Cambria" w:hAnsi="Cambria"/>
          <w:w w:val="105"/>
        </w:rPr>
        <w:t>En la zona protegida se identificaron individuos residentes y esta tiene menor presión antropogénica, lo que puede explicar porque los pumas se mueven menos en esta zona. En este estudio se muestra que la zona protegida tiene un papel importante de la RNSN, ya que se han fotografiado individuos residentes, hembras con crías, hembras con machos y se logro fotografiar un ejemplar de jaguar macho. Es probable que si toda la RNSN tuviera el mismo grado de protección que la zona cercada el número de carnívoros sería mayor.</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8"/>
        <w:rPr>
          <w:rFonts w:ascii="Cambria"/>
          <w:sz w:val="18"/>
        </w:rPr>
      </w:pPr>
    </w:p>
    <w:p>
      <w:pPr>
        <w:pStyle w:val="Heading1"/>
        <w:spacing w:before="22"/>
      </w:pPr>
      <w:bookmarkStart w:name="_bookmark44" w:id="52"/>
      <w:bookmarkEnd w:id="52"/>
      <w:r>
        <w:rPr>
          <w:b w:val="0"/>
        </w:rPr>
      </w:r>
      <w:r>
        <w:rPr/>
        <w:t>CONCLUSIONES GENERALES</w:t>
      </w:r>
    </w:p>
    <w:p>
      <w:pPr>
        <w:pStyle w:val="BodyText"/>
        <w:rPr>
          <w:rFonts w:ascii="Palatino Linotype"/>
          <w:b/>
          <w:sz w:val="28"/>
        </w:rPr>
      </w:pPr>
    </w:p>
    <w:p>
      <w:pPr>
        <w:pStyle w:val="BodyText"/>
        <w:rPr>
          <w:rFonts w:ascii="Palatino Linotype"/>
          <w:b/>
          <w:sz w:val="33"/>
        </w:rPr>
      </w:pPr>
    </w:p>
    <w:p>
      <w:pPr>
        <w:pStyle w:val="BodyText"/>
        <w:spacing w:line="501" w:lineRule="auto"/>
        <w:ind w:left="102" w:right="104" w:firstLine="707"/>
        <w:rPr>
          <w:rFonts w:ascii="Cambria" w:hAnsi="Cambria"/>
        </w:rPr>
      </w:pPr>
      <w:r>
        <w:rPr>
          <w:rFonts w:ascii="Cambria" w:hAnsi="Cambria"/>
          <w:w w:val="105"/>
        </w:rPr>
        <w:t>El puma presento una densidad de 2 a 6 individuos en los diferentes periodos de muestreo y abundancias de 2 a 6 individuos utilizando el programa CAPTURE y de 8 individuos utilizando el programa Mark con la herramienta Robust design. El patrón de actividad de </w:t>
      </w:r>
      <w:r>
        <w:rPr>
          <w:rFonts w:ascii="Palatino Linotype" w:hAnsi="Palatino Linotype"/>
          <w:i/>
          <w:w w:val="105"/>
        </w:rPr>
        <w:t>Puma concolor, </w:t>
      </w:r>
      <w:r>
        <w:rPr>
          <w:rFonts w:ascii="Cambria" w:hAnsi="Cambria"/>
          <w:w w:val="105"/>
        </w:rPr>
        <w:t>fue crepuscular y</w:t>
      </w:r>
    </w:p>
    <w:p>
      <w:pPr>
        <w:pStyle w:val="BodyText"/>
        <w:spacing w:line="224" w:lineRule="exact"/>
        <w:ind w:left="102"/>
        <w:rPr>
          <w:rFonts w:ascii="Cambria"/>
        </w:rPr>
      </w:pPr>
      <w:r>
        <w:rPr>
          <w:rFonts w:ascii="Cambria"/>
        </w:rPr>
        <w:t>nocturno, con mayores picos de actividad en los intervalos de horarios de las 19:00</w:t>
      </w:r>
    </w:p>
    <w:p>
      <w:pPr>
        <w:pStyle w:val="BodyText"/>
        <w:spacing w:before="11"/>
        <w:rPr>
          <w:rFonts w:ascii="Cambria"/>
          <w:sz w:val="26"/>
        </w:rPr>
      </w:pPr>
    </w:p>
    <w:p>
      <w:pPr>
        <w:pStyle w:val="BodyText"/>
        <w:ind w:left="102"/>
        <w:rPr>
          <w:rFonts w:ascii="Cambria"/>
        </w:rPr>
      </w:pPr>
      <w:r>
        <w:rPr>
          <w:rFonts w:ascii="Cambria"/>
        </w:rPr>
        <w:t>a 19:59 y de las 21:00 a 22:59 hrs.</w:t>
      </w:r>
    </w:p>
    <w:p>
      <w:pPr>
        <w:pStyle w:val="BodyText"/>
        <w:spacing w:before="9"/>
        <w:rPr>
          <w:rFonts w:ascii="Cambria"/>
          <w:sz w:val="26"/>
        </w:rPr>
      </w:pPr>
    </w:p>
    <w:p>
      <w:pPr>
        <w:pStyle w:val="BodyText"/>
        <w:spacing w:line="508" w:lineRule="auto"/>
        <w:ind w:left="102" w:right="103" w:firstLine="707"/>
        <w:rPr>
          <w:rFonts w:ascii="Cambria" w:hAnsi="Cambria"/>
        </w:rPr>
      </w:pPr>
      <w:r>
        <w:rPr>
          <w:rFonts w:ascii="Cambria" w:hAnsi="Cambria"/>
          <w:w w:val="105"/>
        </w:rPr>
        <w:t>El índice de abundancia relativa (IAR) mostro que de las tres presas principales que tienen el puma en la RNSN, el coatí es el más abundante con un IAR de 1.23 a 10.95, seguido del venado con 0.16 a 4.40 y armadillo de 0.16 a 1.19. Solo se estimó densidad para venado, esta fue de 2.0 a 6.3 individuos/km2, en la estación</w:t>
      </w:r>
      <w:r>
        <w:rPr>
          <w:rFonts w:ascii="Cambria" w:hAnsi="Cambria"/>
          <w:spacing w:val="-9"/>
          <w:w w:val="105"/>
        </w:rPr>
        <w:t> </w:t>
      </w:r>
      <w:r>
        <w:rPr>
          <w:rFonts w:ascii="Cambria" w:hAnsi="Cambria"/>
          <w:w w:val="105"/>
        </w:rPr>
        <w:t>húmeda</w:t>
      </w:r>
      <w:r>
        <w:rPr>
          <w:rFonts w:ascii="Cambria" w:hAnsi="Cambria"/>
          <w:spacing w:val="-10"/>
          <w:w w:val="105"/>
        </w:rPr>
        <w:t> </w:t>
      </w:r>
      <w:r>
        <w:rPr>
          <w:rFonts w:ascii="Cambria" w:hAnsi="Cambria"/>
          <w:w w:val="105"/>
        </w:rPr>
        <w:t>y</w:t>
      </w:r>
      <w:r>
        <w:rPr>
          <w:rFonts w:ascii="Cambria" w:hAnsi="Cambria"/>
          <w:spacing w:val="-9"/>
          <w:w w:val="105"/>
        </w:rPr>
        <w:t> </w:t>
      </w:r>
      <w:r>
        <w:rPr>
          <w:rFonts w:ascii="Cambria" w:hAnsi="Cambria"/>
          <w:w w:val="105"/>
        </w:rPr>
        <w:t>de</w:t>
      </w:r>
      <w:r>
        <w:rPr>
          <w:rFonts w:ascii="Cambria" w:hAnsi="Cambria"/>
          <w:spacing w:val="-7"/>
          <w:w w:val="105"/>
        </w:rPr>
        <w:t> </w:t>
      </w:r>
      <w:r>
        <w:rPr>
          <w:rFonts w:ascii="Cambria" w:hAnsi="Cambria"/>
          <w:w w:val="105"/>
        </w:rPr>
        <w:t>0.8</w:t>
      </w:r>
      <w:r>
        <w:rPr>
          <w:rFonts w:ascii="Cambria" w:hAnsi="Cambria"/>
          <w:spacing w:val="-9"/>
          <w:w w:val="105"/>
        </w:rPr>
        <w:t> </w:t>
      </w:r>
      <w:r>
        <w:rPr>
          <w:rFonts w:ascii="Cambria" w:hAnsi="Cambria"/>
          <w:w w:val="105"/>
        </w:rPr>
        <w:t>a</w:t>
      </w:r>
      <w:r>
        <w:rPr>
          <w:rFonts w:ascii="Cambria" w:hAnsi="Cambria"/>
          <w:spacing w:val="-9"/>
          <w:w w:val="105"/>
        </w:rPr>
        <w:t> </w:t>
      </w:r>
      <w:r>
        <w:rPr>
          <w:rFonts w:ascii="Cambria" w:hAnsi="Cambria"/>
          <w:w w:val="105"/>
        </w:rPr>
        <w:t>12</w:t>
      </w:r>
      <w:r>
        <w:rPr>
          <w:rFonts w:ascii="Cambria" w:hAnsi="Cambria"/>
          <w:spacing w:val="-9"/>
          <w:w w:val="105"/>
        </w:rPr>
        <w:t> </w:t>
      </w:r>
      <w:r>
        <w:rPr>
          <w:rFonts w:ascii="Cambria" w:hAnsi="Cambria"/>
          <w:w w:val="105"/>
        </w:rPr>
        <w:t>en</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estación</w:t>
      </w:r>
      <w:r>
        <w:rPr>
          <w:rFonts w:ascii="Cambria" w:hAnsi="Cambria"/>
          <w:spacing w:val="-9"/>
          <w:w w:val="105"/>
        </w:rPr>
        <w:t> </w:t>
      </w:r>
      <w:r>
        <w:rPr>
          <w:rFonts w:ascii="Cambria" w:hAnsi="Cambria"/>
          <w:w w:val="105"/>
        </w:rPr>
        <w:t>seca.</w:t>
      </w:r>
      <w:r>
        <w:rPr>
          <w:rFonts w:ascii="Cambria" w:hAnsi="Cambria"/>
          <w:spacing w:val="-9"/>
          <w:w w:val="105"/>
        </w:rPr>
        <w:t> </w:t>
      </w:r>
      <w:r>
        <w:rPr>
          <w:rFonts w:ascii="Cambria" w:hAnsi="Cambria"/>
          <w:w w:val="105"/>
        </w:rPr>
        <w:t>El</w:t>
      </w:r>
      <w:r>
        <w:rPr>
          <w:rFonts w:ascii="Cambria" w:hAnsi="Cambria"/>
          <w:spacing w:val="-9"/>
          <w:w w:val="105"/>
        </w:rPr>
        <w:t> </w:t>
      </w:r>
      <w:r>
        <w:rPr>
          <w:rFonts w:ascii="Cambria" w:hAnsi="Cambria"/>
          <w:w w:val="105"/>
        </w:rPr>
        <w:t>armadillo</w:t>
      </w:r>
      <w:r>
        <w:rPr>
          <w:rFonts w:ascii="Cambria" w:hAnsi="Cambria"/>
          <w:spacing w:val="-9"/>
          <w:w w:val="105"/>
        </w:rPr>
        <w:t> </w:t>
      </w:r>
      <w:r>
        <w:rPr>
          <w:rFonts w:ascii="Cambria" w:hAnsi="Cambria"/>
          <w:w w:val="105"/>
        </w:rPr>
        <w:t>mostro</w:t>
      </w:r>
      <w:r>
        <w:rPr>
          <w:rFonts w:ascii="Cambria" w:hAnsi="Cambria"/>
          <w:spacing w:val="-9"/>
          <w:w w:val="105"/>
        </w:rPr>
        <w:t> </w:t>
      </w:r>
      <w:r>
        <w:rPr>
          <w:rFonts w:ascii="Cambria" w:hAnsi="Cambria"/>
          <w:w w:val="105"/>
        </w:rPr>
        <w:t>un</w:t>
      </w:r>
      <w:r>
        <w:rPr>
          <w:rFonts w:ascii="Cambria" w:hAnsi="Cambria"/>
          <w:spacing w:val="-9"/>
          <w:w w:val="105"/>
        </w:rPr>
        <w:t> </w:t>
      </w:r>
      <w:r>
        <w:rPr>
          <w:rFonts w:ascii="Cambria" w:hAnsi="Cambria"/>
          <w:w w:val="105"/>
        </w:rPr>
        <w:t>patrón</w:t>
      </w:r>
      <w:r>
        <w:rPr>
          <w:rFonts w:ascii="Cambria" w:hAnsi="Cambria"/>
          <w:spacing w:val="-6"/>
          <w:w w:val="105"/>
        </w:rPr>
        <w:t> </w:t>
      </w:r>
      <w:r>
        <w:rPr>
          <w:rFonts w:ascii="Cambria" w:hAnsi="Cambria"/>
          <w:w w:val="105"/>
        </w:rPr>
        <w:t>de actividad</w:t>
      </w:r>
      <w:r>
        <w:rPr>
          <w:rFonts w:ascii="Cambria" w:hAnsi="Cambria"/>
          <w:spacing w:val="-10"/>
          <w:w w:val="105"/>
        </w:rPr>
        <w:t> </w:t>
      </w:r>
      <w:r>
        <w:rPr>
          <w:rFonts w:ascii="Cambria" w:hAnsi="Cambria"/>
          <w:w w:val="105"/>
        </w:rPr>
        <w:t>nocturno,</w:t>
      </w:r>
      <w:r>
        <w:rPr>
          <w:rFonts w:ascii="Cambria" w:hAnsi="Cambria"/>
          <w:spacing w:val="-9"/>
          <w:w w:val="105"/>
        </w:rPr>
        <w:t> </w:t>
      </w:r>
      <w:r>
        <w:rPr>
          <w:rFonts w:ascii="Cambria" w:hAnsi="Cambria"/>
          <w:w w:val="105"/>
        </w:rPr>
        <w:t>con</w:t>
      </w:r>
      <w:r>
        <w:rPr>
          <w:rFonts w:ascii="Cambria" w:hAnsi="Cambria"/>
          <w:spacing w:val="-9"/>
          <w:w w:val="105"/>
        </w:rPr>
        <w:t> </w:t>
      </w:r>
      <w:r>
        <w:rPr>
          <w:rFonts w:ascii="Cambria" w:hAnsi="Cambria"/>
          <w:w w:val="105"/>
        </w:rPr>
        <w:t>picos</w:t>
      </w:r>
      <w:r>
        <w:rPr>
          <w:rFonts w:ascii="Cambria" w:hAnsi="Cambria"/>
          <w:spacing w:val="-10"/>
          <w:w w:val="105"/>
        </w:rPr>
        <w:t> </w:t>
      </w:r>
      <w:r>
        <w:rPr>
          <w:rFonts w:ascii="Cambria" w:hAnsi="Cambria"/>
          <w:w w:val="105"/>
        </w:rPr>
        <w:t>de</w:t>
      </w:r>
      <w:r>
        <w:rPr>
          <w:rFonts w:ascii="Cambria" w:hAnsi="Cambria"/>
          <w:spacing w:val="-9"/>
          <w:w w:val="105"/>
        </w:rPr>
        <w:t> </w:t>
      </w:r>
      <w:r>
        <w:rPr>
          <w:rFonts w:ascii="Cambria" w:hAnsi="Cambria"/>
          <w:w w:val="105"/>
        </w:rPr>
        <w:t>actividad</w:t>
      </w:r>
      <w:r>
        <w:rPr>
          <w:rFonts w:ascii="Cambria" w:hAnsi="Cambria"/>
          <w:spacing w:val="-10"/>
          <w:w w:val="105"/>
        </w:rPr>
        <w:t> </w:t>
      </w:r>
      <w:r>
        <w:rPr>
          <w:rFonts w:ascii="Cambria" w:hAnsi="Cambria"/>
          <w:w w:val="105"/>
        </w:rPr>
        <w:t>mayores</w:t>
      </w:r>
      <w:r>
        <w:rPr>
          <w:rFonts w:ascii="Cambria" w:hAnsi="Cambria"/>
          <w:spacing w:val="-9"/>
          <w:w w:val="105"/>
        </w:rPr>
        <w:t> </w:t>
      </w:r>
      <w:r>
        <w:rPr>
          <w:rFonts w:ascii="Cambria" w:hAnsi="Cambria"/>
          <w:w w:val="105"/>
        </w:rPr>
        <w:t>en</w:t>
      </w:r>
      <w:r>
        <w:rPr>
          <w:rFonts w:ascii="Cambria" w:hAnsi="Cambria"/>
          <w:spacing w:val="-10"/>
          <w:w w:val="105"/>
        </w:rPr>
        <w:t> </w:t>
      </w:r>
      <w:r>
        <w:rPr>
          <w:rFonts w:ascii="Cambria" w:hAnsi="Cambria"/>
          <w:w w:val="105"/>
        </w:rPr>
        <w:t>los</w:t>
      </w:r>
      <w:r>
        <w:rPr>
          <w:rFonts w:ascii="Cambria" w:hAnsi="Cambria"/>
          <w:spacing w:val="-10"/>
          <w:w w:val="105"/>
        </w:rPr>
        <w:t> </w:t>
      </w:r>
      <w:r>
        <w:rPr>
          <w:rFonts w:ascii="Cambria" w:hAnsi="Cambria"/>
          <w:w w:val="105"/>
        </w:rPr>
        <w:t>intervalos</w:t>
      </w:r>
      <w:r>
        <w:rPr>
          <w:rFonts w:ascii="Cambria" w:hAnsi="Cambria"/>
          <w:spacing w:val="-10"/>
          <w:w w:val="105"/>
        </w:rPr>
        <w:t> </w:t>
      </w:r>
      <w:r>
        <w:rPr>
          <w:rFonts w:ascii="Cambria" w:hAnsi="Cambria"/>
          <w:w w:val="105"/>
        </w:rPr>
        <w:t>de</w:t>
      </w:r>
      <w:r>
        <w:rPr>
          <w:rFonts w:ascii="Cambria" w:hAnsi="Cambria"/>
          <w:spacing w:val="-9"/>
          <w:w w:val="105"/>
        </w:rPr>
        <w:t> </w:t>
      </w:r>
      <w:r>
        <w:rPr>
          <w:rFonts w:ascii="Cambria" w:hAnsi="Cambria"/>
          <w:w w:val="105"/>
        </w:rPr>
        <w:t>las</w:t>
      </w:r>
      <w:r>
        <w:rPr>
          <w:rFonts w:ascii="Cambria" w:hAnsi="Cambria"/>
          <w:spacing w:val="-10"/>
          <w:w w:val="105"/>
        </w:rPr>
        <w:t> </w:t>
      </w:r>
      <w:r>
        <w:rPr>
          <w:rFonts w:ascii="Cambria" w:hAnsi="Cambria"/>
          <w:w w:val="105"/>
        </w:rPr>
        <w:t>00:00</w:t>
      </w:r>
      <w:r>
        <w:rPr>
          <w:rFonts w:ascii="Cambria" w:hAnsi="Cambria"/>
          <w:spacing w:val="-9"/>
          <w:w w:val="105"/>
        </w:rPr>
        <w:t> </w:t>
      </w:r>
      <w:r>
        <w:rPr>
          <w:rFonts w:ascii="Cambria" w:hAnsi="Cambria"/>
          <w:w w:val="105"/>
        </w:rPr>
        <w:t>a 00:59 hrs y de las 02:00 a 02:59 hrs. Coatí y venado en cambio presentaron mayor actividad durante el día, con picos de actividad entre las 14:00 a 14:59 hrs. en el caso</w:t>
      </w:r>
      <w:r>
        <w:rPr>
          <w:rFonts w:ascii="Cambria" w:hAnsi="Cambria"/>
          <w:spacing w:val="-16"/>
          <w:w w:val="105"/>
        </w:rPr>
        <w:t> </w:t>
      </w:r>
      <w:r>
        <w:rPr>
          <w:rFonts w:ascii="Cambria" w:hAnsi="Cambria"/>
          <w:w w:val="105"/>
        </w:rPr>
        <w:t>del</w:t>
      </w:r>
      <w:r>
        <w:rPr>
          <w:rFonts w:ascii="Cambria" w:hAnsi="Cambria"/>
          <w:spacing w:val="-17"/>
          <w:w w:val="105"/>
        </w:rPr>
        <w:t> </w:t>
      </w:r>
      <w:r>
        <w:rPr>
          <w:rFonts w:ascii="Cambria" w:hAnsi="Cambria"/>
          <w:w w:val="105"/>
        </w:rPr>
        <w:t>coatí</w:t>
      </w:r>
      <w:r>
        <w:rPr>
          <w:rFonts w:ascii="Cambria" w:hAnsi="Cambria"/>
          <w:spacing w:val="-17"/>
          <w:w w:val="105"/>
        </w:rPr>
        <w:t> </w:t>
      </w:r>
      <w:r>
        <w:rPr>
          <w:rFonts w:ascii="Cambria" w:hAnsi="Cambria"/>
          <w:w w:val="105"/>
        </w:rPr>
        <w:t>y</w:t>
      </w:r>
      <w:r>
        <w:rPr>
          <w:rFonts w:ascii="Cambria" w:hAnsi="Cambria"/>
          <w:spacing w:val="-16"/>
          <w:w w:val="105"/>
        </w:rPr>
        <w:t> </w:t>
      </w:r>
      <w:r>
        <w:rPr>
          <w:rFonts w:ascii="Cambria" w:hAnsi="Cambria"/>
          <w:w w:val="105"/>
        </w:rPr>
        <w:t>de</w:t>
      </w:r>
      <w:r>
        <w:rPr>
          <w:rFonts w:ascii="Cambria" w:hAnsi="Cambria"/>
          <w:spacing w:val="-17"/>
          <w:w w:val="105"/>
        </w:rPr>
        <w:t> </w:t>
      </w:r>
      <w:r>
        <w:rPr>
          <w:rFonts w:ascii="Cambria" w:hAnsi="Cambria"/>
          <w:w w:val="105"/>
        </w:rPr>
        <w:t>las</w:t>
      </w:r>
      <w:r>
        <w:rPr>
          <w:rFonts w:ascii="Cambria" w:hAnsi="Cambria"/>
          <w:spacing w:val="-17"/>
          <w:w w:val="105"/>
        </w:rPr>
        <w:t> </w:t>
      </w:r>
      <w:r>
        <w:rPr>
          <w:rFonts w:ascii="Cambria" w:hAnsi="Cambria"/>
          <w:w w:val="105"/>
        </w:rPr>
        <w:t>13:00</w:t>
      </w:r>
      <w:r>
        <w:rPr>
          <w:rFonts w:ascii="Cambria" w:hAnsi="Cambria"/>
          <w:spacing w:val="-17"/>
          <w:w w:val="105"/>
        </w:rPr>
        <w:t> </w:t>
      </w:r>
      <w:r>
        <w:rPr>
          <w:rFonts w:ascii="Cambria" w:hAnsi="Cambria"/>
          <w:w w:val="105"/>
        </w:rPr>
        <w:t>a</w:t>
      </w:r>
      <w:r>
        <w:rPr>
          <w:rFonts w:ascii="Cambria" w:hAnsi="Cambria"/>
          <w:spacing w:val="-17"/>
          <w:w w:val="105"/>
        </w:rPr>
        <w:t> </w:t>
      </w:r>
      <w:r>
        <w:rPr>
          <w:rFonts w:ascii="Cambria" w:hAnsi="Cambria"/>
          <w:w w:val="105"/>
        </w:rPr>
        <w:t>13:59</w:t>
      </w:r>
      <w:r>
        <w:rPr>
          <w:rFonts w:ascii="Cambria" w:hAnsi="Cambria"/>
          <w:spacing w:val="-17"/>
          <w:w w:val="105"/>
        </w:rPr>
        <w:t> </w:t>
      </w:r>
      <w:r>
        <w:rPr>
          <w:rFonts w:ascii="Cambria" w:hAnsi="Cambria"/>
          <w:w w:val="105"/>
        </w:rPr>
        <w:t>hrs.</w:t>
      </w:r>
      <w:r>
        <w:rPr>
          <w:rFonts w:ascii="Cambria" w:hAnsi="Cambria"/>
          <w:spacing w:val="-17"/>
          <w:w w:val="105"/>
        </w:rPr>
        <w:t> </w:t>
      </w:r>
      <w:r>
        <w:rPr>
          <w:rFonts w:ascii="Cambria" w:hAnsi="Cambria"/>
          <w:w w:val="105"/>
        </w:rPr>
        <w:t>para</w:t>
      </w:r>
      <w:r>
        <w:rPr>
          <w:rFonts w:ascii="Cambria" w:hAnsi="Cambria"/>
          <w:spacing w:val="-17"/>
          <w:w w:val="105"/>
        </w:rPr>
        <w:t> </w:t>
      </w:r>
      <w:r>
        <w:rPr>
          <w:rFonts w:ascii="Cambria" w:hAnsi="Cambria"/>
          <w:w w:val="105"/>
        </w:rPr>
        <w:t>venado.</w:t>
      </w:r>
    </w:p>
    <w:p>
      <w:pPr>
        <w:pStyle w:val="BodyText"/>
        <w:spacing w:line="508" w:lineRule="auto"/>
        <w:ind w:left="102" w:right="104" w:firstLine="707"/>
        <w:rPr>
          <w:rFonts w:ascii="Cambria" w:hAnsi="Cambria"/>
        </w:rPr>
      </w:pPr>
      <w:r>
        <w:rPr>
          <w:rFonts w:ascii="Cambria" w:hAnsi="Cambria"/>
          <w:w w:val="105"/>
        </w:rPr>
        <w:t>Puma presentó una respuesta funcional significativa tipo III a su principal presa</w:t>
      </w:r>
      <w:r>
        <w:rPr>
          <w:rFonts w:ascii="Cambria" w:hAnsi="Cambria"/>
          <w:spacing w:val="-7"/>
          <w:w w:val="105"/>
        </w:rPr>
        <w:t> </w:t>
      </w:r>
      <w:r>
        <w:rPr>
          <w:rFonts w:ascii="Cambria" w:hAnsi="Cambria"/>
          <w:w w:val="105"/>
        </w:rPr>
        <w:t>el</w:t>
      </w:r>
      <w:r>
        <w:rPr>
          <w:rFonts w:ascii="Cambria" w:hAnsi="Cambria"/>
          <w:spacing w:val="-7"/>
          <w:w w:val="105"/>
        </w:rPr>
        <w:t> </w:t>
      </w:r>
      <w:r>
        <w:rPr>
          <w:rFonts w:ascii="Cambria" w:hAnsi="Cambria"/>
          <w:w w:val="105"/>
        </w:rPr>
        <w:t>armadillo</w:t>
      </w:r>
      <w:r>
        <w:rPr>
          <w:rFonts w:ascii="Cambria" w:hAnsi="Cambria"/>
          <w:spacing w:val="-7"/>
          <w:w w:val="105"/>
        </w:rPr>
        <w:t> </w:t>
      </w:r>
      <w:r>
        <w:rPr>
          <w:rFonts w:ascii="Cambria" w:hAnsi="Cambria"/>
          <w:w w:val="105"/>
        </w:rPr>
        <w:t>y</w:t>
      </w:r>
      <w:r>
        <w:rPr>
          <w:rFonts w:ascii="Cambria" w:hAnsi="Cambria"/>
          <w:spacing w:val="-7"/>
          <w:w w:val="105"/>
        </w:rPr>
        <w:t> </w:t>
      </w:r>
      <w:r>
        <w:rPr>
          <w:rFonts w:ascii="Cambria" w:hAnsi="Cambria"/>
          <w:w w:val="105"/>
        </w:rPr>
        <w:t>no</w:t>
      </w:r>
      <w:r>
        <w:rPr>
          <w:rFonts w:ascii="Cambria" w:hAnsi="Cambria"/>
          <w:spacing w:val="-9"/>
          <w:w w:val="105"/>
        </w:rPr>
        <w:t> </w:t>
      </w:r>
      <w:r>
        <w:rPr>
          <w:rFonts w:ascii="Cambria" w:hAnsi="Cambria"/>
          <w:w w:val="105"/>
        </w:rPr>
        <w:t>para</w:t>
      </w:r>
      <w:r>
        <w:rPr>
          <w:rFonts w:ascii="Cambria" w:hAnsi="Cambria"/>
          <w:spacing w:val="-7"/>
          <w:w w:val="105"/>
        </w:rPr>
        <w:t> </w:t>
      </w:r>
      <w:r>
        <w:rPr>
          <w:rFonts w:ascii="Cambria" w:hAnsi="Cambria"/>
          <w:w w:val="105"/>
        </w:rPr>
        <w:t>sus</w:t>
      </w:r>
      <w:r>
        <w:rPr>
          <w:rFonts w:ascii="Cambria" w:hAnsi="Cambria"/>
          <w:spacing w:val="-8"/>
          <w:w w:val="105"/>
        </w:rPr>
        <w:t> </w:t>
      </w:r>
      <w:r>
        <w:rPr>
          <w:rFonts w:ascii="Cambria" w:hAnsi="Cambria"/>
          <w:w w:val="105"/>
        </w:rPr>
        <w:t>otras</w:t>
      </w:r>
      <w:r>
        <w:rPr>
          <w:rFonts w:ascii="Cambria" w:hAnsi="Cambria"/>
          <w:spacing w:val="-8"/>
          <w:w w:val="105"/>
        </w:rPr>
        <w:t> </w:t>
      </w:r>
      <w:r>
        <w:rPr>
          <w:rFonts w:ascii="Cambria" w:hAnsi="Cambria"/>
          <w:w w:val="105"/>
        </w:rPr>
        <w:t>dos</w:t>
      </w:r>
      <w:r>
        <w:rPr>
          <w:rFonts w:ascii="Cambria" w:hAnsi="Cambria"/>
          <w:spacing w:val="-7"/>
          <w:w w:val="105"/>
        </w:rPr>
        <w:t> </w:t>
      </w:r>
      <w:r>
        <w:rPr>
          <w:rFonts w:ascii="Cambria" w:hAnsi="Cambria"/>
          <w:w w:val="105"/>
        </w:rPr>
        <w:t>presas</w:t>
      </w:r>
      <w:r>
        <w:rPr>
          <w:rFonts w:ascii="Cambria" w:hAnsi="Cambria"/>
          <w:spacing w:val="-8"/>
          <w:w w:val="105"/>
        </w:rPr>
        <w:t> </w:t>
      </w:r>
      <w:r>
        <w:rPr>
          <w:rFonts w:ascii="Cambria" w:hAnsi="Cambria"/>
          <w:w w:val="105"/>
        </w:rPr>
        <w:t>(coatí</w:t>
      </w:r>
      <w:r>
        <w:rPr>
          <w:rFonts w:ascii="Cambria" w:hAnsi="Cambria"/>
          <w:spacing w:val="-7"/>
          <w:w w:val="105"/>
        </w:rPr>
        <w:t> </w:t>
      </w:r>
      <w:r>
        <w:rPr>
          <w:rFonts w:ascii="Cambria" w:hAnsi="Cambria"/>
          <w:w w:val="105"/>
        </w:rPr>
        <w:t>y</w:t>
      </w:r>
      <w:r>
        <w:rPr>
          <w:rFonts w:ascii="Cambria" w:hAnsi="Cambria"/>
          <w:spacing w:val="-7"/>
          <w:w w:val="105"/>
        </w:rPr>
        <w:t> </w:t>
      </w:r>
      <w:r>
        <w:rPr>
          <w:rFonts w:ascii="Cambria" w:hAnsi="Cambria"/>
          <w:w w:val="105"/>
        </w:rPr>
        <w:t>venado).</w:t>
      </w:r>
      <w:r>
        <w:rPr>
          <w:rFonts w:ascii="Cambria" w:hAnsi="Cambria"/>
          <w:spacing w:val="-7"/>
          <w:w w:val="105"/>
        </w:rPr>
        <w:t> </w:t>
      </w:r>
      <w:r>
        <w:rPr>
          <w:rFonts w:ascii="Cambria" w:hAnsi="Cambria"/>
          <w:w w:val="105"/>
        </w:rPr>
        <w:t>Por</w:t>
      </w:r>
      <w:r>
        <w:rPr>
          <w:rFonts w:ascii="Cambria" w:hAnsi="Cambria"/>
          <w:spacing w:val="-7"/>
          <w:w w:val="105"/>
        </w:rPr>
        <w:t> </w:t>
      </w:r>
      <w:r>
        <w:rPr>
          <w:rFonts w:ascii="Cambria" w:hAnsi="Cambria"/>
          <w:w w:val="105"/>
        </w:rPr>
        <w:t>otro</w:t>
      </w:r>
      <w:r>
        <w:rPr>
          <w:rFonts w:ascii="Cambria" w:hAnsi="Cambria"/>
          <w:spacing w:val="-7"/>
          <w:w w:val="105"/>
        </w:rPr>
        <w:t> </w:t>
      </w:r>
      <w:r>
        <w:rPr>
          <w:rFonts w:ascii="Cambria" w:hAnsi="Cambria"/>
          <w:w w:val="105"/>
        </w:rPr>
        <w:t>lado,</w:t>
      </w:r>
      <w:r>
        <w:rPr>
          <w:rFonts w:ascii="Cambria" w:hAnsi="Cambria"/>
          <w:spacing w:val="-7"/>
          <w:w w:val="105"/>
        </w:rPr>
        <w:t> </w:t>
      </w:r>
      <w:r>
        <w:rPr>
          <w:rFonts w:ascii="Cambria" w:hAnsi="Cambria"/>
          <w:w w:val="105"/>
        </w:rPr>
        <w:t>a través</w:t>
      </w:r>
      <w:r>
        <w:rPr>
          <w:rFonts w:ascii="Cambria" w:hAnsi="Cambria"/>
          <w:spacing w:val="-13"/>
          <w:w w:val="105"/>
        </w:rPr>
        <w:t> </w:t>
      </w:r>
      <w:r>
        <w:rPr>
          <w:rFonts w:ascii="Cambria" w:hAnsi="Cambria"/>
          <w:w w:val="105"/>
        </w:rPr>
        <w:t>de</w:t>
      </w:r>
      <w:r>
        <w:rPr>
          <w:rFonts w:ascii="Cambria" w:hAnsi="Cambria"/>
          <w:spacing w:val="-13"/>
          <w:w w:val="105"/>
        </w:rPr>
        <w:t> </w:t>
      </w:r>
      <w:r>
        <w:rPr>
          <w:rFonts w:ascii="Cambria" w:hAnsi="Cambria"/>
          <w:w w:val="105"/>
        </w:rPr>
        <w:t>análisis</w:t>
      </w:r>
      <w:r>
        <w:rPr>
          <w:rFonts w:ascii="Cambria" w:hAnsi="Cambria"/>
          <w:spacing w:val="-14"/>
          <w:w w:val="105"/>
        </w:rPr>
        <w:t> </w:t>
      </w:r>
      <w:r>
        <w:rPr>
          <w:rFonts w:ascii="Cambria" w:hAnsi="Cambria"/>
          <w:w w:val="105"/>
        </w:rPr>
        <w:t>de</w:t>
      </w:r>
      <w:r>
        <w:rPr>
          <w:rFonts w:ascii="Cambria" w:hAnsi="Cambria"/>
          <w:spacing w:val="-13"/>
          <w:w w:val="105"/>
        </w:rPr>
        <w:t> </w:t>
      </w:r>
      <w:r>
        <w:rPr>
          <w:rFonts w:ascii="Cambria" w:hAnsi="Cambria"/>
          <w:w w:val="105"/>
        </w:rPr>
        <w:t>regresión</w:t>
      </w:r>
      <w:r>
        <w:rPr>
          <w:rFonts w:ascii="Cambria" w:hAnsi="Cambria"/>
          <w:spacing w:val="-13"/>
          <w:w w:val="105"/>
        </w:rPr>
        <w:t> </w:t>
      </w:r>
      <w:r>
        <w:rPr>
          <w:rFonts w:ascii="Cambria" w:hAnsi="Cambria"/>
          <w:w w:val="105"/>
        </w:rPr>
        <w:t>múltiple</w:t>
      </w:r>
      <w:r>
        <w:rPr>
          <w:rFonts w:ascii="Cambria" w:hAnsi="Cambria"/>
          <w:spacing w:val="-13"/>
          <w:w w:val="105"/>
        </w:rPr>
        <w:t> </w:t>
      </w:r>
      <w:r>
        <w:rPr>
          <w:rFonts w:ascii="Cambria" w:hAnsi="Cambria"/>
          <w:w w:val="105"/>
        </w:rPr>
        <w:t>se</w:t>
      </w:r>
      <w:r>
        <w:rPr>
          <w:rFonts w:ascii="Cambria" w:hAnsi="Cambria"/>
          <w:spacing w:val="-13"/>
          <w:w w:val="105"/>
        </w:rPr>
        <w:t> </w:t>
      </w:r>
      <w:r>
        <w:rPr>
          <w:rFonts w:ascii="Cambria" w:hAnsi="Cambria"/>
          <w:w w:val="105"/>
        </w:rPr>
        <w:t>determino</w:t>
      </w:r>
      <w:r>
        <w:rPr>
          <w:rFonts w:ascii="Cambria" w:hAnsi="Cambria"/>
          <w:spacing w:val="-13"/>
          <w:w w:val="105"/>
        </w:rPr>
        <w:t> </w:t>
      </w:r>
      <w:r>
        <w:rPr>
          <w:rFonts w:ascii="Cambria" w:hAnsi="Cambria"/>
          <w:w w:val="105"/>
        </w:rPr>
        <w:t>que</w:t>
      </w:r>
      <w:r>
        <w:rPr>
          <w:rFonts w:ascii="Cambria" w:hAnsi="Cambria"/>
          <w:spacing w:val="-13"/>
          <w:w w:val="105"/>
        </w:rPr>
        <w:t> </w:t>
      </w:r>
      <w:r>
        <w:rPr>
          <w:rFonts w:ascii="Cambria" w:hAnsi="Cambria"/>
          <w:w w:val="105"/>
        </w:rPr>
        <w:t>existe</w:t>
      </w:r>
      <w:r>
        <w:rPr>
          <w:rFonts w:ascii="Cambria" w:hAnsi="Cambria"/>
          <w:spacing w:val="-13"/>
          <w:w w:val="105"/>
        </w:rPr>
        <w:t> </w:t>
      </w:r>
      <w:r>
        <w:rPr>
          <w:rFonts w:ascii="Cambria" w:hAnsi="Cambria"/>
          <w:w w:val="105"/>
        </w:rPr>
        <w:t>un</w:t>
      </w:r>
      <w:r>
        <w:rPr>
          <w:rFonts w:ascii="Cambria" w:hAnsi="Cambria"/>
          <w:spacing w:val="-14"/>
          <w:w w:val="105"/>
        </w:rPr>
        <w:t> </w:t>
      </w:r>
      <w:r>
        <w:rPr>
          <w:rFonts w:ascii="Cambria" w:hAnsi="Cambria"/>
          <w:w w:val="105"/>
        </w:rPr>
        <w:t>efecto</w:t>
      </w:r>
      <w:r>
        <w:rPr>
          <w:rFonts w:ascii="Cambria" w:hAnsi="Cambria"/>
          <w:spacing w:val="-13"/>
          <w:w w:val="105"/>
        </w:rPr>
        <w:t> </w:t>
      </w:r>
      <w:r>
        <w:rPr>
          <w:rFonts w:ascii="Cambria" w:hAnsi="Cambria"/>
          <w:w w:val="105"/>
        </w:rPr>
        <w:t>Buttom- up</w:t>
      </w:r>
      <w:r>
        <w:rPr>
          <w:rFonts w:ascii="Cambria" w:hAnsi="Cambria"/>
          <w:spacing w:val="-6"/>
          <w:w w:val="105"/>
        </w:rPr>
        <w:t> </w:t>
      </w:r>
      <w:r>
        <w:rPr>
          <w:rFonts w:ascii="Cambria" w:hAnsi="Cambria"/>
          <w:w w:val="105"/>
        </w:rPr>
        <w:t>de</w:t>
      </w:r>
      <w:r>
        <w:rPr>
          <w:rFonts w:ascii="Cambria" w:hAnsi="Cambria"/>
          <w:spacing w:val="-7"/>
          <w:w w:val="105"/>
        </w:rPr>
        <w:t> </w:t>
      </w:r>
      <w:r>
        <w:rPr>
          <w:rFonts w:ascii="Cambria" w:hAnsi="Cambria"/>
          <w:w w:val="105"/>
        </w:rPr>
        <w:t>las</w:t>
      </w:r>
      <w:r>
        <w:rPr>
          <w:rFonts w:ascii="Cambria" w:hAnsi="Cambria"/>
          <w:spacing w:val="-7"/>
          <w:w w:val="105"/>
        </w:rPr>
        <w:t> </w:t>
      </w:r>
      <w:r>
        <w:rPr>
          <w:rFonts w:ascii="Cambria" w:hAnsi="Cambria"/>
          <w:w w:val="105"/>
        </w:rPr>
        <w:t>principales</w:t>
      </w:r>
      <w:r>
        <w:rPr>
          <w:rFonts w:ascii="Cambria" w:hAnsi="Cambria"/>
          <w:spacing w:val="-7"/>
          <w:w w:val="105"/>
        </w:rPr>
        <w:t> </w:t>
      </w:r>
      <w:r>
        <w:rPr>
          <w:rFonts w:ascii="Cambria" w:hAnsi="Cambria"/>
          <w:w w:val="105"/>
        </w:rPr>
        <w:t>sobre</w:t>
      </w:r>
      <w:r>
        <w:rPr>
          <w:rFonts w:ascii="Cambria" w:hAnsi="Cambria"/>
          <w:spacing w:val="-5"/>
          <w:w w:val="105"/>
        </w:rPr>
        <w:t> </w:t>
      </w:r>
      <w:r>
        <w:rPr>
          <w:rFonts w:ascii="Cambria" w:hAnsi="Cambria"/>
          <w:w w:val="105"/>
        </w:rPr>
        <w:t>la</w:t>
      </w:r>
      <w:r>
        <w:rPr>
          <w:rFonts w:ascii="Cambria" w:hAnsi="Cambria"/>
          <w:spacing w:val="-6"/>
          <w:w w:val="105"/>
        </w:rPr>
        <w:t> </w:t>
      </w:r>
      <w:r>
        <w:rPr>
          <w:rFonts w:ascii="Cambria" w:hAnsi="Cambria"/>
          <w:w w:val="105"/>
        </w:rPr>
        <w:t>tasa</w:t>
      </w:r>
      <w:r>
        <w:rPr>
          <w:rFonts w:ascii="Cambria" w:hAnsi="Cambria"/>
          <w:spacing w:val="-6"/>
          <w:w w:val="105"/>
        </w:rPr>
        <w:t> </w:t>
      </w:r>
      <w:r>
        <w:rPr>
          <w:rFonts w:ascii="Cambria" w:hAnsi="Cambria"/>
          <w:w w:val="105"/>
        </w:rPr>
        <w:t>de</w:t>
      </w:r>
      <w:r>
        <w:rPr>
          <w:rFonts w:ascii="Cambria" w:hAnsi="Cambria"/>
          <w:spacing w:val="-6"/>
          <w:w w:val="105"/>
        </w:rPr>
        <w:t> </w:t>
      </w:r>
      <w:r>
        <w:rPr>
          <w:rFonts w:ascii="Cambria" w:hAnsi="Cambria"/>
          <w:w w:val="105"/>
        </w:rPr>
        <w:t>crecimiento</w:t>
      </w:r>
      <w:r>
        <w:rPr>
          <w:rFonts w:ascii="Cambria" w:hAnsi="Cambria"/>
          <w:spacing w:val="-6"/>
          <w:w w:val="105"/>
        </w:rPr>
        <w:t> </w:t>
      </w:r>
      <w:r>
        <w:rPr>
          <w:rFonts w:ascii="Cambria" w:hAnsi="Cambria"/>
          <w:w w:val="105"/>
        </w:rPr>
        <w:t>de</w:t>
      </w:r>
      <w:r>
        <w:rPr>
          <w:rFonts w:ascii="Cambria" w:hAnsi="Cambria"/>
          <w:spacing w:val="-6"/>
          <w:w w:val="105"/>
        </w:rPr>
        <w:t> </w:t>
      </w:r>
      <w:r>
        <w:rPr>
          <w:rFonts w:ascii="Cambria" w:hAnsi="Cambria"/>
          <w:w w:val="105"/>
        </w:rPr>
        <w:t>puma</w:t>
      </w:r>
      <w:r>
        <w:rPr>
          <w:rFonts w:ascii="Cambria" w:hAnsi="Cambria"/>
          <w:spacing w:val="-7"/>
          <w:w w:val="105"/>
        </w:rPr>
        <w:t> </w:t>
      </w:r>
      <w:r>
        <w:rPr>
          <w:rFonts w:ascii="Cambria" w:hAnsi="Cambria"/>
          <w:w w:val="105"/>
        </w:rPr>
        <w:t>(pgr).</w:t>
      </w:r>
      <w:r>
        <w:rPr>
          <w:rFonts w:ascii="Cambria" w:hAnsi="Cambria"/>
          <w:spacing w:val="-6"/>
          <w:w w:val="105"/>
        </w:rPr>
        <w:t> </w:t>
      </w:r>
      <w:r>
        <w:rPr>
          <w:rFonts w:ascii="Cambria" w:hAnsi="Cambria"/>
          <w:w w:val="105"/>
        </w:rPr>
        <w:t>Y</w:t>
      </w:r>
      <w:r>
        <w:rPr>
          <w:rFonts w:ascii="Cambria" w:hAnsi="Cambria"/>
          <w:spacing w:val="-6"/>
          <w:w w:val="105"/>
        </w:rPr>
        <w:t> </w:t>
      </w:r>
      <w:r>
        <w:rPr>
          <w:rFonts w:ascii="Cambria" w:hAnsi="Cambria"/>
          <w:w w:val="105"/>
        </w:rPr>
        <w:t>el</w:t>
      </w:r>
      <w:r>
        <w:rPr>
          <w:rFonts w:ascii="Cambria" w:hAnsi="Cambria"/>
          <w:spacing w:val="-6"/>
          <w:w w:val="105"/>
        </w:rPr>
        <w:t> </w:t>
      </w:r>
      <w:r>
        <w:rPr>
          <w:rFonts w:ascii="Cambria" w:hAnsi="Cambria"/>
          <w:w w:val="105"/>
        </w:rPr>
        <w:t>patrón</w:t>
      </w:r>
      <w:r>
        <w:rPr>
          <w:rFonts w:ascii="Cambria" w:hAnsi="Cambria"/>
          <w:spacing w:val="-6"/>
          <w:w w:val="105"/>
        </w:rPr>
        <w:t> </w:t>
      </w:r>
      <w:r>
        <w:rPr>
          <w:rFonts w:ascii="Cambria" w:hAnsi="Cambria"/>
          <w:w w:val="105"/>
        </w:rPr>
        <w:t>de</w:t>
      </w:r>
    </w:p>
    <w:p>
      <w:pPr>
        <w:spacing w:after="0" w:line="508" w:lineRule="auto"/>
        <w:rPr>
          <w:rFonts w:ascii="Cambria" w:hAnsi="Cambria"/>
        </w:rPr>
        <w:sectPr>
          <w:pgSz w:w="12240" w:h="15840"/>
          <w:pgMar w:header="740" w:footer="779" w:top="960" w:bottom="960" w:left="1600" w:right="1600"/>
        </w:sectPr>
      </w:pPr>
    </w:p>
    <w:p>
      <w:pPr>
        <w:pStyle w:val="BodyText"/>
        <w:rPr>
          <w:rFonts w:ascii="Cambria"/>
          <w:sz w:val="20"/>
        </w:rPr>
      </w:pPr>
    </w:p>
    <w:p>
      <w:pPr>
        <w:pStyle w:val="BodyText"/>
        <w:spacing w:before="11"/>
        <w:rPr>
          <w:rFonts w:ascii="Cambria"/>
          <w:sz w:val="18"/>
        </w:rPr>
      </w:pPr>
    </w:p>
    <w:p>
      <w:pPr>
        <w:pStyle w:val="BodyText"/>
        <w:spacing w:line="508" w:lineRule="auto"/>
        <w:ind w:left="102" w:right="152"/>
        <w:rPr>
          <w:rFonts w:ascii="Cambria" w:hAnsi="Cambria"/>
        </w:rPr>
      </w:pPr>
      <w:r>
        <w:rPr>
          <w:rFonts w:ascii="Cambria" w:hAnsi="Cambria"/>
          <w:w w:val="105"/>
        </w:rPr>
        <w:t>actividad de puma coincidió con el de armadillo, siendo nocturno en ambos casos y no con sus otras dos presas (venado y coatí), las cuales mostraron un patrón diurno. Estos resultados muestran que el armadillo juega un papel importante en la dieta de puma.</w:t>
      </w:r>
    </w:p>
    <w:p>
      <w:pPr>
        <w:pStyle w:val="BodyText"/>
        <w:spacing w:line="508" w:lineRule="auto" w:before="1"/>
        <w:ind w:left="102" w:right="104" w:firstLine="707"/>
        <w:rPr>
          <w:rFonts w:ascii="Cambria" w:hAnsi="Cambria"/>
        </w:rPr>
      </w:pPr>
      <w:r>
        <w:rPr>
          <w:rFonts w:ascii="Cambria" w:hAnsi="Cambria"/>
          <w:w w:val="105"/>
        </w:rPr>
        <w:t>Finalmente la supervivencia estimada de puma fue de 100% en las diferentes</w:t>
      </w:r>
      <w:r>
        <w:rPr>
          <w:rFonts w:ascii="Cambria" w:hAnsi="Cambria"/>
          <w:spacing w:val="-9"/>
          <w:w w:val="105"/>
        </w:rPr>
        <w:t> </w:t>
      </w:r>
      <w:r>
        <w:rPr>
          <w:rFonts w:ascii="Cambria" w:hAnsi="Cambria"/>
          <w:w w:val="105"/>
        </w:rPr>
        <w:t>áreas</w:t>
      </w:r>
      <w:r>
        <w:rPr>
          <w:rFonts w:ascii="Cambria" w:hAnsi="Cambria"/>
          <w:spacing w:val="-9"/>
          <w:w w:val="105"/>
        </w:rPr>
        <w:t> </w:t>
      </w:r>
      <w:r>
        <w:rPr>
          <w:rFonts w:ascii="Cambria" w:hAnsi="Cambria"/>
          <w:w w:val="105"/>
        </w:rPr>
        <w:t>de</w:t>
      </w:r>
      <w:r>
        <w:rPr>
          <w:rFonts w:ascii="Cambria" w:hAnsi="Cambria"/>
          <w:spacing w:val="-9"/>
          <w:w w:val="105"/>
        </w:rPr>
        <w:t> </w:t>
      </w:r>
      <w:r>
        <w:rPr>
          <w:rFonts w:ascii="Cambria" w:hAnsi="Cambria"/>
          <w:w w:val="105"/>
        </w:rPr>
        <w:t>muestreo</w:t>
      </w:r>
      <w:r>
        <w:rPr>
          <w:rFonts w:ascii="Cambria" w:hAnsi="Cambria"/>
          <w:spacing w:val="-7"/>
          <w:w w:val="105"/>
        </w:rPr>
        <w:t> </w:t>
      </w:r>
      <w:r>
        <w:rPr>
          <w:rFonts w:ascii="Cambria" w:hAnsi="Cambria"/>
          <w:w w:val="105"/>
        </w:rPr>
        <w:t>y</w:t>
      </w:r>
      <w:r>
        <w:rPr>
          <w:rFonts w:ascii="Cambria" w:hAnsi="Cambria"/>
          <w:spacing w:val="-9"/>
          <w:w w:val="105"/>
        </w:rPr>
        <w:t> </w:t>
      </w:r>
      <w:r>
        <w:rPr>
          <w:rFonts w:ascii="Cambria" w:hAnsi="Cambria"/>
          <w:w w:val="105"/>
        </w:rPr>
        <w:t>la</w:t>
      </w:r>
      <w:r>
        <w:rPr>
          <w:rFonts w:ascii="Cambria" w:hAnsi="Cambria"/>
          <w:spacing w:val="-9"/>
          <w:w w:val="105"/>
        </w:rPr>
        <w:t> </w:t>
      </w:r>
      <w:r>
        <w:rPr>
          <w:rFonts w:ascii="Cambria" w:hAnsi="Cambria"/>
          <w:w w:val="105"/>
        </w:rPr>
        <w:t>migración</w:t>
      </w:r>
      <w:r>
        <w:rPr>
          <w:rFonts w:ascii="Cambria" w:hAnsi="Cambria"/>
          <w:spacing w:val="-9"/>
          <w:w w:val="105"/>
        </w:rPr>
        <w:t> </w:t>
      </w:r>
      <w:r>
        <w:rPr>
          <w:rFonts w:ascii="Cambria" w:hAnsi="Cambria"/>
          <w:w w:val="105"/>
        </w:rPr>
        <w:t>e</w:t>
      </w:r>
      <w:r>
        <w:rPr>
          <w:rFonts w:ascii="Cambria" w:hAnsi="Cambria"/>
          <w:spacing w:val="-10"/>
          <w:w w:val="105"/>
        </w:rPr>
        <w:t> </w:t>
      </w:r>
      <w:r>
        <w:rPr>
          <w:rFonts w:ascii="Cambria" w:hAnsi="Cambria"/>
          <w:w w:val="105"/>
        </w:rPr>
        <w:t>inmigración</w:t>
      </w:r>
      <w:r>
        <w:rPr>
          <w:rFonts w:ascii="Cambria" w:hAnsi="Cambria"/>
          <w:spacing w:val="-8"/>
          <w:w w:val="105"/>
        </w:rPr>
        <w:t> </w:t>
      </w:r>
      <w:r>
        <w:rPr>
          <w:rFonts w:ascii="Cambria" w:hAnsi="Cambria"/>
          <w:w w:val="105"/>
        </w:rPr>
        <w:t>de</w:t>
      </w:r>
      <w:r>
        <w:rPr>
          <w:rFonts w:ascii="Cambria" w:hAnsi="Cambria"/>
          <w:spacing w:val="-9"/>
          <w:w w:val="105"/>
        </w:rPr>
        <w:t> </w:t>
      </w:r>
      <w:r>
        <w:rPr>
          <w:rFonts w:ascii="Cambria" w:hAnsi="Cambria"/>
          <w:w w:val="105"/>
        </w:rPr>
        <w:t>fue</w:t>
      </w:r>
      <w:r>
        <w:rPr>
          <w:rFonts w:ascii="Cambria" w:hAnsi="Cambria"/>
          <w:spacing w:val="-9"/>
          <w:w w:val="105"/>
        </w:rPr>
        <w:t> </w:t>
      </w:r>
      <w:r>
        <w:rPr>
          <w:rFonts w:ascii="Cambria" w:hAnsi="Cambria"/>
          <w:w w:val="105"/>
        </w:rPr>
        <w:t>de</w:t>
      </w:r>
      <w:r>
        <w:rPr>
          <w:rFonts w:ascii="Cambria" w:hAnsi="Cambria"/>
          <w:spacing w:val="-7"/>
          <w:w w:val="105"/>
        </w:rPr>
        <w:t> </w:t>
      </w:r>
      <w:r>
        <w:rPr>
          <w:rFonts w:ascii="Cambria" w:hAnsi="Cambria"/>
          <w:w w:val="105"/>
        </w:rPr>
        <w:t>57</w:t>
      </w:r>
      <w:r>
        <w:rPr>
          <w:rFonts w:ascii="Cambria" w:hAnsi="Cambria"/>
          <w:spacing w:val="-9"/>
          <w:w w:val="105"/>
        </w:rPr>
        <w:t> </w:t>
      </w:r>
      <w:r>
        <w:rPr>
          <w:rFonts w:ascii="Cambria" w:hAnsi="Cambria"/>
          <w:w w:val="105"/>
        </w:rPr>
        <w:t>%</w:t>
      </w:r>
      <w:r>
        <w:rPr>
          <w:rFonts w:ascii="Cambria" w:hAnsi="Cambria"/>
          <w:spacing w:val="-9"/>
          <w:w w:val="105"/>
        </w:rPr>
        <w:t> </w:t>
      </w:r>
      <w:r>
        <w:rPr>
          <w:rFonts w:ascii="Cambria" w:hAnsi="Cambria"/>
          <w:w w:val="105"/>
        </w:rPr>
        <w:t>en</w:t>
      </w:r>
      <w:r>
        <w:rPr>
          <w:rFonts w:ascii="Cambria" w:hAnsi="Cambria"/>
          <w:spacing w:val="-9"/>
          <w:w w:val="105"/>
        </w:rPr>
        <w:t> </w:t>
      </w:r>
      <w:r>
        <w:rPr>
          <w:rFonts w:ascii="Cambria" w:hAnsi="Cambria"/>
          <w:w w:val="105"/>
        </w:rPr>
        <w:t>la primera</w:t>
      </w:r>
      <w:r>
        <w:rPr>
          <w:rFonts w:ascii="Cambria" w:hAnsi="Cambria"/>
          <w:spacing w:val="-16"/>
          <w:w w:val="105"/>
        </w:rPr>
        <w:t> </w:t>
      </w:r>
      <w:r>
        <w:rPr>
          <w:rFonts w:ascii="Cambria" w:hAnsi="Cambria"/>
          <w:w w:val="105"/>
        </w:rPr>
        <w:t>área</w:t>
      </w:r>
      <w:r>
        <w:rPr>
          <w:rFonts w:ascii="Cambria" w:hAnsi="Cambria"/>
          <w:spacing w:val="-16"/>
          <w:w w:val="105"/>
        </w:rPr>
        <w:t> </w:t>
      </w:r>
      <w:r>
        <w:rPr>
          <w:rFonts w:ascii="Cambria" w:hAnsi="Cambria"/>
          <w:w w:val="105"/>
        </w:rPr>
        <w:t>de</w:t>
      </w:r>
      <w:r>
        <w:rPr>
          <w:rFonts w:ascii="Cambria" w:hAnsi="Cambria"/>
          <w:spacing w:val="-16"/>
          <w:w w:val="105"/>
        </w:rPr>
        <w:t> </w:t>
      </w:r>
      <w:r>
        <w:rPr>
          <w:rFonts w:ascii="Cambria" w:hAnsi="Cambria"/>
          <w:w w:val="105"/>
        </w:rPr>
        <w:t>muestreo,</w:t>
      </w:r>
      <w:r>
        <w:rPr>
          <w:rFonts w:ascii="Cambria" w:hAnsi="Cambria"/>
          <w:spacing w:val="-16"/>
          <w:w w:val="105"/>
        </w:rPr>
        <w:t> </w:t>
      </w:r>
      <w:r>
        <w:rPr>
          <w:rFonts w:ascii="Cambria" w:hAnsi="Cambria"/>
          <w:w w:val="105"/>
        </w:rPr>
        <w:t>40%</w:t>
      </w:r>
      <w:r>
        <w:rPr>
          <w:rFonts w:ascii="Cambria" w:hAnsi="Cambria"/>
          <w:spacing w:val="-16"/>
          <w:w w:val="105"/>
        </w:rPr>
        <w:t> </w:t>
      </w:r>
      <w:r>
        <w:rPr>
          <w:rFonts w:ascii="Cambria" w:hAnsi="Cambria"/>
          <w:w w:val="105"/>
        </w:rPr>
        <w:t>en</w:t>
      </w:r>
      <w:r>
        <w:rPr>
          <w:rFonts w:ascii="Cambria" w:hAnsi="Cambria"/>
          <w:spacing w:val="-16"/>
          <w:w w:val="105"/>
        </w:rPr>
        <w:t> </w:t>
      </w:r>
      <w:r>
        <w:rPr>
          <w:rFonts w:ascii="Cambria" w:hAnsi="Cambria"/>
          <w:w w:val="105"/>
        </w:rPr>
        <w:t>la</w:t>
      </w:r>
      <w:r>
        <w:rPr>
          <w:rFonts w:ascii="Cambria" w:hAnsi="Cambria"/>
          <w:spacing w:val="-16"/>
          <w:w w:val="105"/>
        </w:rPr>
        <w:t> </w:t>
      </w:r>
      <w:r>
        <w:rPr>
          <w:rFonts w:ascii="Cambria" w:hAnsi="Cambria"/>
          <w:w w:val="105"/>
        </w:rPr>
        <w:t>segunda</w:t>
      </w:r>
      <w:r>
        <w:rPr>
          <w:rFonts w:ascii="Cambria" w:hAnsi="Cambria"/>
          <w:spacing w:val="-16"/>
          <w:w w:val="105"/>
        </w:rPr>
        <w:t> </w:t>
      </w:r>
      <w:r>
        <w:rPr>
          <w:rFonts w:ascii="Cambria" w:hAnsi="Cambria"/>
          <w:w w:val="105"/>
        </w:rPr>
        <w:t>área</w:t>
      </w:r>
      <w:r>
        <w:rPr>
          <w:rFonts w:ascii="Cambria" w:hAnsi="Cambria"/>
          <w:spacing w:val="-16"/>
          <w:w w:val="105"/>
        </w:rPr>
        <w:t> </w:t>
      </w:r>
      <w:r>
        <w:rPr>
          <w:rFonts w:ascii="Cambria" w:hAnsi="Cambria"/>
          <w:w w:val="105"/>
        </w:rPr>
        <w:t>de</w:t>
      </w:r>
      <w:r>
        <w:rPr>
          <w:rFonts w:ascii="Cambria" w:hAnsi="Cambria"/>
          <w:spacing w:val="-16"/>
          <w:w w:val="105"/>
        </w:rPr>
        <w:t> </w:t>
      </w:r>
      <w:r>
        <w:rPr>
          <w:rFonts w:ascii="Cambria" w:hAnsi="Cambria"/>
          <w:w w:val="105"/>
        </w:rPr>
        <w:t>muestreo</w:t>
      </w:r>
      <w:r>
        <w:rPr>
          <w:rFonts w:ascii="Cambria" w:hAnsi="Cambria"/>
          <w:spacing w:val="-15"/>
          <w:w w:val="105"/>
        </w:rPr>
        <w:t> </w:t>
      </w:r>
      <w:r>
        <w:rPr>
          <w:rFonts w:ascii="Cambria" w:hAnsi="Cambria"/>
          <w:w w:val="105"/>
        </w:rPr>
        <w:t>y</w:t>
      </w:r>
      <w:r>
        <w:rPr>
          <w:rFonts w:ascii="Cambria" w:hAnsi="Cambria"/>
          <w:spacing w:val="-16"/>
          <w:w w:val="105"/>
        </w:rPr>
        <w:t> </w:t>
      </w:r>
      <w:r>
        <w:rPr>
          <w:rFonts w:ascii="Cambria" w:hAnsi="Cambria"/>
          <w:w w:val="105"/>
        </w:rPr>
        <w:t>de</w:t>
      </w:r>
      <w:r>
        <w:rPr>
          <w:rFonts w:ascii="Cambria" w:hAnsi="Cambria"/>
          <w:spacing w:val="-18"/>
          <w:w w:val="105"/>
        </w:rPr>
        <w:t> </w:t>
      </w:r>
      <w:r>
        <w:rPr>
          <w:rFonts w:ascii="Cambria" w:hAnsi="Cambria"/>
          <w:w w:val="105"/>
        </w:rPr>
        <w:t>100%</w:t>
      </w:r>
      <w:r>
        <w:rPr>
          <w:rFonts w:ascii="Cambria" w:hAnsi="Cambria"/>
          <w:spacing w:val="-16"/>
          <w:w w:val="105"/>
        </w:rPr>
        <w:t> </w:t>
      </w:r>
      <w:r>
        <w:rPr>
          <w:rFonts w:ascii="Cambria" w:hAnsi="Cambria"/>
          <w:w w:val="105"/>
        </w:rPr>
        <w:t>en</w:t>
      </w:r>
      <w:r>
        <w:rPr>
          <w:rFonts w:ascii="Cambria" w:hAnsi="Cambria"/>
          <w:spacing w:val="-16"/>
          <w:w w:val="105"/>
        </w:rPr>
        <w:t> </w:t>
      </w:r>
      <w:r>
        <w:rPr>
          <w:rFonts w:ascii="Cambria" w:hAnsi="Cambria"/>
          <w:w w:val="105"/>
        </w:rPr>
        <w:t>la tercera.</w:t>
      </w:r>
    </w:p>
    <w:sectPr>
      <w:pgSz w:w="12240" w:h="15840"/>
      <w:pgMar w:header="740" w:footer="779" w:top="960" w:bottom="96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Cambria">
    <w:altName w:val="Cambr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792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290009pt;margin-top:752.519897pt;width:16pt;height:14pt;mso-position-horizontal-relative:page;mso-position-vertical-relative:page;z-index:-107896" type="#_x0000_t202" filled="false" stroked="false">
          <v:textbox inset="0,0,0,0">
            <w:txbxContent>
              <w:p>
                <w:pPr>
                  <w:pStyle w:val="BodyText"/>
                  <w:spacing w:line="265" w:lineRule="exact"/>
                  <w:ind w:left="40"/>
                </w:pPr>
                <w:r>
                  <w:rPr/>
                  <w:fldChar w:fldCharType="begin"/>
                </w:r>
                <w:r>
                  <w:rPr>
                    <w:color w:val="4F81BC"/>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787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6.290009pt;margin-top:752.519897pt;width:20pt;height:14pt;mso-position-horizontal-relative:page;mso-position-vertical-relative:page;z-index:-107848" type="#_x0000_t202" filled="false" stroked="false">
          <v:textbox inset="0,0,0,0">
            <w:txbxContent>
              <w:p>
                <w:pPr>
                  <w:pStyle w:val="BodyText"/>
                  <w:spacing w:line="265" w:lineRule="exact"/>
                  <w:ind w:left="20"/>
                </w:pPr>
                <w:r>
                  <w:rPr>
                    <w:color w:val="4F81BC"/>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782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5.290009pt;margin-top:752.519897pt;width:22pt;height:14pt;mso-position-horizontal-relative:page;mso-position-vertical-relative:page;z-index:-107800" type="#_x0000_t202" filled="false" stroked="false">
          <v:textbox inset="0,0,0,0">
            <w:txbxContent>
              <w:p>
                <w:pPr>
                  <w:pStyle w:val="BodyText"/>
                  <w:spacing w:line="265" w:lineRule="exact"/>
                  <w:ind w:left="40"/>
                </w:pPr>
                <w:r>
                  <w:rPr/>
                  <w:fldChar w:fldCharType="begin"/>
                </w:r>
                <w:r>
                  <w:rPr>
                    <w:color w:val="4F81BC"/>
                  </w:rPr>
                  <w:instrText> PAGE </w:instrText>
                </w:r>
                <w:r>
                  <w:rPr/>
                  <w:fldChar w:fldCharType="separate"/>
                </w:r>
                <w:r>
                  <w:rPr/>
                  <w:t>101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90.029999pt;margin-top:36.024494pt;width:138pt;height:13.05pt;mso-position-horizontal-relative:page;mso-position-vertical-relative:page;z-index:-107944" type="#_x0000_t202" filled="false" stroked="false">
          <v:textbox inset="0,0,0,0">
            <w:txbxContent>
              <w:p>
                <w:pPr>
                  <w:spacing w:line="255" w:lineRule="exact" w:before="0"/>
                  <w:ind w:left="20" w:right="0" w:firstLine="0"/>
                  <w:jc w:val="left"/>
                  <w:rPr>
                    <w:rFonts w:ascii="Palatino Linotype" w:hAnsi="Palatino Linotype"/>
                    <w:i/>
                    <w:sz w:val="22"/>
                  </w:rPr>
                </w:pPr>
                <w:r>
                  <w:rPr>
                    <w:rFonts w:ascii="Palatino Linotype" w:hAnsi="Palatino Linotype"/>
                    <w:i/>
                    <w:sz w:val="22"/>
                  </w:rPr>
                  <w:t>Leroy Soria Díaz tesis doctoral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5"/>
      <w:numFmt w:val="upperRoman"/>
      <w:lvlText w:val="%1."/>
      <w:lvlJc w:val="left"/>
      <w:pPr>
        <w:ind w:left="102" w:hanging="293"/>
        <w:jc w:val="right"/>
      </w:pPr>
      <w:rPr>
        <w:rFonts w:hint="default" w:ascii="Times New Roman" w:hAnsi="Times New Roman" w:eastAsia="Times New Roman" w:cs="Times New Roman"/>
        <w:b/>
        <w:bCs/>
        <w:spacing w:val="-3"/>
        <w:w w:val="99"/>
        <w:sz w:val="24"/>
        <w:szCs w:val="24"/>
      </w:rPr>
    </w:lvl>
    <w:lvl w:ilvl="1">
      <w:start w:val="1"/>
      <w:numFmt w:val="bullet"/>
      <w:lvlText w:val="•"/>
      <w:lvlJc w:val="left"/>
      <w:pPr>
        <w:ind w:left="994" w:hanging="293"/>
      </w:pPr>
      <w:rPr>
        <w:rFonts w:hint="default"/>
      </w:rPr>
    </w:lvl>
    <w:lvl w:ilvl="2">
      <w:start w:val="1"/>
      <w:numFmt w:val="bullet"/>
      <w:lvlText w:val="•"/>
      <w:lvlJc w:val="left"/>
      <w:pPr>
        <w:ind w:left="1888" w:hanging="293"/>
      </w:pPr>
      <w:rPr>
        <w:rFonts w:hint="default"/>
      </w:rPr>
    </w:lvl>
    <w:lvl w:ilvl="3">
      <w:start w:val="1"/>
      <w:numFmt w:val="bullet"/>
      <w:lvlText w:val="•"/>
      <w:lvlJc w:val="left"/>
      <w:pPr>
        <w:ind w:left="2782" w:hanging="293"/>
      </w:pPr>
      <w:rPr>
        <w:rFonts w:hint="default"/>
      </w:rPr>
    </w:lvl>
    <w:lvl w:ilvl="4">
      <w:start w:val="1"/>
      <w:numFmt w:val="bullet"/>
      <w:lvlText w:val="•"/>
      <w:lvlJc w:val="left"/>
      <w:pPr>
        <w:ind w:left="3676" w:hanging="293"/>
      </w:pPr>
      <w:rPr>
        <w:rFonts w:hint="default"/>
      </w:rPr>
    </w:lvl>
    <w:lvl w:ilvl="5">
      <w:start w:val="1"/>
      <w:numFmt w:val="bullet"/>
      <w:lvlText w:val="•"/>
      <w:lvlJc w:val="left"/>
      <w:pPr>
        <w:ind w:left="4570" w:hanging="293"/>
      </w:pPr>
      <w:rPr>
        <w:rFonts w:hint="default"/>
      </w:rPr>
    </w:lvl>
    <w:lvl w:ilvl="6">
      <w:start w:val="1"/>
      <w:numFmt w:val="bullet"/>
      <w:lvlText w:val="•"/>
      <w:lvlJc w:val="left"/>
      <w:pPr>
        <w:ind w:left="5464" w:hanging="293"/>
      </w:pPr>
      <w:rPr>
        <w:rFonts w:hint="default"/>
      </w:rPr>
    </w:lvl>
    <w:lvl w:ilvl="7">
      <w:start w:val="1"/>
      <w:numFmt w:val="bullet"/>
      <w:lvlText w:val="•"/>
      <w:lvlJc w:val="left"/>
      <w:pPr>
        <w:ind w:left="6358" w:hanging="293"/>
      </w:pPr>
      <w:rPr>
        <w:rFonts w:hint="default"/>
      </w:rPr>
    </w:lvl>
    <w:lvl w:ilvl="8">
      <w:start w:val="1"/>
      <w:numFmt w:val="bullet"/>
      <w:lvlText w:val="•"/>
      <w:lvlJc w:val="left"/>
      <w:pPr>
        <w:ind w:left="7252" w:hanging="293"/>
      </w:pPr>
      <w:rPr>
        <w:rFonts w:hint="default"/>
      </w:rPr>
    </w:lvl>
  </w:abstractNum>
  <w:abstractNum w:abstractNumId="3">
    <w:multiLevelType w:val="hybridMultilevel"/>
    <w:lvl w:ilvl="0">
      <w:start w:val="2"/>
      <w:numFmt w:val="upperRoman"/>
      <w:lvlText w:val="%1."/>
      <w:lvlJc w:val="left"/>
      <w:pPr>
        <w:ind w:left="495" w:hanging="308"/>
        <w:jc w:val="right"/>
      </w:pPr>
      <w:rPr>
        <w:rFonts w:hint="default"/>
        <w:b/>
        <w:bCs/>
        <w:w w:val="99"/>
      </w:rPr>
    </w:lvl>
    <w:lvl w:ilvl="1">
      <w:start w:val="1"/>
      <w:numFmt w:val="bullet"/>
      <w:lvlText w:val="•"/>
      <w:lvlJc w:val="left"/>
      <w:pPr>
        <w:ind w:left="1160" w:hanging="308"/>
      </w:pPr>
      <w:rPr>
        <w:rFonts w:hint="default"/>
      </w:rPr>
    </w:lvl>
    <w:lvl w:ilvl="2">
      <w:start w:val="1"/>
      <w:numFmt w:val="bullet"/>
      <w:lvlText w:val="•"/>
      <w:lvlJc w:val="left"/>
      <w:pPr>
        <w:ind w:left="2037" w:hanging="308"/>
      </w:pPr>
      <w:rPr>
        <w:rFonts w:hint="default"/>
      </w:rPr>
    </w:lvl>
    <w:lvl w:ilvl="3">
      <w:start w:val="1"/>
      <w:numFmt w:val="bullet"/>
      <w:lvlText w:val="•"/>
      <w:lvlJc w:val="left"/>
      <w:pPr>
        <w:ind w:left="2915" w:hanging="308"/>
      </w:pPr>
      <w:rPr>
        <w:rFonts w:hint="default"/>
      </w:rPr>
    </w:lvl>
    <w:lvl w:ilvl="4">
      <w:start w:val="1"/>
      <w:numFmt w:val="bullet"/>
      <w:lvlText w:val="•"/>
      <w:lvlJc w:val="left"/>
      <w:pPr>
        <w:ind w:left="3793" w:hanging="308"/>
      </w:pPr>
      <w:rPr>
        <w:rFonts w:hint="default"/>
      </w:rPr>
    </w:lvl>
    <w:lvl w:ilvl="5">
      <w:start w:val="1"/>
      <w:numFmt w:val="bullet"/>
      <w:lvlText w:val="•"/>
      <w:lvlJc w:val="left"/>
      <w:pPr>
        <w:ind w:left="4671" w:hanging="308"/>
      </w:pPr>
      <w:rPr>
        <w:rFonts w:hint="default"/>
      </w:rPr>
    </w:lvl>
    <w:lvl w:ilvl="6">
      <w:start w:val="1"/>
      <w:numFmt w:val="bullet"/>
      <w:lvlText w:val="•"/>
      <w:lvlJc w:val="left"/>
      <w:pPr>
        <w:ind w:left="5548" w:hanging="308"/>
      </w:pPr>
      <w:rPr>
        <w:rFonts w:hint="default"/>
      </w:rPr>
    </w:lvl>
    <w:lvl w:ilvl="7">
      <w:start w:val="1"/>
      <w:numFmt w:val="bullet"/>
      <w:lvlText w:val="•"/>
      <w:lvlJc w:val="left"/>
      <w:pPr>
        <w:ind w:left="6426" w:hanging="308"/>
      </w:pPr>
      <w:rPr>
        <w:rFonts w:hint="default"/>
      </w:rPr>
    </w:lvl>
    <w:lvl w:ilvl="8">
      <w:start w:val="1"/>
      <w:numFmt w:val="bullet"/>
      <w:lvlText w:val="•"/>
      <w:lvlJc w:val="left"/>
      <w:pPr>
        <w:ind w:left="7304" w:hanging="308"/>
      </w:pPr>
      <w:rPr>
        <w:rFonts w:hint="default"/>
      </w:rPr>
    </w:lvl>
  </w:abstractNum>
  <w:abstractNum w:abstractNumId="2">
    <w:multiLevelType w:val="hybridMultilevel"/>
    <w:lvl w:ilvl="0">
      <w:start w:val="18"/>
      <w:numFmt w:val="upperLetter"/>
      <w:lvlText w:val="%1."/>
      <w:lvlJc w:val="left"/>
      <w:pPr>
        <w:ind w:left="1102" w:hanging="281"/>
        <w:jc w:val="left"/>
      </w:pPr>
      <w:rPr>
        <w:rFonts w:hint="default" w:ascii="Cambria" w:hAnsi="Cambria" w:eastAsia="Cambria" w:cs="Cambria"/>
        <w:w w:val="111"/>
        <w:sz w:val="24"/>
        <w:szCs w:val="24"/>
      </w:rPr>
    </w:lvl>
    <w:lvl w:ilvl="1">
      <w:start w:val="1"/>
      <w:numFmt w:val="decimal"/>
      <w:lvlText w:val="%2."/>
      <w:lvlJc w:val="left"/>
      <w:pPr>
        <w:ind w:left="1916" w:hanging="36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711" w:hanging="360"/>
      </w:pPr>
      <w:rPr>
        <w:rFonts w:hint="default"/>
      </w:rPr>
    </w:lvl>
    <w:lvl w:ilvl="3">
      <w:start w:val="1"/>
      <w:numFmt w:val="bullet"/>
      <w:lvlText w:val="•"/>
      <w:lvlJc w:val="left"/>
      <w:pPr>
        <w:ind w:left="3502" w:hanging="360"/>
      </w:pPr>
      <w:rPr>
        <w:rFonts w:hint="default"/>
      </w:rPr>
    </w:lvl>
    <w:lvl w:ilvl="4">
      <w:start w:val="1"/>
      <w:numFmt w:val="bullet"/>
      <w:lvlText w:val="•"/>
      <w:lvlJc w:val="left"/>
      <w:pPr>
        <w:ind w:left="4293" w:hanging="360"/>
      </w:pPr>
      <w:rPr>
        <w:rFonts w:hint="default"/>
      </w:rPr>
    </w:lvl>
    <w:lvl w:ilvl="5">
      <w:start w:val="1"/>
      <w:numFmt w:val="bullet"/>
      <w:lvlText w:val="•"/>
      <w:lvlJc w:val="left"/>
      <w:pPr>
        <w:ind w:left="5084" w:hanging="360"/>
      </w:pPr>
      <w:rPr>
        <w:rFonts w:hint="default"/>
      </w:rPr>
    </w:lvl>
    <w:lvl w:ilvl="6">
      <w:start w:val="1"/>
      <w:numFmt w:val="bullet"/>
      <w:lvlText w:val="•"/>
      <w:lvlJc w:val="left"/>
      <w:pPr>
        <w:ind w:left="5875" w:hanging="360"/>
      </w:pPr>
      <w:rPr>
        <w:rFonts w:hint="default"/>
      </w:rPr>
    </w:lvl>
    <w:lvl w:ilvl="7">
      <w:start w:val="1"/>
      <w:numFmt w:val="bullet"/>
      <w:lvlText w:val="•"/>
      <w:lvlJc w:val="left"/>
      <w:pPr>
        <w:ind w:left="6666" w:hanging="360"/>
      </w:pPr>
      <w:rPr>
        <w:rFonts w:hint="default"/>
      </w:rPr>
    </w:lvl>
    <w:lvl w:ilvl="8">
      <w:start w:val="1"/>
      <w:numFmt w:val="bullet"/>
      <w:lvlText w:val="•"/>
      <w:lvlJc w:val="left"/>
      <w:pPr>
        <w:ind w:left="7457" w:hanging="360"/>
      </w:pPr>
      <w:rPr>
        <w:rFonts w:hint="default"/>
      </w:rPr>
    </w:lvl>
  </w:abstractNum>
  <w:abstractNum w:abstractNumId="1">
    <w:multiLevelType w:val="hybridMultilevel"/>
    <w:lvl w:ilvl="0">
      <w:start w:val="10"/>
      <w:numFmt w:val="decimal"/>
      <w:lvlText w:val="%1"/>
      <w:lvlJc w:val="left"/>
      <w:pPr>
        <w:ind w:left="102" w:hanging="600"/>
        <w:jc w:val="left"/>
      </w:pPr>
      <w:rPr>
        <w:rFonts w:hint="default"/>
      </w:rPr>
    </w:lvl>
    <w:lvl w:ilvl="1">
      <w:start w:val="95"/>
      <w:numFmt w:val="decimal"/>
      <w:lvlText w:val="%1.%2"/>
      <w:lvlJc w:val="left"/>
      <w:pPr>
        <w:ind w:left="102" w:hanging="600"/>
        <w:jc w:val="left"/>
      </w:pPr>
      <w:rPr>
        <w:rFonts w:hint="default" w:ascii="Cambria" w:hAnsi="Cambria" w:eastAsia="Cambria" w:cs="Cambria"/>
        <w:w w:val="92"/>
        <w:sz w:val="24"/>
        <w:szCs w:val="24"/>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182" w:hanging="360"/>
      </w:pPr>
      <w:rPr>
        <w:rFonts w:hint="default" w:ascii="Wingdings" w:hAnsi="Wingdings" w:eastAsia="Wingdings" w:cs="Wingdings"/>
        <w:w w:val="99"/>
        <w:sz w:val="24"/>
        <w:szCs w:val="24"/>
      </w:rPr>
    </w:lvl>
    <w:lvl w:ilvl="4">
      <w:start w:val="1"/>
      <w:numFmt w:val="bullet"/>
      <w:lvlText w:val="•"/>
      <w:lvlJc w:val="left"/>
      <w:pPr>
        <w:ind w:left="3145" w:hanging="360"/>
      </w:pPr>
      <w:rPr>
        <w:rFonts w:hint="default"/>
      </w:rPr>
    </w:lvl>
    <w:lvl w:ilvl="5">
      <w:start w:val="1"/>
      <w:numFmt w:val="bullet"/>
      <w:lvlText w:val="•"/>
      <w:lvlJc w:val="left"/>
      <w:pPr>
        <w:ind w:left="4127" w:hanging="360"/>
      </w:pPr>
      <w:rPr>
        <w:rFonts w:hint="default"/>
      </w:rPr>
    </w:lvl>
    <w:lvl w:ilvl="6">
      <w:start w:val="1"/>
      <w:numFmt w:val="bullet"/>
      <w:lvlText w:val="•"/>
      <w:lvlJc w:val="left"/>
      <w:pPr>
        <w:ind w:left="5110" w:hanging="360"/>
      </w:pPr>
      <w:rPr>
        <w:rFonts w:hint="default"/>
      </w:rPr>
    </w:lvl>
    <w:lvl w:ilvl="7">
      <w:start w:val="1"/>
      <w:numFmt w:val="bullet"/>
      <w:lvlText w:val="•"/>
      <w:lvlJc w:val="left"/>
      <w:pPr>
        <w:ind w:left="6092" w:hanging="360"/>
      </w:pPr>
      <w:rPr>
        <w:rFonts w:hint="default"/>
      </w:rPr>
    </w:lvl>
    <w:lvl w:ilvl="8">
      <w:start w:val="1"/>
      <w:numFmt w:val="bullet"/>
      <w:lvlText w:val="•"/>
      <w:lvlJc w:val="left"/>
      <w:pPr>
        <w:ind w:left="7075" w:hanging="360"/>
      </w:pPr>
      <w:rPr>
        <w:rFonts w:hint="default"/>
      </w:rPr>
    </w:lvl>
  </w:abstractNum>
  <w:abstractNum w:abstractNumId="0">
    <w:multiLevelType w:val="hybridMultilevel"/>
    <w:lvl w:ilvl="0">
      <w:start w:val="2"/>
      <w:numFmt w:val="upperRoman"/>
      <w:lvlText w:val="%1."/>
      <w:lvlJc w:val="left"/>
      <w:pPr>
        <w:ind w:left="322" w:hanging="255"/>
        <w:jc w:val="left"/>
      </w:pPr>
      <w:rPr>
        <w:rFonts w:hint="default" w:ascii="Times New Roman" w:hAnsi="Times New Roman" w:eastAsia="Times New Roman" w:cs="Times New Roman"/>
        <w:spacing w:val="-2"/>
        <w:w w:val="100"/>
        <w:sz w:val="22"/>
        <w:szCs w:val="22"/>
      </w:rPr>
    </w:lvl>
    <w:lvl w:ilvl="1">
      <w:start w:val="1"/>
      <w:numFmt w:val="bullet"/>
      <w:lvlText w:val="•"/>
      <w:lvlJc w:val="left"/>
      <w:pPr>
        <w:ind w:left="1192" w:hanging="255"/>
      </w:pPr>
      <w:rPr>
        <w:rFonts w:hint="default"/>
      </w:rPr>
    </w:lvl>
    <w:lvl w:ilvl="2">
      <w:start w:val="1"/>
      <w:numFmt w:val="bullet"/>
      <w:lvlText w:val="•"/>
      <w:lvlJc w:val="left"/>
      <w:pPr>
        <w:ind w:left="2064" w:hanging="255"/>
      </w:pPr>
      <w:rPr>
        <w:rFonts w:hint="default"/>
      </w:rPr>
    </w:lvl>
    <w:lvl w:ilvl="3">
      <w:start w:val="1"/>
      <w:numFmt w:val="bullet"/>
      <w:lvlText w:val="•"/>
      <w:lvlJc w:val="left"/>
      <w:pPr>
        <w:ind w:left="2936" w:hanging="255"/>
      </w:pPr>
      <w:rPr>
        <w:rFonts w:hint="default"/>
      </w:rPr>
    </w:lvl>
    <w:lvl w:ilvl="4">
      <w:start w:val="1"/>
      <w:numFmt w:val="bullet"/>
      <w:lvlText w:val="•"/>
      <w:lvlJc w:val="left"/>
      <w:pPr>
        <w:ind w:left="3808" w:hanging="255"/>
      </w:pPr>
      <w:rPr>
        <w:rFonts w:hint="default"/>
      </w:rPr>
    </w:lvl>
    <w:lvl w:ilvl="5">
      <w:start w:val="1"/>
      <w:numFmt w:val="bullet"/>
      <w:lvlText w:val="•"/>
      <w:lvlJc w:val="left"/>
      <w:pPr>
        <w:ind w:left="4680" w:hanging="255"/>
      </w:pPr>
      <w:rPr>
        <w:rFonts w:hint="default"/>
      </w:rPr>
    </w:lvl>
    <w:lvl w:ilvl="6">
      <w:start w:val="1"/>
      <w:numFmt w:val="bullet"/>
      <w:lvlText w:val="•"/>
      <w:lvlJc w:val="left"/>
      <w:pPr>
        <w:ind w:left="5552" w:hanging="255"/>
      </w:pPr>
      <w:rPr>
        <w:rFonts w:hint="default"/>
      </w:rPr>
    </w:lvl>
    <w:lvl w:ilvl="7">
      <w:start w:val="1"/>
      <w:numFmt w:val="bullet"/>
      <w:lvlText w:val="•"/>
      <w:lvlJc w:val="left"/>
      <w:pPr>
        <w:ind w:left="6424" w:hanging="255"/>
      </w:pPr>
      <w:rPr>
        <w:rFonts w:hint="default"/>
      </w:rPr>
    </w:lvl>
    <w:lvl w:ilvl="8">
      <w:start w:val="1"/>
      <w:numFmt w:val="bullet"/>
      <w:lvlText w:val="•"/>
      <w:lvlJc w:val="left"/>
      <w:pPr>
        <w:ind w:left="7296" w:hanging="255"/>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20"/>
      <w:ind w:left="102"/>
    </w:pPr>
    <w:rPr>
      <w:rFonts w:ascii="Palatino Linotype" w:hAnsi="Palatino Linotype" w:eastAsia="Palatino Linotype" w:cs="Palatino Linotype"/>
      <w:b/>
      <w:bCs/>
      <w:sz w:val="24"/>
      <w:szCs w:val="24"/>
    </w:rPr>
  </w:style>
  <w:style w:styleId="TOC2" w:type="paragraph">
    <w:name w:val="TOC 2"/>
    <w:basedOn w:val="Normal"/>
    <w:uiPriority w:val="1"/>
    <w:qFormat/>
    <w:pPr>
      <w:spacing w:before="73"/>
      <w:ind w:left="102"/>
    </w:pPr>
    <w:rPr>
      <w:rFonts w:ascii="Palatino Linotype" w:hAnsi="Palatino Linotype" w:eastAsia="Palatino Linotype" w:cs="Palatino Linotype"/>
      <w:b/>
      <w:bCs/>
      <w:i/>
    </w:rPr>
  </w:style>
  <w:style w:styleId="TOC3" w:type="paragraph">
    <w:name w:val="TOC 3"/>
    <w:basedOn w:val="Normal"/>
    <w:uiPriority w:val="1"/>
    <w:qFormat/>
    <w:pPr>
      <w:spacing w:before="135"/>
      <w:ind w:left="322"/>
    </w:pPr>
    <w:rPr>
      <w:rFonts w:ascii="Times New Roman" w:hAnsi="Times New Roman" w:eastAsia="Times New Roman" w:cs="Times New Roman"/>
      <w:sz w:val="22"/>
      <w:szCs w:val="22"/>
    </w:rPr>
  </w:style>
  <w:style w:styleId="TOC4" w:type="paragraph">
    <w:name w:val="TOC 4"/>
    <w:basedOn w:val="Normal"/>
    <w:uiPriority w:val="1"/>
    <w:qFormat/>
    <w:pPr>
      <w:spacing w:before="138"/>
      <w:ind w:left="322"/>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Palatino Linotype" w:hAnsi="Palatino Linotype" w:eastAsia="Palatino Linotype" w:cs="Palatino Linotype"/>
      <w:b/>
      <w:bCs/>
      <w:sz w:val="28"/>
      <w:szCs w:val="28"/>
    </w:rPr>
  </w:style>
  <w:style w:styleId="Heading2" w:type="paragraph">
    <w:name w:val="Heading 2"/>
    <w:basedOn w:val="Normal"/>
    <w:uiPriority w:val="1"/>
    <w:qFormat/>
    <w:pPr>
      <w:ind w:left="102"/>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322"/>
    </w:pPr>
    <w:rPr>
      <w:rFonts w:ascii="Cambria" w:hAnsi="Cambria" w:eastAsia="Cambria" w:cs="Cambria"/>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jpeg"/><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image" Target="media/image7.jpeg"/><Relationship Id="rId14" Type="http://schemas.openxmlformats.org/officeDocument/2006/relationships/hyperlink" Target="http://www.iucnredlist.org/" TargetMode="External"/><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png"/><Relationship Id="rId19" Type="http://schemas.openxmlformats.org/officeDocument/2006/relationships/image" Target="media/image12.jpeg"/><Relationship Id="rId20" Type="http://schemas.openxmlformats.org/officeDocument/2006/relationships/image" Target="media/image13.pn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hyperlink" Target="mailto:omv@uaemex.mx" TargetMode="External"/><Relationship Id="rId24" Type="http://schemas.openxmlformats.org/officeDocument/2006/relationships/hyperlink" Target="mailto:tavomonroyvilchis@gmail.com" TargetMode="External"/><Relationship Id="rId25" Type="http://schemas.openxmlformats.org/officeDocument/2006/relationships/image" Target="media/image16.jpeg"/><Relationship Id="rId26" Type="http://schemas.openxmlformats.org/officeDocument/2006/relationships/image" Target="media/image17.jpeg"/><Relationship Id="rId27" Type="http://schemas.openxmlformats.org/officeDocument/2006/relationships/image" Target="media/image18.jpeg"/><Relationship Id="rId28" Type="http://schemas.openxmlformats.org/officeDocument/2006/relationships/image" Target="media/image19.jpeg"/><Relationship Id="rId29" Type="http://schemas.openxmlformats.org/officeDocument/2006/relationships/hyperlink" Target="mailto:leroysoriadiaz@gmail.com" TargetMode="External"/><Relationship Id="rId30" Type="http://schemas.openxmlformats.org/officeDocument/2006/relationships/hyperlink" Target="mailto:d.oro@uib.es" TargetMode="External"/><Relationship Id="rId31" Type="http://schemas.openxmlformats.org/officeDocument/2006/relationships/footer" Target="footer2.xml"/><Relationship Id="rId32" Type="http://schemas.openxmlformats.org/officeDocument/2006/relationships/footer" Target="footer3.xml"/><Relationship Id="rId33" Type="http://schemas.openxmlformats.org/officeDocument/2006/relationships/image" Target="media/image20.jpeg"/><Relationship Id="rId34" Type="http://schemas.openxmlformats.org/officeDocument/2006/relationships/image" Target="media/image21.jpeg"/><Relationship Id="rId35" Type="http://schemas.openxmlformats.org/officeDocument/2006/relationships/image" Target="media/image22.jpeg"/><Relationship Id="rId36" Type="http://schemas.openxmlformats.org/officeDocument/2006/relationships/image" Target="media/image23.jpeg"/><Relationship Id="rId37" Type="http://schemas.openxmlformats.org/officeDocument/2006/relationships/image" Target="media/image24.png"/><Relationship Id="rId38" Type="http://schemas.openxmlformats.org/officeDocument/2006/relationships/image" Target="media/image25.jpeg"/><Relationship Id="rId39" Type="http://schemas.openxmlformats.org/officeDocument/2006/relationships/image" Target="media/image26.jpeg"/><Relationship Id="rId40" Type="http://schemas.openxmlformats.org/officeDocument/2006/relationships/hyperlink" Target="mailto:M.S.Fowler@swansea.ac.uk" TargetMode="External"/><Relationship Id="rId41" Type="http://schemas.openxmlformats.org/officeDocument/2006/relationships/image" Target="media/image27.png"/><Relationship Id="rId42" Type="http://schemas.openxmlformats.org/officeDocument/2006/relationships/image" Target="media/image28.png"/><Relationship Id="rId43" Type="http://schemas.openxmlformats.org/officeDocument/2006/relationships/image" Target="media/image29.png"/><Relationship Id="rId44" Type="http://schemas.openxmlformats.org/officeDocument/2006/relationships/hyperlink" Target="mailto:xell@imedea.uib-csic.es" TargetMode="External"/><Relationship Id="rId45" Type="http://schemas.openxmlformats.org/officeDocument/2006/relationships/image" Target="media/image30.jpeg"/><Relationship Id="rId4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LEROY SORIA DIAZ</dc:creator>
  <dcterms:created xsi:type="dcterms:W3CDTF">2017-05-23T00:43:21Z</dcterms:created>
  <dcterms:modified xsi:type="dcterms:W3CDTF">2017-05-23T00:43:21Z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2014-02-27T00:00:00Z</vt:filetime>
  </property>
  <property fmtid="{D5CDD505-2E9C-101B-9397-08002B2CF9AE}" pid="3" name="Creator">
    <vt:lpwstr>Microsoft® Office Word 2007</vt:lpwstr>
  </property>
  <property fmtid="{D5CDD505-2E9C-101B-9397-08002B2CF9AE}" pid="4" name="LastSaved">
    <vt:filetime>2017-05-22T00:00:00Z</vt:filetime>
  </property>
</Properties>
</file>