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spacing w:before="5"/>
      </w:pPr>
    </w:p>
    <w:p>
      <w:pPr>
        <w:pStyle w:val="Heading1"/>
        <w:spacing w:before="72"/>
        <w:ind w:left="136" w:right="152"/>
      </w:pPr>
      <w:r>
        <w:rPr/>
        <w:t>MEDICIÓN DE AÑOS DE VIDA AJUSTADOS POR DISCAPACIDAD PARA ENFERMEDADES RELACIONADAS CON INUNDACIONES OCURRIDAS DE 2000-2006 EN LA CUENCA LERMA-CHAPALA (MÉXICO)</w:t>
      </w:r>
    </w:p>
    <w:p>
      <w:pPr>
        <w:pStyle w:val="BodyText"/>
        <w:rPr>
          <w:b/>
        </w:rPr>
      </w:pPr>
    </w:p>
    <w:p>
      <w:pPr>
        <w:pStyle w:val="BodyText"/>
        <w:rPr>
          <w:b/>
        </w:rPr>
      </w:pPr>
    </w:p>
    <w:p>
      <w:pPr>
        <w:pStyle w:val="BodyText"/>
        <w:spacing w:before="6"/>
        <w:rPr>
          <w:b/>
          <w:sz w:val="21"/>
        </w:rPr>
      </w:pPr>
    </w:p>
    <w:p>
      <w:pPr>
        <w:pStyle w:val="BodyText"/>
        <w:spacing w:line="216" w:lineRule="auto"/>
        <w:ind w:left="137" w:right="152"/>
        <w:jc w:val="center"/>
      </w:pPr>
      <w:r>
        <w:rPr/>
        <w:t>MIGUEL A. GÓMEZ-ALBORES</w:t>
      </w:r>
      <w:r>
        <w:rPr>
          <w:position w:val="10"/>
          <w:sz w:val="14"/>
        </w:rPr>
        <w:t>1</w:t>
      </w:r>
      <w:r>
        <w:rPr/>
        <w:t>, DÍAZ-DELGADO CARLOS</w:t>
      </w:r>
      <w:r>
        <w:rPr>
          <w:position w:val="10"/>
          <w:sz w:val="14"/>
        </w:rPr>
        <w:t>1</w:t>
      </w:r>
      <w:r>
        <w:rPr/>
        <w:t>, ESTELLER-ALBERICH MARÍA</w:t>
      </w:r>
      <w:r>
        <w:rPr>
          <w:position w:val="10"/>
          <w:sz w:val="14"/>
        </w:rPr>
        <w:t>1</w:t>
      </w:r>
      <w:r>
        <w:rPr/>
        <w:t>, SÁNCHEZ-FLORES OSCAR</w:t>
      </w:r>
      <w:r>
        <w:rPr>
          <w:position w:val="10"/>
          <w:sz w:val="14"/>
        </w:rPr>
        <w:t>2</w:t>
      </w:r>
      <w:r>
        <w:rPr/>
        <w:t>, MANZANO-SOLÍS RICARDO</w:t>
      </w:r>
      <w:r>
        <w:rPr>
          <w:position w:val="10"/>
          <w:sz w:val="14"/>
        </w:rPr>
        <w:t>3</w:t>
      </w:r>
      <w:r>
        <w:rPr/>
        <w:t>, ORDOÑEZ-SIERRA RAYMUNDO</w:t>
      </w:r>
      <w:r>
        <w:rPr>
          <w:position w:val="10"/>
          <w:sz w:val="14"/>
        </w:rPr>
        <w:t>3</w:t>
      </w:r>
      <w:r>
        <w:rPr/>
        <w:t>, HERNÁNDEZ-TÉLLEZ MARIVEL</w:t>
      </w:r>
      <w:r>
        <w:rPr>
          <w:position w:val="10"/>
          <w:sz w:val="14"/>
        </w:rPr>
        <w:t>1</w:t>
      </w:r>
      <w:r>
        <w:rPr/>
        <w:t>.</w:t>
      </w:r>
    </w:p>
    <w:p>
      <w:pPr>
        <w:pStyle w:val="BodyText"/>
        <w:spacing w:line="245" w:lineRule="exact"/>
        <w:ind w:left="137" w:right="152"/>
        <w:jc w:val="center"/>
      </w:pPr>
      <w:r>
        <w:rPr>
          <w:position w:val="10"/>
          <w:sz w:val="14"/>
        </w:rPr>
        <w:t>1</w:t>
      </w:r>
      <w:r>
        <w:rPr/>
        <w:t>Centro Interamericano de Recursos del Agua-UAEMéx, </w:t>
      </w:r>
      <w:r>
        <w:rPr>
          <w:position w:val="10"/>
          <w:sz w:val="14"/>
        </w:rPr>
        <w:t>2</w:t>
      </w:r>
      <w:r>
        <w:rPr/>
        <w:t>Facultad de Ingeniería-UAEMéx,</w:t>
      </w:r>
    </w:p>
    <w:p>
      <w:pPr>
        <w:pStyle w:val="BodyText"/>
        <w:spacing w:line="266" w:lineRule="exact"/>
        <w:ind w:left="136" w:right="152"/>
        <w:jc w:val="center"/>
        <w:rPr>
          <w:sz w:val="14"/>
        </w:rPr>
      </w:pPr>
      <w:r>
        <w:rPr>
          <w:position w:val="10"/>
          <w:sz w:val="14"/>
        </w:rPr>
        <w:t>3</w:t>
      </w:r>
      <w:r>
        <w:rPr/>
        <w:t>Facultad de Geografía-UAEMéx</w:t>
      </w:r>
      <w:r>
        <w:rPr>
          <w:position w:val="10"/>
          <w:sz w:val="14"/>
        </w:rPr>
        <w:t>3</w:t>
      </w:r>
    </w:p>
    <w:p>
      <w:pPr>
        <w:pStyle w:val="BodyText"/>
        <w:ind w:left="137" w:right="150"/>
        <w:jc w:val="center"/>
      </w:pPr>
      <w:r>
        <w:rPr/>
        <w:t>Correspondencia: Facultad de Ingeniería, Cerro de Coatepec, Ciudad Universitaria, Toluca, Estado de México, C.P.50110, (722)2965550/51</w:t>
      </w:r>
    </w:p>
    <w:p>
      <w:pPr>
        <w:pStyle w:val="BodyText"/>
        <w:spacing w:line="254" w:lineRule="exact" w:before="1"/>
        <w:ind w:left="588" w:right="601" w:hanging="1"/>
        <w:jc w:val="center"/>
        <w:rPr>
          <w:rFonts w:ascii="Arial"/>
          <w:sz w:val="20"/>
        </w:rPr>
      </w:pPr>
      <w:hyperlink r:id="rId6">
        <w:r>
          <w:rPr>
            <w:position w:val="10"/>
            <w:sz w:val="14"/>
          </w:rPr>
          <w:t>1</w:t>
        </w:r>
        <w:r>
          <w:rPr/>
          <w:t>qfbmiguel@yahoo.com.mx,</w:t>
        </w:r>
      </w:hyperlink>
      <w:r>
        <w:rPr/>
        <w:t> </w:t>
      </w:r>
      <w:hyperlink r:id="rId7">
        <w:r>
          <w:rPr>
            <w:position w:val="10"/>
            <w:sz w:val="14"/>
          </w:rPr>
          <w:t>1</w:t>
        </w:r>
        <w:r>
          <w:rPr/>
          <w:t>cdiazd@uaemex.mx,</w:t>
        </w:r>
      </w:hyperlink>
      <w:r>
        <w:rPr/>
        <w:t> </w:t>
      </w:r>
      <w:hyperlink r:id="rId8">
        <w:r>
          <w:rPr>
            <w:position w:val="10"/>
            <w:sz w:val="14"/>
          </w:rPr>
          <w:t>1</w:t>
        </w:r>
        <w:r>
          <w:rPr/>
          <w:t>mvestellera@uaemex.mx,</w:t>
        </w:r>
      </w:hyperlink>
      <w:r>
        <w:rPr/>
        <w:t> </w:t>
      </w:r>
      <w:hyperlink r:id="rId9">
        <w:r>
          <w:rPr>
            <w:position w:val="10"/>
            <w:sz w:val="14"/>
          </w:rPr>
          <w:t>1</w:t>
        </w:r>
        <w:r>
          <w:rPr/>
          <w:t>marhtellez@yahoo.com.mx,</w:t>
        </w:r>
      </w:hyperlink>
      <w:r>
        <w:rPr/>
        <w:t> </w:t>
      </w:r>
      <w:hyperlink r:id="rId10">
        <w:r>
          <w:rPr>
            <w:position w:val="10"/>
            <w:sz w:val="14"/>
          </w:rPr>
          <w:t>2</w:t>
        </w:r>
        <w:r>
          <w:rPr/>
          <w:t>osanchez@uaemex.mx,</w:t>
        </w:r>
      </w:hyperlink>
      <w:r>
        <w:rPr/>
        <w:t> </w:t>
      </w:r>
      <w:hyperlink r:id="rId11">
        <w:r>
          <w:rPr>
            <w:position w:val="10"/>
            <w:sz w:val="14"/>
          </w:rPr>
          <w:t>3</w:t>
        </w:r>
        <w:r>
          <w:rPr/>
          <w:t>geograforicardo@yahoo.com.mx,</w:t>
        </w:r>
      </w:hyperlink>
      <w:r>
        <w:rPr/>
        <w:t> </w:t>
      </w:r>
      <w:hyperlink r:id="rId12">
        <w:r>
          <w:rPr>
            <w:position w:val="10"/>
            <w:sz w:val="14"/>
          </w:rPr>
          <w:t>3</w:t>
        </w:r>
        <w:r>
          <w:rPr>
            <w:rFonts w:ascii="Arial"/>
            <w:sz w:val="20"/>
          </w:rPr>
          <w:t>rayito8884@hotmail.com</w:t>
        </w:r>
      </w:hyperlink>
    </w:p>
    <w:p>
      <w:pPr>
        <w:pStyle w:val="BodyText"/>
        <w:rPr>
          <w:rFonts w:ascii="Arial"/>
          <w:sz w:val="24"/>
        </w:rPr>
      </w:pPr>
    </w:p>
    <w:p>
      <w:pPr>
        <w:pStyle w:val="BodyText"/>
        <w:spacing w:before="7"/>
        <w:rPr>
          <w:rFonts w:ascii="Arial"/>
          <w:sz w:val="19"/>
        </w:rPr>
      </w:pPr>
    </w:p>
    <w:p>
      <w:pPr>
        <w:pStyle w:val="BodyText"/>
        <w:ind w:left="101"/>
        <w:jc w:val="both"/>
      </w:pPr>
      <w:r>
        <w:rPr/>
        <w:t>RESUMEN</w:t>
      </w:r>
    </w:p>
    <w:p>
      <w:pPr>
        <w:pStyle w:val="BodyText"/>
      </w:pPr>
    </w:p>
    <w:p>
      <w:pPr>
        <w:pStyle w:val="BodyText"/>
        <w:ind w:left="101" w:right="113"/>
        <w:jc w:val="both"/>
      </w:pPr>
      <w:r>
        <w:rPr/>
        <w:t>El presente trabajo es un estudio de tipo ecológico retrospectivo de enfermedades relacionadas con inundaciones, en el que la unidad de análisis espacial no es el individuo sino mediciones agregadas a nivel de municipios y localidades. Se analiza el efecto del evento para conocer sus causas, utilizando como herramienta de apoyo el </w:t>
      </w:r>
      <w:r>
        <w:rPr>
          <w:i/>
        </w:rPr>
        <w:t>software </w:t>
      </w:r>
      <w:r>
        <w:rPr/>
        <w:t>Idrisi. El objetivo es determinar el nivel de asociación que existe entre zonas con y sin riesgo de inundación, considerando como medida epidemiológica de análisis la tasa de años de vida ajustados por discapacidad (AVAD). La metodología se desarrolla en 5 etapas, que son: 1) Recopilación de información, 2) Estructuración de datos para las enfermedades relacionadas con inundaciones, 3) Identificación de unidades espaciales, 4) Cálculo de medidas de frecuencia, y finalmente 5) Cálculo del riesgo relativo. Los resultados mostraron que existe una asociación (RR&gt;1) entre el factor de riesgo (zonas de inundación) y la tasa de AVAD, para infecciones intestinales y hepatitis</w:t>
      </w:r>
      <w:r>
        <w:rPr>
          <w:spacing w:val="-12"/>
        </w:rPr>
        <w:t> </w:t>
      </w:r>
      <w:r>
        <w:rPr/>
        <w:t>A.</w:t>
      </w:r>
    </w:p>
    <w:p>
      <w:pPr>
        <w:pStyle w:val="BodyText"/>
      </w:pPr>
    </w:p>
    <w:p>
      <w:pPr>
        <w:pStyle w:val="BodyText"/>
        <w:ind w:left="101" w:right="116"/>
        <w:jc w:val="both"/>
      </w:pPr>
      <w:r>
        <w:rPr/>
        <w:t>Palabras clave: Años de vida ajustados por discapacidad (AVAD), Inundación, SIG, medidas de frecuencia y asociación.</w:t>
      </w:r>
    </w:p>
    <w:p>
      <w:pPr>
        <w:pStyle w:val="BodyText"/>
        <w:spacing w:before="8"/>
        <w:rPr>
          <w:sz w:val="18"/>
        </w:rPr>
      </w:pPr>
      <w:r>
        <w:rPr/>
        <w:drawing>
          <wp:anchor distT="0" distB="0" distL="0" distR="0" allowOverlap="1" layoutInCell="1" locked="0" behindDoc="0" simplePos="0" relativeHeight="0">
            <wp:simplePos x="0" y="0"/>
            <wp:positionH relativeFrom="page">
              <wp:posOffset>1080135</wp:posOffset>
            </wp:positionH>
            <wp:positionV relativeFrom="paragraph">
              <wp:posOffset>161452</wp:posOffset>
            </wp:positionV>
            <wp:extent cx="171450" cy="17145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13" cstate="print"/>
                    <a:stretch>
                      <a:fillRect/>
                    </a:stretch>
                  </pic:blipFill>
                  <pic:spPr>
                    <a:xfrm>
                      <a:off x="0" y="0"/>
                      <a:ext cx="171450" cy="171450"/>
                    </a:xfrm>
                    <a:prstGeom prst="rect">
                      <a:avLst/>
                    </a:prstGeom>
                  </pic:spPr>
                </pic:pic>
              </a:graphicData>
            </a:graphic>
          </wp:anchor>
        </w:drawing>
      </w:r>
    </w:p>
    <w:p>
      <w:pPr>
        <w:pStyle w:val="BodyText"/>
        <w:ind w:left="101" w:right="346"/>
      </w:pPr>
      <w:r>
        <w:rPr/>
        <w:t>MEASUREMENT OF ADJUSTED LIFE YEARS OF DISABILITY-RELATED DISEASES OF FLOODS DATED FROM 2000-2006 IN THE LERMA-CHAPALA SECTION (MEXICO)</w:t>
      </w:r>
    </w:p>
    <w:p>
      <w:pPr>
        <w:pStyle w:val="BodyText"/>
        <w:spacing w:before="1"/>
      </w:pPr>
    </w:p>
    <w:p>
      <w:pPr>
        <w:pStyle w:val="Heading1"/>
        <w:ind w:left="101"/>
        <w:jc w:val="both"/>
      </w:pPr>
      <w:r>
        <w:rPr/>
        <w:t>ABSTRACT</w:t>
      </w:r>
    </w:p>
    <w:p>
      <w:pPr>
        <w:pStyle w:val="BodyText"/>
        <w:spacing w:before="10"/>
        <w:rPr>
          <w:b/>
          <w:sz w:val="21"/>
        </w:rPr>
      </w:pPr>
    </w:p>
    <w:p>
      <w:pPr>
        <w:spacing w:before="0"/>
        <w:ind w:left="101" w:right="115" w:firstLine="0"/>
        <w:jc w:val="both"/>
        <w:rPr>
          <w:i/>
          <w:sz w:val="22"/>
        </w:rPr>
      </w:pPr>
      <w:r>
        <w:rPr>
          <w:i/>
          <w:sz w:val="22"/>
        </w:rPr>
        <w:t>This work is a retrospective study of ecological flood-related diseases, in which the unit of spatial </w:t>
      </w:r>
      <w:r>
        <w:rPr>
          <w:i/>
          <w:sz w:val="22"/>
        </w:rPr>
        <w:t>analysis is not the individual but the aggregate measures of municipalities and localities. We analyze the effect of the event for their causes, using as a tool to support the software Idrisi. The objective  is  to  determine  the  level  of  association  between  areas  with  and  without  the  risk of</w:t>
      </w:r>
    </w:p>
    <w:p>
      <w:pPr>
        <w:spacing w:after="0"/>
        <w:jc w:val="both"/>
        <w:rPr>
          <w:sz w:val="22"/>
        </w:rPr>
        <w:sectPr>
          <w:footerReference w:type="default" r:id="rId5"/>
          <w:type w:val="continuous"/>
          <w:pgSz w:w="12240" w:h="15840"/>
          <w:pgMar w:footer="932" w:top="1500" w:bottom="1120" w:left="1600" w:right="1580"/>
          <w:pgNumType w:start="1"/>
        </w:sectPr>
      </w:pPr>
    </w:p>
    <w:p>
      <w:pPr>
        <w:pStyle w:val="BodyText"/>
        <w:rPr>
          <w:i/>
          <w:sz w:val="20"/>
        </w:rPr>
      </w:pPr>
    </w:p>
    <w:p>
      <w:pPr>
        <w:pStyle w:val="BodyText"/>
        <w:rPr>
          <w:i/>
          <w:sz w:val="20"/>
        </w:rPr>
      </w:pPr>
    </w:p>
    <w:p>
      <w:pPr>
        <w:pStyle w:val="BodyText"/>
        <w:spacing w:before="5"/>
        <w:rPr>
          <w:i/>
          <w:sz w:val="20"/>
        </w:rPr>
      </w:pPr>
    </w:p>
    <w:p>
      <w:pPr>
        <w:spacing w:before="71"/>
        <w:ind w:left="101" w:right="112" w:firstLine="0"/>
        <w:jc w:val="both"/>
        <w:rPr>
          <w:i/>
          <w:sz w:val="22"/>
        </w:rPr>
      </w:pPr>
      <w:r>
        <w:rPr>
          <w:i/>
          <w:sz w:val="22"/>
        </w:rPr>
        <w:t>flooding, considering epidemiological analysis as a rate-adjusted life years (DALYs). The </w:t>
      </w:r>
      <w:r>
        <w:rPr>
          <w:i/>
          <w:sz w:val="22"/>
        </w:rPr>
        <w:t>methodology is developed in 5 stages, namely: 1) Gathering information, 2) Structuring of data for flood-related diseases, 3) Identification of spatial units, 4) Calculation of frequency measures, and finally 5) Calculation of relative risk. The results showed an association (RR&gt; 1) between the risk factor (flood zones) and the DALY rate for intestinal infections and hepatitis A.</w:t>
      </w:r>
    </w:p>
    <w:p>
      <w:pPr>
        <w:pStyle w:val="BodyText"/>
        <w:spacing w:before="10"/>
        <w:rPr>
          <w:i/>
          <w:sz w:val="21"/>
        </w:rPr>
      </w:pPr>
    </w:p>
    <w:p>
      <w:pPr>
        <w:spacing w:before="0"/>
        <w:ind w:left="101" w:right="0" w:firstLine="0"/>
        <w:jc w:val="both"/>
        <w:rPr>
          <w:i/>
          <w:sz w:val="22"/>
        </w:rPr>
      </w:pPr>
      <w:r>
        <w:rPr>
          <w:sz w:val="22"/>
        </w:rPr>
        <w:t>Key words: </w:t>
      </w:r>
      <w:r>
        <w:rPr>
          <w:i/>
          <w:sz w:val="22"/>
        </w:rPr>
        <w:t>Adjusted life years (DALYs), Flood, GIS, measures of frequency and association.</w:t>
      </w:r>
    </w:p>
    <w:p>
      <w:pPr>
        <w:pStyle w:val="BodyText"/>
        <w:spacing w:before="1"/>
        <w:rPr>
          <w:i/>
        </w:rPr>
      </w:pPr>
    </w:p>
    <w:p>
      <w:pPr>
        <w:pStyle w:val="Heading1"/>
        <w:numPr>
          <w:ilvl w:val="0"/>
          <w:numId w:val="1"/>
        </w:numPr>
        <w:tabs>
          <w:tab w:pos="322" w:val="left" w:leader="none"/>
        </w:tabs>
        <w:spacing w:line="240" w:lineRule="auto" w:before="0" w:after="0"/>
        <w:ind w:left="321" w:right="0" w:hanging="220"/>
        <w:jc w:val="both"/>
      </w:pPr>
      <w:r>
        <w:rPr/>
        <w:t>Introducción</w:t>
      </w:r>
    </w:p>
    <w:p>
      <w:pPr>
        <w:pStyle w:val="BodyText"/>
        <w:spacing w:before="9"/>
        <w:rPr>
          <w:b/>
          <w:sz w:val="21"/>
        </w:rPr>
      </w:pPr>
    </w:p>
    <w:p>
      <w:pPr>
        <w:pStyle w:val="BodyText"/>
        <w:ind w:left="101" w:right="115"/>
        <w:jc w:val="both"/>
      </w:pPr>
      <w:r>
        <w:rPr/>
        <w:t>Anualmente en el Planeta, las inundaciones afectan aproximadamente a 520 millones de personas, causando un incremento en la incidencia de enfermedades transmisibles y cobrando la vida de más de 25,000 habitantes de diferentes países. Entre las enfermedades asociadas con las inundaciones se destacan, las infecciones intestinales, leptospirosis, hepatitis A, dengue, paludismo, además de las defunciones por ahogamiento.</w:t>
      </w:r>
    </w:p>
    <w:p>
      <w:pPr>
        <w:pStyle w:val="BodyText"/>
        <w:ind w:left="101" w:right="116"/>
        <w:jc w:val="both"/>
      </w:pPr>
      <w:r>
        <w:rPr/>
        <w:t>Las inundaciones pueden clasificarse como repentinas o súbitas y como lentas o progresivas. Las primeras se producen generalmente en cuencas hidrográficas de fuertes pendientes y por la precipitación intensa de agua en muy corto tiempo, desarrollándose en minutos u horas,  dependiendo del relieve, condiciones del suelo y cobertura vegetal. Las inundaciones lentas o progresivas se producen sobre terrenos planos, que desaguan lentamente, y cerca a la rivera de los ríos; no se presentan ante lluvias intensas pero por las características del terreno el agua fluye más lentamente, provocando principalmente estancamientos del</w:t>
      </w:r>
      <w:r>
        <w:rPr>
          <w:spacing w:val="-18"/>
        </w:rPr>
        <w:t> </w:t>
      </w:r>
      <w:r>
        <w:rPr/>
        <w:t>agua.</w:t>
      </w:r>
    </w:p>
    <w:p>
      <w:pPr>
        <w:pStyle w:val="BodyText"/>
        <w:ind w:left="101" w:right="114"/>
        <w:jc w:val="both"/>
      </w:pPr>
      <w:r>
        <w:rPr/>
        <w:t>La carga de la enfermedad – AVAD (Años de Vida Ajustados por Discapacidad) es un indicador compuesto que combina el tiempo vivido con discapacidad (AVD) y el tiempo perdido por muerte prematura (AVP). Es considerada una medida eficaz para ayudar a los responsables de la formulación de políticas en la toma de decisiones sectoriales, a la hora de dar prioridad a las  distintas actividades sanitarias, sobre la base de un análisis de costo-efectividad (Annette </w:t>
      </w:r>
      <w:r>
        <w:rPr>
          <w:i/>
        </w:rPr>
        <w:t>et al </w:t>
      </w:r>
      <w:r>
        <w:rPr/>
        <w:t>2003; López,</w:t>
      </w:r>
      <w:r>
        <w:rPr>
          <w:spacing w:val="-4"/>
        </w:rPr>
        <w:t> </w:t>
      </w:r>
      <w:r>
        <w:rPr/>
        <w:t>2006).</w:t>
      </w:r>
    </w:p>
    <w:p>
      <w:pPr>
        <w:pStyle w:val="BodyText"/>
        <w:ind w:left="101" w:right="113"/>
        <w:jc w:val="both"/>
      </w:pPr>
      <w:r>
        <w:rPr/>
        <w:t>En la presente investigación se pretende, por medio de un Sistema de Información Geográfica  (SIG), medir la exposición (causa) y morbilidad/mortalidad (efectos). Este desarrollo permitirá medir la frecuencia y asociación vinculadas a aspectos de riesgo de inundación, desde un punto de vista de medir el riesgo en grupos comparativos entre expuestos y no expuestos, y que facilite una mejor vigilancia en la aparición de enfermedades, estimación del impacto considerando este tipo de eventos, siempre considerando la variabilidad</w:t>
      </w:r>
      <w:r>
        <w:rPr>
          <w:spacing w:val="-13"/>
        </w:rPr>
        <w:t> </w:t>
      </w:r>
      <w:r>
        <w:rPr/>
        <w:t>espacio-temporal.</w:t>
      </w:r>
    </w:p>
    <w:p>
      <w:pPr>
        <w:pStyle w:val="BodyText"/>
        <w:spacing w:before="1"/>
      </w:pPr>
    </w:p>
    <w:p>
      <w:pPr>
        <w:pStyle w:val="Heading1"/>
        <w:numPr>
          <w:ilvl w:val="0"/>
          <w:numId w:val="1"/>
        </w:numPr>
        <w:tabs>
          <w:tab w:pos="322" w:val="left" w:leader="none"/>
        </w:tabs>
        <w:spacing w:line="240" w:lineRule="auto" w:before="0" w:after="0"/>
        <w:ind w:left="321" w:right="0" w:hanging="220"/>
        <w:jc w:val="both"/>
      </w:pPr>
      <w:r>
        <w:rPr/>
        <w:t>Antecedentes</w:t>
      </w:r>
    </w:p>
    <w:p>
      <w:pPr>
        <w:pStyle w:val="BodyText"/>
        <w:spacing w:before="9"/>
        <w:rPr>
          <w:b/>
          <w:sz w:val="21"/>
        </w:rPr>
      </w:pPr>
    </w:p>
    <w:p>
      <w:pPr>
        <w:pStyle w:val="BodyText"/>
        <w:ind w:left="101" w:right="115" w:hanging="1"/>
        <w:jc w:val="both"/>
      </w:pPr>
      <w:r>
        <w:rPr/>
        <w:t>Alrededor de 196 millones de personas en más de 190 países se encuentran expuestas a la presencia de inundaciones. Los huracanes, los frentes fríos y las zonas de convergencia intertropical del fenómeno el NIÑO, entre otros, ocasionan lluvias intensas que se presentan cada vez con mayor frecuencia y producen graves inundaciones que afectan a comunidades enteras (OPS, 2006).</w:t>
      </w:r>
    </w:p>
    <w:p>
      <w:pPr>
        <w:pStyle w:val="BodyText"/>
        <w:ind w:left="101" w:right="115"/>
        <w:jc w:val="both"/>
      </w:pPr>
      <w:r>
        <w:rPr/>
        <w:t>Las inundaciones son el tipo más común entre los desastres naturales en todo el mundo y que a su vez se presentan con mayor duración en espacio e intensidad. El número de fallecidos es aproximadamente del 40% de las víctimas por desastres, sólo superado por los terremotos.</w:t>
      </w:r>
    </w:p>
    <w:p>
      <w:pPr>
        <w:pStyle w:val="BodyText"/>
        <w:ind w:left="101" w:right="115"/>
        <w:jc w:val="both"/>
      </w:pPr>
      <w:r>
        <w:rPr/>
        <w:t>Las inundaciones causan generalmente un número inesperado de muertes, lesiones e incremento de enfermedades transmisibles. A su vez se combina con una falta en el acceso a servicios en salud por</w:t>
      </w:r>
    </w:p>
    <w:p>
      <w:pPr>
        <w:spacing w:after="0"/>
        <w:jc w:val="both"/>
        <w:sectPr>
          <w:pgSz w:w="12240" w:h="15840"/>
          <w:pgMar w:header="0" w:footer="932" w:top="1500" w:bottom="1120" w:left="1600" w:right="1580"/>
        </w:sectPr>
      </w:pPr>
    </w:p>
    <w:p>
      <w:pPr>
        <w:pStyle w:val="BodyText"/>
        <w:rPr>
          <w:sz w:val="20"/>
        </w:rPr>
      </w:pPr>
    </w:p>
    <w:p>
      <w:pPr>
        <w:pStyle w:val="BodyText"/>
        <w:rPr>
          <w:sz w:val="20"/>
        </w:rPr>
      </w:pPr>
    </w:p>
    <w:p>
      <w:pPr>
        <w:pStyle w:val="BodyText"/>
        <w:spacing w:before="4"/>
        <w:rPr>
          <w:sz w:val="20"/>
        </w:rPr>
      </w:pPr>
    </w:p>
    <w:p>
      <w:pPr>
        <w:pStyle w:val="BodyText"/>
        <w:spacing w:before="71"/>
        <w:ind w:left="101" w:right="117"/>
        <w:jc w:val="both"/>
      </w:pPr>
      <w:r>
        <w:rPr/>
        <w:t>la interrupción de las vías de comunicación o por los serios daños a la infraestructura de las  unidades</w:t>
      </w:r>
      <w:r>
        <w:rPr>
          <w:spacing w:val="-5"/>
        </w:rPr>
        <w:t> </w:t>
      </w:r>
      <w:r>
        <w:rPr/>
        <w:t>médicas.</w:t>
      </w:r>
    </w:p>
    <w:p>
      <w:pPr>
        <w:pStyle w:val="BodyText"/>
        <w:ind w:left="101" w:right="114"/>
        <w:jc w:val="both"/>
      </w:pPr>
      <w:r>
        <w:rPr/>
        <w:t>En relación a la ocurrencia de inundaciones, la principal causa de muerte o enfermedad son ocasionados por las denominadas inundaciones repentinas o súbitas, dado el poco tiempo de alerta a la población por la presencia de intensas lluvias. Este tipo de fenómenos son más frecuentes ante el fenómeno del NIÑO. En efecto, a manera de ejemplo, en Ecuador, ante la presencia del fenómeno del NIÑO, en el segundo semestre de 1997 se presentaron 16,530 casos de paludismo, 37% más relación con 1996. Esta situación se agravó en 1998, en plena madurez del evento se presentaron 2,546 casos de cólera, y aumentó a 42,987 los casos de paludismo, es decir aumentó 160% en relación con lo observado el año anterior. Asimismo durante 1997 y 1998 se reportaron 6,266 casos de dengue clásico en comparación con 3,223 reportados en el periodo de 1996-1997 (OPS, 2006).</w:t>
      </w:r>
    </w:p>
    <w:p>
      <w:pPr>
        <w:pStyle w:val="BodyText"/>
        <w:ind w:left="101" w:right="115"/>
        <w:jc w:val="both"/>
      </w:pPr>
      <w:r>
        <w:rPr/>
        <w:t>Luego de un desastre por inundación, algunas patologías pueden asociarse con mayor frecuencia, y su aparición no es una característica obligatoria dado que es una respuesta correlacionada con las condiciones de hacinamiento del lugar siniestrado.</w:t>
      </w:r>
    </w:p>
    <w:p>
      <w:pPr>
        <w:pStyle w:val="BodyText"/>
        <w:ind w:left="101" w:right="115"/>
        <w:jc w:val="both"/>
      </w:pPr>
      <w:r>
        <w:rPr/>
        <w:t>De acuerdo con estudios de la OMS y la OPS (OMS-OPS, 2002), durante la primera semana después de una inundación se presentan enfermedades diarreicas agudas, infecciones respiratorias agudas, conjuntivitis y dermatitis. Entre la segunda y tercer semana persisten las enfermedades diarreicas agudas aunque más de tipo parasitario: Giardiasis y amibiasis, así como también aparecen casos de paludismo, dengue y leptospirosis. Posterior a la tercera semana se suelen dar casos de hepatitis</w:t>
      </w:r>
      <w:r>
        <w:rPr>
          <w:spacing w:val="-2"/>
        </w:rPr>
        <w:t> </w:t>
      </w:r>
      <w:r>
        <w:rPr/>
        <w:t>A.</w:t>
      </w:r>
    </w:p>
    <w:p>
      <w:pPr>
        <w:pStyle w:val="BodyText"/>
        <w:ind w:left="101" w:right="114"/>
        <w:jc w:val="both"/>
      </w:pPr>
      <w:r>
        <w:rPr/>
        <w:t>Por otro lado, con base en un enfoque de análisis espacial, la epidemiología presenta tres variables centrales o dominantes que son el tiempo, lugar e individuo. En los últimos 150 años, los profesionales de la salud pública han aprendido que con la cartografía pueden analizarse estas variables. En 1840 Robert Cowman utilizó un mapa para mostrar la relación entre fiebre y  explosión demográfica en la ciudad de Glasgow E.E.U.U, atribuyendo el incremento de la mortalidad a la excesiva migración y a un continuo declive en la proporción de la clase media (Melnick,</w:t>
      </w:r>
      <w:r>
        <w:rPr>
          <w:spacing w:val="-4"/>
        </w:rPr>
        <w:t> </w:t>
      </w:r>
      <w:r>
        <w:rPr/>
        <w:t>2000).</w:t>
      </w:r>
    </w:p>
    <w:p>
      <w:pPr>
        <w:pStyle w:val="BodyText"/>
        <w:ind w:left="101" w:right="113"/>
        <w:jc w:val="both"/>
      </w:pPr>
      <w:r>
        <w:rPr/>
        <w:t>Gran parte de los estudios epidemiológicos y reportes del estado de salud en las poblaciones son evaluados a través de medidas de frecuencia. Un estudio realizado en el año 2000 a nivel mundial mostró que las diarreas se encuentras dentro de las 10 primeras causas de discapacidad con un total de 63 346 AVAD y que el agua insegura, saneamiento e higiene como factores de riesgo aportan 54 158 de los AVAD (Annette, </w:t>
      </w:r>
      <w:r>
        <w:rPr>
          <w:i/>
        </w:rPr>
        <w:t>et al., </w:t>
      </w:r>
      <w:r>
        <w:rPr/>
        <w:t>2003).</w:t>
      </w:r>
    </w:p>
    <w:p>
      <w:pPr>
        <w:pStyle w:val="BodyText"/>
        <w:ind w:left="101" w:right="113"/>
        <w:jc w:val="both"/>
      </w:pPr>
      <w:r>
        <w:rPr/>
        <w:t>En este sentido, los años de vida ajustados por discapacidad (AVD) consideran para su cálculo el número de casos para una causa o grupo de causas, la gravedad o peso de la enfermedad en un  rango de 0 a 1, y la duración promedio de la discapacidad, la cual puede variar dependiendo de la edad en la que se presenta la enfermedad. Mientras que los años de vida perdidos por muerte prematura (AVP) consideran el número de defunciones, y la esperanza de vida en la región por grupo de edad, este último como un parámetro de referencia para obtener los años que se pierden caso por caso por no llegar a esa límite en la esperanza de vida (OPS, 2003). Al final el resultado de los AVAD es la suma de los AVD de los AVP (véase Figura</w:t>
      </w:r>
      <w:r>
        <w:rPr>
          <w:spacing w:val="-8"/>
        </w:rPr>
        <w:t> </w:t>
      </w:r>
      <w:r>
        <w:rPr/>
        <w:t>1).</w:t>
      </w:r>
    </w:p>
    <w:p>
      <w:pPr>
        <w:pStyle w:val="BodyText"/>
        <w:ind w:left="101" w:right="115"/>
        <w:jc w:val="both"/>
      </w:pPr>
      <w:r>
        <w:rPr/>
        <w:t>Para el cálculo de los años de vida perdidos por discapacidad (AVD), considerando la especialización por edad o grupos de edad, su modelo matemático es el siguiente:</w:t>
      </w:r>
    </w:p>
    <w:p>
      <w:pPr>
        <w:pStyle w:val="BodyText"/>
        <w:spacing w:before="8"/>
        <w:rPr>
          <w:sz w:val="11"/>
        </w:rPr>
      </w:pPr>
      <w:r>
        <w:rPr/>
        <w:pict>
          <v:group style="position:absolute;margin-left:114.57pt;margin-top:8.696744pt;width:375.2pt;height:39.75pt;mso-position-horizontal-relative:page;mso-position-vertical-relative:paragraph;z-index:1480;mso-wrap-distance-left:0;mso-wrap-distance-right:0" coordorigin="2291,174" coordsize="7504,795">
            <v:line style="position:absolute" from="3830,572" to="4588,572" stroked="true" strokeweight=".06pt" strokecolor="#000000"/>
            <v:rect style="position:absolute;left:2306;top:189;width:7474;height:764" filled="false" stroked="true" strokeweight="1.5pt" strokecolor="#000000"/>
            <v:shape style="position:absolute;left:2375;top:425;width:1422;height:345" type="#_x0000_t202" filled="false" stroked="false">
              <v:textbox inset="0,0,0,0">
                <w:txbxContent>
                  <w:p>
                    <w:pPr>
                      <w:spacing w:line="345" w:lineRule="exact" w:before="0"/>
                      <w:ind w:left="0" w:right="-16" w:firstLine="0"/>
                      <w:jc w:val="left"/>
                      <w:rPr>
                        <w:rFonts w:ascii="Symbol" w:hAnsi="Symbol"/>
                        <w:sz w:val="22"/>
                      </w:rPr>
                    </w:pPr>
                    <w:r>
                      <w:rPr>
                        <w:i/>
                        <w:sz w:val="22"/>
                      </w:rPr>
                      <w:t>AVD </w:t>
                    </w:r>
                    <w:r>
                      <w:rPr>
                        <w:position w:val="10"/>
                        <w:sz w:val="13"/>
                      </w:rPr>
                      <w:t>*  </w:t>
                    </w:r>
                    <w:r>
                      <w:rPr>
                        <w:rFonts w:ascii="Symbol" w:hAnsi="Symbol"/>
                        <w:sz w:val="22"/>
                      </w:rPr>
                      <w:t></w:t>
                    </w:r>
                    <w:r>
                      <w:rPr>
                        <w:sz w:val="22"/>
                      </w:rPr>
                      <w:t> </w:t>
                    </w:r>
                    <w:r>
                      <w:rPr>
                        <w:i/>
                        <w:sz w:val="22"/>
                      </w:rPr>
                      <w:t>c   w </w:t>
                    </w:r>
                    <w:r>
                      <w:rPr>
                        <w:rFonts w:ascii="Symbol" w:hAnsi="Symbol"/>
                        <w:w w:val="75"/>
                        <w:position w:val="-9"/>
                        <w:sz w:val="22"/>
                      </w:rPr>
                      <w:t>⎜</w:t>
                    </w:r>
                  </w:p>
                </w:txbxContent>
              </v:textbox>
              <w10:wrap type="none"/>
            </v:shape>
            <v:shape style="position:absolute;left:3712;top:277;width:756;height:253" type="#_x0000_t202" filled="false" stroked="false">
              <v:textbox inset="0,0,0,0">
                <w:txbxContent>
                  <w:p>
                    <w:pPr>
                      <w:spacing w:line="253" w:lineRule="exact" w:before="0"/>
                      <w:ind w:left="0" w:right="-17" w:firstLine="0"/>
                      <w:jc w:val="left"/>
                      <w:rPr>
                        <w:i/>
                        <w:sz w:val="13"/>
                      </w:rPr>
                    </w:pPr>
                    <w:r>
                      <w:rPr>
                        <w:rFonts w:ascii="Symbol" w:hAnsi="Symbol"/>
                        <w:w w:val="75"/>
                        <w:position w:val="3"/>
                        <w:sz w:val="22"/>
                      </w:rPr>
                      <w:t>⎛</w:t>
                    </w:r>
                    <w:r>
                      <w:rPr>
                        <w:w w:val="75"/>
                        <w:position w:val="3"/>
                        <w:sz w:val="22"/>
                      </w:rPr>
                      <w:t> </w:t>
                    </w:r>
                    <w:r>
                      <w:rPr>
                        <w:i/>
                        <w:sz w:val="22"/>
                      </w:rPr>
                      <w:t>KCe</w:t>
                    </w:r>
                    <w:r>
                      <w:rPr>
                        <w:i/>
                        <w:spacing w:val="-15"/>
                        <w:sz w:val="22"/>
                      </w:rPr>
                      <w:t> </w:t>
                    </w:r>
                    <w:r>
                      <w:rPr>
                        <w:i/>
                        <w:position w:val="10"/>
                        <w:sz w:val="13"/>
                      </w:rPr>
                      <w:t>ra</w:t>
                    </w:r>
                  </w:p>
                </w:txbxContent>
              </v:textbox>
              <w10:wrap type="none"/>
            </v:shape>
            <v:shape style="position:absolute;left:2827;top:579;width:841;height:129" type="#_x0000_t202" filled="false" stroked="false">
              <v:textbox inset="0,0,0,0">
                <w:txbxContent>
                  <w:p>
                    <w:pPr>
                      <w:tabs>
                        <w:tab w:pos="461" w:val="left" w:leader="none"/>
                        <w:tab w:pos="805" w:val="left" w:leader="none"/>
                      </w:tabs>
                      <w:spacing w:line="129" w:lineRule="exact" w:before="0"/>
                      <w:ind w:left="0" w:right="0" w:firstLine="0"/>
                      <w:jc w:val="left"/>
                      <w:rPr>
                        <w:i/>
                        <w:sz w:val="13"/>
                      </w:rPr>
                    </w:pPr>
                    <w:r>
                      <w:rPr>
                        <w:i/>
                        <w:sz w:val="13"/>
                      </w:rPr>
                      <w:t>ij</w:t>
                      <w:tab/>
                      <w:t>ij</w:t>
                      <w:tab/>
                    </w:r>
                    <w:r>
                      <w:rPr>
                        <w:i/>
                        <w:w w:val="95"/>
                        <w:sz w:val="13"/>
                      </w:rPr>
                      <w:t>j</w:t>
                    </w:r>
                  </w:p>
                </w:txbxContent>
              </v:textbox>
              <w10:wrap type="none"/>
            </v:shape>
            <v:shape style="position:absolute;left:3712;top:419;width:85;height:221" type="#_x0000_t202" filled="false" stroked="false">
              <v:textbox inset="0,0,0,0">
                <w:txbxContent>
                  <w:p>
                    <w:pPr>
                      <w:spacing w:line="220" w:lineRule="exact" w:before="0"/>
                      <w:ind w:left="0" w:right="0" w:firstLine="0"/>
                      <w:jc w:val="left"/>
                      <w:rPr>
                        <w:rFonts w:ascii="Symbol" w:hAnsi="Symbol"/>
                        <w:sz w:val="22"/>
                      </w:rPr>
                    </w:pPr>
                    <w:r>
                      <w:rPr>
                        <w:rFonts w:ascii="Symbol" w:hAnsi="Symbol"/>
                        <w:w w:val="38"/>
                        <w:sz w:val="22"/>
                      </w:rPr>
                      <w:t>⎜</w:t>
                    </w:r>
                  </w:p>
                </w:txbxContent>
              </v:textbox>
              <w10:wrap type="none"/>
            </v:shape>
            <v:shape style="position:absolute;left:3712;top:584;width:828;height:328" type="#_x0000_t202" filled="false" stroked="false">
              <v:textbox inset="0,0,0,0">
                <w:txbxContent>
                  <w:p>
                    <w:pPr>
                      <w:spacing w:line="327" w:lineRule="exact" w:before="0"/>
                      <w:ind w:left="0" w:right="-17" w:firstLine="0"/>
                      <w:jc w:val="left"/>
                      <w:rPr>
                        <w:sz w:val="13"/>
                      </w:rPr>
                    </w:pPr>
                    <w:r>
                      <w:rPr>
                        <w:rFonts w:ascii="Symbol" w:hAnsi="Symbol"/>
                        <w:w w:val="38"/>
                        <w:position w:val="-4"/>
                        <w:sz w:val="22"/>
                      </w:rPr>
                      <w:t>⎝</w:t>
                    </w:r>
                    <w:r>
                      <w:rPr>
                        <w:spacing w:val="-10"/>
                        <w:position w:val="-4"/>
                        <w:sz w:val="22"/>
                      </w:rPr>
                      <w:t> </w:t>
                    </w:r>
                    <w:r>
                      <w:rPr>
                        <w:rFonts w:ascii="Symbol" w:hAnsi="Symbol"/>
                        <w:spacing w:val="-4"/>
                        <w:w w:val="78"/>
                        <w:sz w:val="29"/>
                      </w:rPr>
                      <w:t></w:t>
                    </w:r>
                    <w:r>
                      <w:rPr>
                        <w:i/>
                        <w:w w:val="100"/>
                        <w:sz w:val="22"/>
                      </w:rPr>
                      <w:t>r</w:t>
                    </w:r>
                    <w:r>
                      <w:rPr>
                        <w:i/>
                        <w:sz w:val="22"/>
                      </w:rPr>
                      <w:t> </w:t>
                    </w:r>
                    <w:r>
                      <w:rPr>
                        <w:rFonts w:ascii="Symbol" w:hAnsi="Symbol"/>
                        <w:w w:val="100"/>
                        <w:sz w:val="22"/>
                      </w:rPr>
                      <w:t></w:t>
                    </w:r>
                    <w:r>
                      <w:rPr>
                        <w:spacing w:val="-4"/>
                        <w:sz w:val="22"/>
                      </w:rPr>
                      <w:t> </w:t>
                    </w:r>
                    <w:r>
                      <w:rPr>
                        <w:rFonts w:ascii="Symbol" w:hAnsi="Symbol"/>
                        <w:i/>
                        <w:w w:val="95"/>
                        <w:sz w:val="23"/>
                      </w:rPr>
                      <w:t></w:t>
                    </w:r>
                    <w:r>
                      <w:rPr>
                        <w:spacing w:val="-13"/>
                        <w:sz w:val="23"/>
                      </w:rPr>
                      <w:t> </w:t>
                    </w:r>
                    <w:r>
                      <w:rPr>
                        <w:rFonts w:ascii="Symbol" w:hAnsi="Symbol"/>
                        <w:spacing w:val="5"/>
                        <w:w w:val="78"/>
                        <w:sz w:val="29"/>
                      </w:rPr>
                      <w:t></w:t>
                    </w:r>
                    <w:r>
                      <w:rPr>
                        <w:w w:val="98"/>
                        <w:position w:val="12"/>
                        <w:sz w:val="13"/>
                      </w:rPr>
                      <w:t>2</w:t>
                    </w:r>
                  </w:p>
                </w:txbxContent>
              </v:textbox>
              <w10:wrap type="none"/>
            </v:shape>
            <v:shape style="position:absolute;left:4632;top:335;width:76;height:354" type="#_x0000_t202" filled="false" stroked="false">
              <v:textbox inset="0,0,0,0">
                <w:txbxContent>
                  <w:p>
                    <w:pPr>
                      <w:spacing w:line="354" w:lineRule="exact" w:before="0"/>
                      <w:ind w:left="0" w:right="0" w:firstLine="0"/>
                      <w:jc w:val="left"/>
                      <w:rPr>
                        <w:rFonts w:ascii="Symbol" w:hAnsi="Symbol"/>
                        <w:sz w:val="35"/>
                      </w:rPr>
                    </w:pPr>
                    <w:r>
                      <w:rPr>
                        <w:rFonts w:ascii="Symbol" w:hAnsi="Symbol"/>
                        <w:w w:val="64"/>
                        <w:sz w:val="35"/>
                      </w:rPr>
                      <w:t></w:t>
                    </w:r>
                  </w:p>
                </w:txbxContent>
              </v:textbox>
              <w10:wrap type="none"/>
            </v:shape>
            <v:shape style="position:absolute;left:4691;top:450;width:98;height:221" type="#_x0000_t202" filled="false" stroked="false">
              <v:textbox inset="0,0,0,0">
                <w:txbxContent>
                  <w:p>
                    <w:pPr>
                      <w:spacing w:line="220" w:lineRule="exact" w:before="0"/>
                      <w:ind w:left="0" w:right="0" w:firstLine="0"/>
                      <w:jc w:val="left"/>
                      <w:rPr>
                        <w:i/>
                        <w:sz w:val="22"/>
                      </w:rPr>
                    </w:pPr>
                    <w:r>
                      <w:rPr>
                        <w:i/>
                        <w:w w:val="100"/>
                        <w:sz w:val="22"/>
                      </w:rPr>
                      <w:t>e</w:t>
                    </w:r>
                  </w:p>
                </w:txbxContent>
              </v:textbox>
              <w10:wrap type="none"/>
            </v:shape>
            <v:shape style="position:absolute;left:4816;top:389;width:790;height:169" type="#_x0000_t202" filled="false" stroked="false">
              <v:textbox inset="0,0,0,0">
                <w:txbxContent>
                  <w:p>
                    <w:pPr>
                      <w:spacing w:line="169" w:lineRule="exact" w:before="0"/>
                      <w:ind w:left="0" w:right="-13" w:firstLine="0"/>
                      <w:jc w:val="left"/>
                      <w:rPr>
                        <w:rFonts w:ascii="Symbol" w:hAnsi="Symbol"/>
                        <w:sz w:val="17"/>
                      </w:rPr>
                    </w:pPr>
                    <w:r>
                      <w:rPr>
                        <w:rFonts w:ascii="Symbol" w:hAnsi="Symbol"/>
                        <w:spacing w:val="5"/>
                        <w:sz w:val="13"/>
                      </w:rPr>
                      <w:t></w:t>
                    </w:r>
                    <w:r>
                      <w:rPr>
                        <w:rFonts w:ascii="Symbol" w:hAnsi="Symbol"/>
                        <w:spacing w:val="5"/>
                        <w:sz w:val="17"/>
                      </w:rPr>
                      <w:t></w:t>
                    </w:r>
                    <w:r>
                      <w:rPr>
                        <w:i/>
                        <w:spacing w:val="5"/>
                        <w:sz w:val="13"/>
                      </w:rPr>
                      <w:t>r</w:t>
                    </w:r>
                    <w:r>
                      <w:rPr>
                        <w:i/>
                        <w:spacing w:val="-22"/>
                        <w:sz w:val="13"/>
                      </w:rPr>
                      <w:t> </w:t>
                    </w:r>
                    <w:r>
                      <w:rPr>
                        <w:rFonts w:ascii="Symbol" w:hAnsi="Symbol"/>
                        <w:sz w:val="13"/>
                      </w:rPr>
                      <w:t></w:t>
                    </w:r>
                    <w:r>
                      <w:rPr>
                        <w:spacing w:val="-23"/>
                        <w:sz w:val="13"/>
                      </w:rPr>
                      <w:t> </w:t>
                    </w:r>
                    <w:r>
                      <w:rPr>
                        <w:rFonts w:ascii="Symbol" w:hAnsi="Symbol"/>
                        <w:i/>
                        <w:sz w:val="13"/>
                      </w:rPr>
                      <w:t></w:t>
                    </w:r>
                    <w:r>
                      <w:rPr>
                        <w:i/>
                        <w:spacing w:val="-15"/>
                        <w:sz w:val="13"/>
                      </w:rPr>
                      <w:t> </w:t>
                    </w:r>
                    <w:r>
                      <w:rPr>
                        <w:rFonts w:ascii="Symbol" w:hAnsi="Symbol"/>
                        <w:spacing w:val="2"/>
                        <w:sz w:val="17"/>
                      </w:rPr>
                      <w:t></w:t>
                    </w:r>
                    <w:r>
                      <w:rPr>
                        <w:i/>
                        <w:spacing w:val="2"/>
                        <w:sz w:val="13"/>
                      </w:rPr>
                      <w:t>L</w:t>
                    </w:r>
                    <w:r>
                      <w:rPr>
                        <w:i/>
                        <w:spacing w:val="-25"/>
                        <w:sz w:val="13"/>
                      </w:rPr>
                      <w:t> </w:t>
                    </w:r>
                    <w:r>
                      <w:rPr>
                        <w:rFonts w:ascii="Symbol" w:hAnsi="Symbol"/>
                        <w:sz w:val="13"/>
                      </w:rPr>
                      <w:t></w:t>
                    </w:r>
                    <w:r>
                      <w:rPr>
                        <w:spacing w:val="-25"/>
                        <w:sz w:val="13"/>
                      </w:rPr>
                      <w:t> </w:t>
                    </w:r>
                    <w:r>
                      <w:rPr>
                        <w:i/>
                        <w:sz w:val="13"/>
                      </w:rPr>
                      <w:t>a</w:t>
                    </w:r>
                    <w:r>
                      <w:rPr>
                        <w:i/>
                        <w:spacing w:val="-23"/>
                        <w:sz w:val="13"/>
                      </w:rPr>
                      <w:t> </w:t>
                    </w:r>
                    <w:r>
                      <w:rPr>
                        <w:rFonts w:ascii="Symbol" w:hAnsi="Symbol"/>
                        <w:sz w:val="17"/>
                      </w:rPr>
                      <w:t></w:t>
                    </w:r>
                  </w:p>
                </w:txbxContent>
              </v:textbox>
              <w10:wrap type="none"/>
            </v:shape>
            <v:shape style="position:absolute;left:5628;top:378;width:1732;height:303" type="#_x0000_t202" filled="false" stroked="false">
              <v:textbox inset="0,0,0,0">
                <w:txbxContent>
                  <w:p>
                    <w:pPr>
                      <w:spacing w:line="302" w:lineRule="exact" w:before="0"/>
                      <w:ind w:left="0" w:right="-10" w:firstLine="0"/>
                      <w:jc w:val="left"/>
                      <w:rPr>
                        <w:sz w:val="22"/>
                      </w:rPr>
                    </w:pPr>
                    <w:r>
                      <w:rPr>
                        <w:rFonts w:ascii="Symbol" w:hAnsi="Symbol"/>
                        <w:spacing w:val="-6"/>
                        <w:sz w:val="30"/>
                      </w:rPr>
                      <w:t></w:t>
                    </w:r>
                    <w:r>
                      <w:rPr>
                        <w:rFonts w:ascii="Symbol" w:hAnsi="Symbol"/>
                        <w:spacing w:val="-6"/>
                        <w:sz w:val="22"/>
                      </w:rPr>
                      <w:t></w:t>
                    </w:r>
                    <w:r>
                      <w:rPr>
                        <w:spacing w:val="-31"/>
                        <w:sz w:val="22"/>
                      </w:rPr>
                      <w:t> </w:t>
                    </w:r>
                    <w:r>
                      <w:rPr>
                        <w:rFonts w:ascii="Symbol" w:hAnsi="Symbol"/>
                        <w:sz w:val="29"/>
                      </w:rPr>
                      <w:t></w:t>
                    </w:r>
                    <w:r>
                      <w:rPr>
                        <w:i/>
                        <w:sz w:val="22"/>
                      </w:rPr>
                      <w:t>r</w:t>
                    </w:r>
                    <w:r>
                      <w:rPr>
                        <w:i/>
                        <w:spacing w:val="-22"/>
                        <w:sz w:val="22"/>
                      </w:rPr>
                      <w:t> </w:t>
                    </w:r>
                    <w:r>
                      <w:rPr>
                        <w:rFonts w:ascii="Symbol" w:hAnsi="Symbol"/>
                        <w:sz w:val="22"/>
                      </w:rPr>
                      <w:t></w:t>
                    </w:r>
                    <w:r>
                      <w:rPr>
                        <w:spacing w:val="-24"/>
                        <w:sz w:val="22"/>
                      </w:rPr>
                      <w:t> </w:t>
                    </w:r>
                    <w:r>
                      <w:rPr>
                        <w:rFonts w:ascii="Symbol" w:hAnsi="Symbol"/>
                        <w:i/>
                        <w:sz w:val="23"/>
                      </w:rPr>
                      <w:t></w:t>
                    </w:r>
                    <w:r>
                      <w:rPr>
                        <w:i/>
                        <w:spacing w:val="-29"/>
                        <w:sz w:val="23"/>
                      </w:rPr>
                      <w:t> </w:t>
                    </w:r>
                    <w:r>
                      <w:rPr>
                        <w:rFonts w:ascii="Symbol" w:hAnsi="Symbol"/>
                        <w:spacing w:val="-5"/>
                        <w:sz w:val="29"/>
                      </w:rPr>
                      <w:t></w:t>
                    </w:r>
                    <w:r>
                      <w:rPr>
                        <w:i/>
                        <w:spacing w:val="-5"/>
                        <w:sz w:val="22"/>
                      </w:rPr>
                      <w:t>L</w:t>
                    </w:r>
                    <w:r>
                      <w:rPr>
                        <w:i/>
                        <w:spacing w:val="-26"/>
                        <w:sz w:val="22"/>
                      </w:rPr>
                      <w:t> </w:t>
                    </w:r>
                    <w:r>
                      <w:rPr>
                        <w:rFonts w:ascii="Symbol" w:hAnsi="Symbol"/>
                        <w:sz w:val="22"/>
                      </w:rPr>
                      <w:t></w:t>
                    </w:r>
                    <w:r>
                      <w:rPr>
                        <w:spacing w:val="-25"/>
                        <w:sz w:val="22"/>
                      </w:rPr>
                      <w:t> </w:t>
                    </w:r>
                    <w:r>
                      <w:rPr>
                        <w:i/>
                        <w:sz w:val="22"/>
                      </w:rPr>
                      <w:t>a</w:t>
                    </w:r>
                    <w:r>
                      <w:rPr>
                        <w:i/>
                        <w:spacing w:val="-44"/>
                        <w:sz w:val="22"/>
                      </w:rPr>
                      <w:t> </w:t>
                    </w:r>
                    <w:r>
                      <w:rPr>
                        <w:rFonts w:ascii="Symbol" w:hAnsi="Symbol"/>
                        <w:spacing w:val="13"/>
                        <w:sz w:val="29"/>
                      </w:rPr>
                      <w:t></w:t>
                    </w:r>
                    <w:r>
                      <w:rPr>
                        <w:rFonts w:ascii="Symbol" w:hAnsi="Symbol"/>
                        <w:spacing w:val="13"/>
                        <w:sz w:val="22"/>
                      </w:rPr>
                      <w:t></w:t>
                    </w:r>
                    <w:r>
                      <w:rPr>
                        <w:spacing w:val="13"/>
                        <w:sz w:val="22"/>
                      </w:rPr>
                      <w:t>1</w:t>
                    </w:r>
                  </w:p>
                </w:txbxContent>
              </v:textbox>
              <w10:wrap type="none"/>
            </v:shape>
            <v:shape style="position:absolute;left:7349;top:378;width:349;height:303" type="#_x0000_t202" filled="false" stroked="false">
              <v:textbox inset="0,0,0,0">
                <w:txbxContent>
                  <w:p>
                    <w:pPr>
                      <w:spacing w:line="302" w:lineRule="exact" w:before="0"/>
                      <w:ind w:left="0" w:right="-20" w:firstLine="0"/>
                      <w:jc w:val="left"/>
                      <w:rPr>
                        <w:i/>
                        <w:sz w:val="22"/>
                      </w:rPr>
                    </w:pPr>
                    <w:r>
                      <w:rPr>
                        <w:rFonts w:ascii="Symbol" w:hAnsi="Symbol"/>
                        <w:spacing w:val="6"/>
                        <w:sz w:val="30"/>
                      </w:rPr>
                      <w:t></w:t>
                    </w:r>
                    <w:r>
                      <w:rPr>
                        <w:rFonts w:ascii="Symbol" w:hAnsi="Symbol"/>
                        <w:spacing w:val="6"/>
                        <w:sz w:val="22"/>
                      </w:rPr>
                      <w:t></w:t>
                    </w:r>
                    <w:r>
                      <w:rPr>
                        <w:spacing w:val="-37"/>
                        <w:sz w:val="22"/>
                      </w:rPr>
                      <w:t> </w:t>
                    </w:r>
                    <w:r>
                      <w:rPr>
                        <w:i/>
                        <w:sz w:val="22"/>
                      </w:rPr>
                      <w:t>e</w:t>
                    </w:r>
                  </w:p>
                </w:txbxContent>
              </v:textbox>
              <w10:wrap type="none"/>
            </v:shape>
            <v:shape style="position:absolute;left:7726;top:389;width:503;height:169" type="#_x0000_t202" filled="false" stroked="false">
              <v:textbox inset="0,0,0,0">
                <w:txbxContent>
                  <w:p>
                    <w:pPr>
                      <w:spacing w:line="169" w:lineRule="exact" w:before="0"/>
                      <w:ind w:left="0" w:right="-17" w:firstLine="0"/>
                      <w:jc w:val="left"/>
                      <w:rPr>
                        <w:i/>
                        <w:sz w:val="13"/>
                      </w:rPr>
                    </w:pPr>
                    <w:r>
                      <w:rPr>
                        <w:rFonts w:ascii="Symbol" w:hAnsi="Symbol"/>
                        <w:spacing w:val="5"/>
                        <w:sz w:val="13"/>
                      </w:rPr>
                      <w:t></w:t>
                    </w:r>
                    <w:r>
                      <w:rPr>
                        <w:rFonts w:ascii="Symbol" w:hAnsi="Symbol"/>
                        <w:spacing w:val="5"/>
                        <w:sz w:val="17"/>
                      </w:rPr>
                      <w:t></w:t>
                    </w:r>
                    <w:r>
                      <w:rPr>
                        <w:i/>
                        <w:spacing w:val="5"/>
                        <w:sz w:val="13"/>
                      </w:rPr>
                      <w:t>r</w:t>
                    </w:r>
                    <w:r>
                      <w:rPr>
                        <w:i/>
                        <w:spacing w:val="-21"/>
                        <w:sz w:val="13"/>
                      </w:rPr>
                      <w:t> </w:t>
                    </w:r>
                    <w:r>
                      <w:rPr>
                        <w:rFonts w:ascii="Symbol" w:hAnsi="Symbol"/>
                        <w:sz w:val="13"/>
                      </w:rPr>
                      <w:t></w:t>
                    </w:r>
                    <w:r>
                      <w:rPr>
                        <w:spacing w:val="-22"/>
                        <w:sz w:val="13"/>
                      </w:rPr>
                      <w:t> </w:t>
                    </w:r>
                    <w:r>
                      <w:rPr>
                        <w:rFonts w:ascii="Symbol" w:hAnsi="Symbol"/>
                        <w:i/>
                        <w:sz w:val="13"/>
                      </w:rPr>
                      <w:t></w:t>
                    </w:r>
                    <w:r>
                      <w:rPr>
                        <w:i/>
                        <w:spacing w:val="-13"/>
                        <w:sz w:val="13"/>
                      </w:rPr>
                      <w:t> </w:t>
                    </w:r>
                    <w:r>
                      <w:rPr>
                        <w:rFonts w:ascii="Symbol" w:hAnsi="Symbol"/>
                        <w:sz w:val="17"/>
                      </w:rPr>
                      <w:t></w:t>
                    </w:r>
                    <w:r>
                      <w:rPr>
                        <w:i/>
                        <w:sz w:val="13"/>
                      </w:rPr>
                      <w:t>a</w:t>
                    </w:r>
                  </w:p>
                </w:txbxContent>
              </v:textbox>
              <w10:wrap type="none"/>
            </v:shape>
            <v:shape style="position:absolute;left:8267;top:378;width:302;height:303" type="#_x0000_t202" filled="false" stroked="false">
              <v:textbox inset="0,0,0,0">
                <w:txbxContent>
                  <w:p>
                    <w:pPr>
                      <w:spacing w:line="302" w:lineRule="exact" w:before="0"/>
                      <w:ind w:left="0" w:right="-18" w:firstLine="0"/>
                      <w:jc w:val="left"/>
                      <w:rPr>
                        <w:rFonts w:ascii="Symbol" w:hAnsi="Symbol"/>
                        <w:sz w:val="29"/>
                      </w:rPr>
                    </w:pPr>
                    <w:r>
                      <w:rPr>
                        <w:rFonts w:ascii="Symbol" w:hAnsi="Symbol"/>
                        <w:spacing w:val="-7"/>
                        <w:w w:val="90"/>
                        <w:sz w:val="30"/>
                      </w:rPr>
                      <w:t></w:t>
                    </w:r>
                    <w:r>
                      <w:rPr>
                        <w:rFonts w:ascii="Symbol" w:hAnsi="Symbol"/>
                        <w:spacing w:val="-7"/>
                        <w:w w:val="90"/>
                        <w:sz w:val="22"/>
                      </w:rPr>
                      <w:t></w:t>
                    </w:r>
                    <w:r>
                      <w:rPr>
                        <w:spacing w:val="-21"/>
                        <w:w w:val="90"/>
                        <w:sz w:val="22"/>
                      </w:rPr>
                      <w:t> </w:t>
                    </w:r>
                    <w:r>
                      <w:rPr>
                        <w:rFonts w:ascii="Symbol" w:hAnsi="Symbol"/>
                        <w:w w:val="90"/>
                        <w:sz w:val="29"/>
                      </w:rPr>
                      <w:t></w:t>
                    </w:r>
                  </w:p>
                </w:txbxContent>
              </v:textbox>
              <w10:wrap type="none"/>
            </v:shape>
            <v:shape style="position:absolute;left:8564;top:378;width:1018;height:303" type="#_x0000_t202" filled="false" stroked="false">
              <v:textbox inset="0,0,0,0">
                <w:txbxContent>
                  <w:p>
                    <w:pPr>
                      <w:spacing w:line="302" w:lineRule="exact" w:before="0"/>
                      <w:ind w:left="0" w:right="-16" w:firstLine="0"/>
                      <w:jc w:val="left"/>
                      <w:rPr>
                        <w:rFonts w:ascii="Symbol" w:hAnsi="Symbol"/>
                        <w:sz w:val="30"/>
                      </w:rPr>
                    </w:pPr>
                    <w:r>
                      <w:rPr>
                        <w:i/>
                        <w:sz w:val="22"/>
                      </w:rPr>
                      <w:t>r</w:t>
                    </w:r>
                    <w:r>
                      <w:rPr>
                        <w:i/>
                        <w:spacing w:val="-14"/>
                        <w:sz w:val="22"/>
                      </w:rPr>
                      <w:t> </w:t>
                    </w:r>
                    <w:r>
                      <w:rPr>
                        <w:rFonts w:ascii="Symbol" w:hAnsi="Symbol"/>
                        <w:sz w:val="22"/>
                      </w:rPr>
                      <w:t></w:t>
                    </w:r>
                    <w:r>
                      <w:rPr>
                        <w:spacing w:val="-16"/>
                        <w:sz w:val="22"/>
                      </w:rPr>
                      <w:t> </w:t>
                    </w:r>
                    <w:r>
                      <w:rPr>
                        <w:rFonts w:ascii="Symbol" w:hAnsi="Symbol"/>
                        <w:i/>
                        <w:sz w:val="23"/>
                      </w:rPr>
                      <w:t></w:t>
                    </w:r>
                    <w:r>
                      <w:rPr>
                        <w:i/>
                        <w:spacing w:val="-24"/>
                        <w:sz w:val="23"/>
                      </w:rPr>
                      <w:t> </w:t>
                    </w:r>
                    <w:r>
                      <w:rPr>
                        <w:rFonts w:ascii="Symbol" w:hAnsi="Symbol"/>
                        <w:spacing w:val="-6"/>
                        <w:sz w:val="29"/>
                      </w:rPr>
                      <w:t></w:t>
                    </w:r>
                    <w:r>
                      <w:rPr>
                        <w:i/>
                        <w:spacing w:val="-6"/>
                        <w:sz w:val="22"/>
                      </w:rPr>
                      <w:t>a</w:t>
                    </w:r>
                    <w:r>
                      <w:rPr>
                        <w:i/>
                        <w:spacing w:val="-19"/>
                        <w:sz w:val="22"/>
                      </w:rPr>
                      <w:t> </w:t>
                    </w:r>
                    <w:r>
                      <w:rPr>
                        <w:rFonts w:ascii="Symbol" w:hAnsi="Symbol"/>
                        <w:spacing w:val="2"/>
                        <w:sz w:val="22"/>
                      </w:rPr>
                      <w:t></w:t>
                    </w:r>
                    <w:r>
                      <w:rPr>
                        <w:spacing w:val="2"/>
                        <w:sz w:val="22"/>
                      </w:rPr>
                      <w:t>1</w:t>
                    </w:r>
                    <w:r>
                      <w:rPr>
                        <w:rFonts w:ascii="Symbol" w:hAnsi="Symbol"/>
                        <w:spacing w:val="2"/>
                        <w:sz w:val="30"/>
                      </w:rPr>
                      <w:t></w:t>
                    </w:r>
                  </w:p>
                </w:txbxContent>
              </v:textbox>
              <w10:wrap type="none"/>
            </v:shape>
            <v:shape style="position:absolute;left:9566;top:335;width:76;height:354" type="#_x0000_t202" filled="false" stroked="false">
              <v:textbox inset="0,0,0,0">
                <w:txbxContent>
                  <w:p>
                    <w:pPr>
                      <w:spacing w:line="354" w:lineRule="exact" w:before="0"/>
                      <w:ind w:left="0" w:right="0" w:firstLine="0"/>
                      <w:jc w:val="left"/>
                      <w:rPr>
                        <w:rFonts w:ascii="Symbol" w:hAnsi="Symbol"/>
                        <w:sz w:val="35"/>
                      </w:rPr>
                    </w:pPr>
                    <w:r>
                      <w:rPr>
                        <w:rFonts w:ascii="Symbol" w:hAnsi="Symbol"/>
                        <w:w w:val="64"/>
                        <w:sz w:val="35"/>
                      </w:rPr>
                      <w:t></w:t>
                    </w:r>
                  </w:p>
                </w:txbxContent>
              </v:textbox>
              <w10:wrap type="none"/>
            </v:shape>
            <v:shape style="position:absolute;left:9635;top:277;width:85;height:221" type="#_x0000_t202" filled="false" stroked="false">
              <v:textbox inset="0,0,0,0">
                <w:txbxContent>
                  <w:p>
                    <w:pPr>
                      <w:spacing w:line="220" w:lineRule="exact" w:before="0"/>
                      <w:ind w:left="0" w:right="0" w:firstLine="0"/>
                      <w:jc w:val="left"/>
                      <w:rPr>
                        <w:rFonts w:ascii="Symbol" w:hAnsi="Symbol"/>
                        <w:sz w:val="22"/>
                      </w:rPr>
                    </w:pPr>
                    <w:r>
                      <w:rPr>
                        <w:rFonts w:ascii="Symbol" w:hAnsi="Symbol"/>
                        <w:w w:val="38"/>
                        <w:sz w:val="22"/>
                      </w:rPr>
                      <w:t>⎞</w:t>
                    </w:r>
                  </w:p>
                </w:txbxContent>
              </v:textbox>
              <w10:wrap type="none"/>
            </v:shape>
            <v:shape style="position:absolute;left:9635;top:419;width:85;height:221" type="#_x0000_t202" filled="false" stroked="false">
              <v:textbox inset="0,0,0,0">
                <w:txbxContent>
                  <w:p>
                    <w:pPr>
                      <w:spacing w:line="220" w:lineRule="exact" w:before="0"/>
                      <w:ind w:left="0" w:right="0" w:firstLine="0"/>
                      <w:jc w:val="left"/>
                      <w:rPr>
                        <w:rFonts w:ascii="Symbol" w:hAnsi="Symbol"/>
                        <w:sz w:val="22"/>
                      </w:rPr>
                    </w:pPr>
                    <w:r>
                      <w:rPr>
                        <w:rFonts w:ascii="Symbol" w:hAnsi="Symbol"/>
                        <w:w w:val="38"/>
                        <w:sz w:val="22"/>
                      </w:rPr>
                      <w:t>⎟</w:t>
                    </w:r>
                  </w:p>
                </w:txbxContent>
              </v:textbox>
              <w10:wrap type="none"/>
            </v:shape>
            <v:shape style="position:absolute;left:9635;top:549;width:85;height:221" type="#_x0000_t202" filled="false" stroked="false">
              <v:textbox inset="0,0,0,0">
                <w:txbxContent>
                  <w:p>
                    <w:pPr>
                      <w:spacing w:line="220" w:lineRule="exact" w:before="0"/>
                      <w:ind w:left="0" w:right="0" w:firstLine="0"/>
                      <w:jc w:val="left"/>
                      <w:rPr>
                        <w:rFonts w:ascii="Symbol" w:hAnsi="Symbol"/>
                        <w:sz w:val="22"/>
                      </w:rPr>
                    </w:pPr>
                    <w:r>
                      <w:rPr>
                        <w:rFonts w:ascii="Symbol" w:hAnsi="Symbol"/>
                        <w:w w:val="38"/>
                        <w:sz w:val="22"/>
                      </w:rPr>
                      <w:t>⎟</w:t>
                    </w:r>
                  </w:p>
                </w:txbxContent>
              </v:textbox>
              <w10:wrap type="none"/>
            </v:shape>
            <v:shape style="position:absolute;left:9635;top:691;width:85;height:221" type="#_x0000_t202" filled="false" stroked="false">
              <v:textbox inset="0,0,0,0">
                <w:txbxContent>
                  <w:p>
                    <w:pPr>
                      <w:spacing w:line="220" w:lineRule="exact" w:before="0"/>
                      <w:ind w:left="0" w:right="0" w:firstLine="0"/>
                      <w:jc w:val="left"/>
                      <w:rPr>
                        <w:rFonts w:ascii="Symbol" w:hAnsi="Symbol"/>
                        <w:sz w:val="22"/>
                      </w:rPr>
                    </w:pPr>
                    <w:r>
                      <w:rPr>
                        <w:rFonts w:ascii="Symbol" w:hAnsi="Symbol"/>
                        <w:w w:val="38"/>
                        <w:sz w:val="22"/>
                      </w:rPr>
                      <w:t>⎠</w:t>
                    </w:r>
                  </w:p>
                </w:txbxContent>
              </v:textbox>
              <w10:wrap type="none"/>
            </v:shape>
            <w10:wrap type="topAndBottom"/>
          </v:group>
        </w:pict>
      </w:r>
    </w:p>
    <w:p>
      <w:pPr>
        <w:spacing w:after="0"/>
        <w:rPr>
          <w:sz w:val="11"/>
        </w:rPr>
        <w:sectPr>
          <w:footerReference w:type="default" r:id="rId14"/>
          <w:pgSz w:w="12240" w:h="15840"/>
          <w:pgMar w:footer="1185" w:header="0" w:top="1500" w:bottom="1380" w:left="1600" w:right="1580"/>
          <w:pgNumType w:start="3"/>
        </w:sectPr>
      </w:pPr>
    </w:p>
    <w:p>
      <w:pPr>
        <w:pStyle w:val="BodyText"/>
        <w:rPr>
          <w:sz w:val="20"/>
        </w:rPr>
      </w:pPr>
    </w:p>
    <w:p>
      <w:pPr>
        <w:pStyle w:val="BodyText"/>
        <w:rPr>
          <w:sz w:val="20"/>
        </w:rPr>
      </w:pPr>
    </w:p>
    <w:p>
      <w:pPr>
        <w:pStyle w:val="BodyText"/>
        <w:spacing w:before="3"/>
        <w:rPr>
          <w:sz w:val="20"/>
        </w:rPr>
      </w:pPr>
    </w:p>
    <w:p>
      <w:pPr>
        <w:spacing w:before="72"/>
        <w:ind w:left="101" w:right="156" w:firstLine="0"/>
        <w:jc w:val="both"/>
        <w:rPr>
          <w:i/>
          <w:sz w:val="22"/>
        </w:rPr>
      </w:pPr>
      <w:r>
        <w:rPr>
          <w:sz w:val="22"/>
        </w:rPr>
        <w:t>Siendo: </w:t>
      </w:r>
      <w:r>
        <w:rPr>
          <w:i/>
          <w:sz w:val="22"/>
        </w:rPr>
        <w:t>c = Número de personas que contraen la enfermedad en un período determinado, w = peso </w:t>
      </w:r>
      <w:r>
        <w:rPr>
          <w:i/>
          <w:sz w:val="22"/>
        </w:rPr>
        <w:t>de la discapacidad, L = Duración de la discapacidad, i= entidades espaciales, j= edad o grupos de edad, constantes: K = 1, C = 0.1658, B = 0.04.</w:t>
      </w:r>
    </w:p>
    <w:p>
      <w:pPr>
        <w:pStyle w:val="BodyText"/>
        <w:ind w:left="101" w:right="115"/>
        <w:jc w:val="both"/>
      </w:pPr>
      <w:r>
        <w:rPr/>
        <w:t>Para el cálculo de los años de vida perdidos por muerte prematura </w:t>
      </w:r>
      <w:r>
        <w:rPr>
          <w:i/>
        </w:rPr>
        <w:t>(</w:t>
      </w:r>
      <w:r>
        <w:rPr/>
        <w:t>AVP), considerando la espacialización por edad o grupos de edad, su modelo matemático es el siguiente:</w:t>
      </w:r>
    </w:p>
    <w:p>
      <w:pPr>
        <w:pStyle w:val="BodyText"/>
        <w:spacing w:before="2"/>
        <w:rPr>
          <w:sz w:val="12"/>
        </w:rPr>
      </w:pPr>
      <w:r>
        <w:rPr/>
        <w:pict>
          <v:group style="position:absolute;margin-left:108.629997pt;margin-top:8.989145pt;width:408.15pt;height:38.85pt;mso-position-horizontal-relative:page;mso-position-vertical-relative:paragraph;z-index:2128;mso-wrap-distance-left:0;mso-wrap-distance-right:0" coordorigin="2173,180" coordsize="8163,777">
            <v:line style="position:absolute" from="3334,569" to="4007,569" stroked="true" strokeweight=".06pt" strokecolor="#000000"/>
            <v:line style="position:absolute" from="9008,569" to="9461,569" stroked="true" strokeweight=".06pt" strokecolor="#000000"/>
            <v:rect style="position:absolute;left:2188;top:195;width:8132;height:746" filled="false" stroked="true" strokeweight="1.5pt" strokecolor="#000000"/>
            <v:shape style="position:absolute;left:2251;top:440;width:866;height:230" type="#_x0000_t202" filled="false" stroked="false">
              <v:textbox inset="0,0,0,0">
                <w:txbxContent>
                  <w:p>
                    <w:pPr>
                      <w:spacing w:line="230" w:lineRule="exact" w:before="0"/>
                      <w:ind w:left="0" w:right="-18" w:firstLine="0"/>
                      <w:jc w:val="left"/>
                      <w:rPr>
                        <w:i/>
                        <w:sz w:val="22"/>
                      </w:rPr>
                    </w:pPr>
                    <w:r>
                      <w:rPr>
                        <w:i/>
                        <w:w w:val="105"/>
                        <w:sz w:val="22"/>
                      </w:rPr>
                      <w:t>AVP   </w:t>
                    </w:r>
                    <w:r>
                      <w:rPr>
                        <w:rFonts w:ascii="Symbol" w:hAnsi="Symbol"/>
                        <w:w w:val="105"/>
                        <w:sz w:val="22"/>
                      </w:rPr>
                      <w:t></w:t>
                    </w:r>
                    <w:r>
                      <w:rPr>
                        <w:spacing w:val="-33"/>
                        <w:w w:val="105"/>
                        <w:sz w:val="22"/>
                      </w:rPr>
                      <w:t> </w:t>
                    </w:r>
                    <w:r>
                      <w:rPr>
                        <w:i/>
                        <w:w w:val="105"/>
                        <w:sz w:val="22"/>
                      </w:rPr>
                      <w:t>d</w:t>
                    </w:r>
                  </w:p>
                </w:txbxContent>
              </v:textbox>
              <w10:wrap type="none"/>
            </v:shape>
            <v:shape style="position:absolute;left:2639;top:417;width:124;height:132" type="#_x0000_t202" filled="false" stroked="false">
              <v:textbox inset="0,0,0,0">
                <w:txbxContent>
                  <w:p>
                    <w:pPr>
                      <w:spacing w:line="132" w:lineRule="exact" w:before="0"/>
                      <w:ind w:left="0" w:right="-16" w:firstLine="0"/>
                      <w:jc w:val="left"/>
                      <w:rPr>
                        <w:sz w:val="13"/>
                      </w:rPr>
                    </w:pPr>
                    <w:r>
                      <w:rPr>
                        <w:spacing w:val="-5"/>
                        <w:sz w:val="13"/>
                      </w:rPr>
                      <w:t>**</w:t>
                    </w:r>
                  </w:p>
                </w:txbxContent>
              </v:textbox>
              <w10:wrap type="none"/>
            </v:shape>
            <v:shape style="position:absolute;left:3226;top:272;width:693;height:253" type="#_x0000_t202" filled="false" stroked="false">
              <v:textbox inset="0,0,0,0">
                <w:txbxContent>
                  <w:p>
                    <w:pPr>
                      <w:spacing w:line="252" w:lineRule="exact" w:before="0"/>
                      <w:ind w:left="0" w:right="-4" w:firstLine="0"/>
                      <w:jc w:val="left"/>
                      <w:rPr>
                        <w:i/>
                        <w:sz w:val="13"/>
                      </w:rPr>
                    </w:pPr>
                    <w:r>
                      <w:rPr>
                        <w:rFonts w:ascii="Symbol" w:hAnsi="Symbol"/>
                        <w:w w:val="80"/>
                        <w:position w:val="2"/>
                        <w:sz w:val="22"/>
                      </w:rPr>
                      <w:t>⎛</w:t>
                    </w:r>
                    <w:r>
                      <w:rPr>
                        <w:w w:val="80"/>
                        <w:position w:val="2"/>
                        <w:sz w:val="22"/>
                      </w:rPr>
                      <w:t> </w:t>
                    </w:r>
                    <w:r>
                      <w:rPr>
                        <w:i/>
                        <w:spacing w:val="-5"/>
                        <w:w w:val="95"/>
                        <w:sz w:val="22"/>
                      </w:rPr>
                      <w:t>KCe</w:t>
                    </w:r>
                    <w:r>
                      <w:rPr>
                        <w:i/>
                        <w:spacing w:val="-5"/>
                        <w:w w:val="95"/>
                        <w:position w:val="10"/>
                        <w:sz w:val="13"/>
                      </w:rPr>
                      <w:t>ra</w:t>
                    </w:r>
                  </w:p>
                </w:txbxContent>
              </v:textbox>
              <w10:wrap type="none"/>
            </v:shape>
            <v:shape style="position:absolute;left:2598;top:576;width:591;height:132" type="#_x0000_t202" filled="false" stroked="false">
              <v:textbox inset="0,0,0,0">
                <w:txbxContent>
                  <w:p>
                    <w:pPr>
                      <w:tabs>
                        <w:tab w:pos="517" w:val="left" w:leader="none"/>
                      </w:tabs>
                      <w:spacing w:line="132" w:lineRule="exact" w:before="0"/>
                      <w:ind w:left="0" w:right="0" w:firstLine="0"/>
                      <w:jc w:val="left"/>
                      <w:rPr>
                        <w:i/>
                        <w:sz w:val="13"/>
                      </w:rPr>
                    </w:pPr>
                    <w:r>
                      <w:rPr>
                        <w:i/>
                        <w:sz w:val="13"/>
                      </w:rPr>
                      <w:t>ij</w:t>
                      <w:tab/>
                      <w:t>ij</w:t>
                    </w:r>
                  </w:p>
                </w:txbxContent>
              </v:textbox>
              <w10:wrap type="none"/>
            </v:shape>
            <v:shape style="position:absolute;left:3226;top:423;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4036;top:327;width:69;height:363" type="#_x0000_t202" filled="false" stroked="false">
              <v:textbox inset="0,0,0,0">
                <w:txbxContent>
                  <w:p>
                    <w:pPr>
                      <w:spacing w:line="362" w:lineRule="exact" w:before="0"/>
                      <w:ind w:left="0" w:right="0" w:firstLine="0"/>
                      <w:jc w:val="left"/>
                      <w:rPr>
                        <w:rFonts w:ascii="Symbol" w:hAnsi="Symbol"/>
                        <w:sz w:val="36"/>
                      </w:rPr>
                    </w:pPr>
                    <w:r>
                      <w:rPr>
                        <w:rFonts w:ascii="Symbol" w:hAnsi="Symbol"/>
                        <w:w w:val="57"/>
                        <w:sz w:val="36"/>
                      </w:rPr>
                      <w:t></w:t>
                    </w:r>
                  </w:p>
                </w:txbxContent>
              </v:textbox>
              <w10:wrap type="none"/>
            </v:shape>
            <v:shape style="position:absolute;left:4189;top:382;width:726;height:173" type="#_x0000_t202" filled="false" stroked="false">
              <v:textbox inset="0,0,0,0">
                <w:txbxContent>
                  <w:p>
                    <w:pPr>
                      <w:spacing w:line="173" w:lineRule="exact" w:before="0"/>
                      <w:ind w:left="0" w:right="0" w:firstLine="0"/>
                      <w:jc w:val="left"/>
                      <w:rPr>
                        <w:rFonts w:ascii="Symbol" w:hAnsi="Symbol"/>
                        <w:sz w:val="17"/>
                      </w:rPr>
                    </w:pPr>
                    <w:r>
                      <w:rPr>
                        <w:rFonts w:ascii="Symbol" w:hAnsi="Symbol"/>
                        <w:w w:val="90"/>
                        <w:sz w:val="13"/>
                      </w:rPr>
                      <w:t></w:t>
                    </w:r>
                    <w:r>
                      <w:rPr>
                        <w:rFonts w:ascii="Symbol" w:hAnsi="Symbol"/>
                        <w:w w:val="90"/>
                        <w:sz w:val="17"/>
                      </w:rPr>
                      <w:t></w:t>
                    </w:r>
                    <w:r>
                      <w:rPr>
                        <w:i/>
                        <w:w w:val="90"/>
                        <w:sz w:val="13"/>
                      </w:rPr>
                      <w:t>r </w:t>
                    </w:r>
                    <w:r>
                      <w:rPr>
                        <w:rFonts w:ascii="Symbol" w:hAnsi="Symbol"/>
                        <w:w w:val="90"/>
                        <w:sz w:val="13"/>
                      </w:rPr>
                      <w:t></w:t>
                    </w:r>
                    <w:r>
                      <w:rPr>
                        <w:rFonts w:ascii="Symbol" w:hAnsi="Symbol"/>
                        <w:i/>
                        <w:w w:val="90"/>
                        <w:sz w:val="14"/>
                      </w:rPr>
                      <w:t></w:t>
                    </w:r>
                    <w:r>
                      <w:rPr>
                        <w:i/>
                        <w:w w:val="90"/>
                        <w:sz w:val="14"/>
                      </w:rPr>
                      <w:t> </w:t>
                    </w:r>
                    <w:r>
                      <w:rPr>
                        <w:rFonts w:ascii="Symbol" w:hAnsi="Symbol"/>
                        <w:w w:val="90"/>
                        <w:sz w:val="17"/>
                      </w:rPr>
                      <w:t></w:t>
                    </w:r>
                    <w:r>
                      <w:rPr>
                        <w:i/>
                        <w:w w:val="90"/>
                        <w:sz w:val="13"/>
                      </w:rPr>
                      <w:t>L</w:t>
                    </w:r>
                    <w:r>
                      <w:rPr>
                        <w:rFonts w:ascii="Symbol" w:hAnsi="Symbol"/>
                        <w:w w:val="90"/>
                        <w:sz w:val="13"/>
                      </w:rPr>
                      <w:t></w:t>
                    </w:r>
                    <w:r>
                      <w:rPr>
                        <w:i/>
                        <w:w w:val="90"/>
                        <w:sz w:val="13"/>
                      </w:rPr>
                      <w:t>a</w:t>
                    </w:r>
                    <w:r>
                      <w:rPr>
                        <w:rFonts w:ascii="Symbol" w:hAnsi="Symbol"/>
                        <w:w w:val="90"/>
                        <w:sz w:val="17"/>
                      </w:rPr>
                      <w:t></w:t>
                    </w:r>
                  </w:p>
                </w:txbxContent>
              </v:textbox>
              <w10:wrap type="none"/>
            </v:shape>
            <v:shape style="position:absolute;left:4922;top:371;width:1606;height:310" type="#_x0000_t202" filled="false" stroked="false">
              <v:textbox inset="0,0,0,0">
                <w:txbxContent>
                  <w:p>
                    <w:pPr>
                      <w:spacing w:line="309" w:lineRule="exact" w:before="0"/>
                      <w:ind w:left="0" w:right="-12" w:firstLine="0"/>
                      <w:jc w:val="left"/>
                      <w:rPr>
                        <w:sz w:val="22"/>
                      </w:rPr>
                    </w:pPr>
                    <w:r>
                      <w:rPr>
                        <w:rFonts w:ascii="Symbol" w:hAnsi="Symbol"/>
                        <w:spacing w:val="-5"/>
                        <w:w w:val="95"/>
                        <w:sz w:val="31"/>
                      </w:rPr>
                      <w:t></w:t>
                    </w:r>
                    <w:r>
                      <w:rPr>
                        <w:rFonts w:ascii="Symbol" w:hAnsi="Symbol"/>
                        <w:spacing w:val="-5"/>
                        <w:w w:val="95"/>
                        <w:sz w:val="22"/>
                      </w:rPr>
                      <w:t></w:t>
                    </w:r>
                    <w:r>
                      <w:rPr>
                        <w:spacing w:val="-33"/>
                        <w:w w:val="95"/>
                        <w:sz w:val="22"/>
                      </w:rPr>
                      <w:t> </w:t>
                    </w:r>
                    <w:r>
                      <w:rPr>
                        <w:rFonts w:ascii="Symbol" w:hAnsi="Symbol"/>
                        <w:w w:val="95"/>
                        <w:sz w:val="30"/>
                      </w:rPr>
                      <w:t></w:t>
                    </w:r>
                    <w:r>
                      <w:rPr>
                        <w:i/>
                        <w:w w:val="95"/>
                        <w:sz w:val="22"/>
                      </w:rPr>
                      <w:t>r</w:t>
                    </w:r>
                    <w:r>
                      <w:rPr>
                        <w:i/>
                        <w:spacing w:val="-22"/>
                        <w:w w:val="95"/>
                        <w:sz w:val="22"/>
                      </w:rPr>
                      <w:t> </w:t>
                    </w:r>
                    <w:r>
                      <w:rPr>
                        <w:rFonts w:ascii="Symbol" w:hAnsi="Symbol"/>
                        <w:w w:val="95"/>
                        <w:sz w:val="22"/>
                      </w:rPr>
                      <w:t></w:t>
                    </w:r>
                    <w:r>
                      <w:rPr>
                        <w:spacing w:val="-26"/>
                        <w:w w:val="95"/>
                        <w:sz w:val="22"/>
                      </w:rPr>
                      <w:t> </w:t>
                    </w:r>
                    <w:r>
                      <w:rPr>
                        <w:rFonts w:ascii="Symbol" w:hAnsi="Symbol"/>
                        <w:i/>
                        <w:w w:val="95"/>
                        <w:sz w:val="24"/>
                      </w:rPr>
                      <w:t></w:t>
                    </w:r>
                    <w:r>
                      <w:rPr>
                        <w:i/>
                        <w:spacing w:val="-40"/>
                        <w:w w:val="95"/>
                        <w:sz w:val="24"/>
                      </w:rPr>
                      <w:t> </w:t>
                    </w:r>
                    <w:r>
                      <w:rPr>
                        <w:rFonts w:ascii="Symbol" w:hAnsi="Symbol"/>
                        <w:spacing w:val="-4"/>
                        <w:w w:val="95"/>
                        <w:sz w:val="30"/>
                      </w:rPr>
                      <w:t></w:t>
                    </w:r>
                    <w:r>
                      <w:rPr>
                        <w:i/>
                        <w:spacing w:val="-4"/>
                        <w:w w:val="95"/>
                        <w:sz w:val="22"/>
                      </w:rPr>
                      <w:t>L</w:t>
                    </w:r>
                    <w:r>
                      <w:rPr>
                        <w:i/>
                        <w:spacing w:val="-30"/>
                        <w:w w:val="95"/>
                        <w:sz w:val="22"/>
                      </w:rPr>
                      <w:t> </w:t>
                    </w:r>
                    <w:r>
                      <w:rPr>
                        <w:rFonts w:ascii="Symbol" w:hAnsi="Symbol"/>
                        <w:w w:val="95"/>
                        <w:sz w:val="22"/>
                      </w:rPr>
                      <w:t></w:t>
                    </w:r>
                    <w:r>
                      <w:rPr>
                        <w:spacing w:val="-28"/>
                        <w:w w:val="95"/>
                        <w:sz w:val="22"/>
                      </w:rPr>
                      <w:t> </w:t>
                    </w:r>
                    <w:r>
                      <w:rPr>
                        <w:i/>
                        <w:spacing w:val="3"/>
                        <w:w w:val="95"/>
                        <w:sz w:val="22"/>
                      </w:rPr>
                      <w:t>a</w:t>
                    </w:r>
                    <w:r>
                      <w:rPr>
                        <w:rFonts w:ascii="Symbol" w:hAnsi="Symbol"/>
                        <w:spacing w:val="3"/>
                        <w:w w:val="95"/>
                        <w:sz w:val="30"/>
                      </w:rPr>
                      <w:t></w:t>
                    </w:r>
                    <w:r>
                      <w:rPr>
                        <w:rFonts w:ascii="Symbol" w:hAnsi="Symbol"/>
                        <w:spacing w:val="3"/>
                        <w:w w:val="95"/>
                        <w:sz w:val="22"/>
                      </w:rPr>
                      <w:t></w:t>
                    </w:r>
                    <w:r>
                      <w:rPr>
                        <w:spacing w:val="3"/>
                        <w:w w:val="95"/>
                        <w:sz w:val="22"/>
                      </w:rPr>
                      <w:t>1</w:t>
                    </w:r>
                  </w:p>
                </w:txbxContent>
              </v:textbox>
              <w10:wrap type="none"/>
            </v:shape>
            <v:shape style="position:absolute;left:6528;top:371;width:341;height:310" type="#_x0000_t202" filled="false" stroked="false">
              <v:textbox inset="0,0,0,0">
                <w:txbxContent>
                  <w:p>
                    <w:pPr>
                      <w:spacing w:line="309" w:lineRule="exact" w:before="0"/>
                      <w:ind w:left="0" w:right="-18" w:firstLine="0"/>
                      <w:jc w:val="left"/>
                      <w:rPr>
                        <w:i/>
                        <w:sz w:val="22"/>
                      </w:rPr>
                    </w:pPr>
                    <w:r>
                      <w:rPr>
                        <w:rFonts w:ascii="Symbol" w:hAnsi="Symbol"/>
                        <w:spacing w:val="8"/>
                        <w:w w:val="95"/>
                        <w:sz w:val="31"/>
                      </w:rPr>
                      <w:t></w:t>
                    </w:r>
                    <w:r>
                      <w:rPr>
                        <w:rFonts w:ascii="Symbol" w:hAnsi="Symbol"/>
                        <w:spacing w:val="8"/>
                        <w:w w:val="95"/>
                        <w:sz w:val="22"/>
                      </w:rPr>
                      <w:t></w:t>
                    </w:r>
                    <w:r>
                      <w:rPr>
                        <w:spacing w:val="-35"/>
                        <w:w w:val="95"/>
                        <w:sz w:val="22"/>
                      </w:rPr>
                      <w:t> </w:t>
                    </w:r>
                    <w:r>
                      <w:rPr>
                        <w:i/>
                        <w:w w:val="95"/>
                        <w:sz w:val="22"/>
                      </w:rPr>
                      <w:t>e</w:t>
                    </w:r>
                  </w:p>
                </w:txbxContent>
              </v:textbox>
              <w10:wrap type="none"/>
            </v:shape>
            <v:shape style="position:absolute;left:6869;top:382;width:471;height:173" type="#_x0000_t202" filled="false" stroked="false">
              <v:textbox inset="0,0,0,0">
                <w:txbxContent>
                  <w:p>
                    <w:pPr>
                      <w:spacing w:line="173" w:lineRule="exact" w:before="0"/>
                      <w:ind w:left="0" w:right="-16" w:firstLine="0"/>
                      <w:jc w:val="left"/>
                      <w:rPr>
                        <w:i/>
                        <w:sz w:val="13"/>
                      </w:rPr>
                    </w:pPr>
                    <w:r>
                      <w:rPr>
                        <w:rFonts w:ascii="Symbol" w:hAnsi="Symbol"/>
                        <w:spacing w:val="2"/>
                        <w:w w:val="95"/>
                        <w:sz w:val="13"/>
                      </w:rPr>
                      <w:t></w:t>
                    </w:r>
                    <w:r>
                      <w:rPr>
                        <w:rFonts w:ascii="Symbol" w:hAnsi="Symbol"/>
                        <w:spacing w:val="2"/>
                        <w:w w:val="95"/>
                        <w:sz w:val="17"/>
                      </w:rPr>
                      <w:t></w:t>
                    </w:r>
                    <w:r>
                      <w:rPr>
                        <w:i/>
                        <w:spacing w:val="2"/>
                        <w:w w:val="95"/>
                        <w:sz w:val="13"/>
                      </w:rPr>
                      <w:t>r</w:t>
                    </w:r>
                    <w:r>
                      <w:rPr>
                        <w:i/>
                        <w:spacing w:val="-20"/>
                        <w:w w:val="95"/>
                        <w:sz w:val="13"/>
                      </w:rPr>
                      <w:t> </w:t>
                    </w:r>
                    <w:r>
                      <w:rPr>
                        <w:rFonts w:ascii="Symbol" w:hAnsi="Symbol"/>
                        <w:spacing w:val="4"/>
                        <w:w w:val="95"/>
                        <w:sz w:val="13"/>
                      </w:rPr>
                      <w:t></w:t>
                    </w:r>
                    <w:r>
                      <w:rPr>
                        <w:rFonts w:ascii="Symbol" w:hAnsi="Symbol"/>
                        <w:i/>
                        <w:spacing w:val="4"/>
                        <w:w w:val="95"/>
                        <w:sz w:val="14"/>
                      </w:rPr>
                      <w:t></w:t>
                    </w:r>
                    <w:r>
                      <w:rPr>
                        <w:i/>
                        <w:spacing w:val="-17"/>
                        <w:w w:val="95"/>
                        <w:sz w:val="14"/>
                      </w:rPr>
                      <w:t> </w:t>
                    </w:r>
                    <w:r>
                      <w:rPr>
                        <w:rFonts w:ascii="Symbol" w:hAnsi="Symbol"/>
                        <w:w w:val="95"/>
                        <w:sz w:val="17"/>
                      </w:rPr>
                      <w:t></w:t>
                    </w:r>
                    <w:r>
                      <w:rPr>
                        <w:i/>
                        <w:w w:val="95"/>
                        <w:sz w:val="13"/>
                      </w:rPr>
                      <w:t>a</w:t>
                    </w:r>
                  </w:p>
                </w:txbxContent>
              </v:textbox>
              <w10:wrap type="none"/>
            </v:shape>
            <v:shape style="position:absolute;left:3226;top:569;width:758;height:335" type="#_x0000_t202" filled="false" stroked="false">
              <v:textbox inset="0,0,0,0">
                <w:txbxContent>
                  <w:p>
                    <w:pPr>
                      <w:spacing w:line="335" w:lineRule="exact" w:before="0"/>
                      <w:ind w:left="0" w:right="-17" w:firstLine="0"/>
                      <w:jc w:val="left"/>
                      <w:rPr>
                        <w:sz w:val="13"/>
                      </w:rPr>
                    </w:pPr>
                    <w:r>
                      <w:rPr>
                        <w:rFonts w:ascii="Symbol" w:hAnsi="Symbol"/>
                        <w:w w:val="39"/>
                        <w:position w:val="-4"/>
                        <w:sz w:val="22"/>
                      </w:rPr>
                      <w:t>⎝</w:t>
                    </w:r>
                    <w:r>
                      <w:rPr>
                        <w:spacing w:val="-24"/>
                        <w:position w:val="-4"/>
                        <w:sz w:val="22"/>
                      </w:rPr>
                      <w:t> </w:t>
                    </w:r>
                    <w:r>
                      <w:rPr>
                        <w:rFonts w:ascii="Symbol" w:hAnsi="Symbol"/>
                        <w:spacing w:val="-4"/>
                        <w:w w:val="68"/>
                        <w:sz w:val="30"/>
                      </w:rPr>
                      <w:t></w:t>
                    </w:r>
                    <w:r>
                      <w:rPr>
                        <w:i/>
                        <w:w w:val="102"/>
                        <w:sz w:val="22"/>
                      </w:rPr>
                      <w:t>r</w:t>
                    </w:r>
                    <w:r>
                      <w:rPr>
                        <w:i/>
                        <w:spacing w:val="-9"/>
                        <w:sz w:val="22"/>
                      </w:rPr>
                      <w:t> </w:t>
                    </w:r>
                    <w:r>
                      <w:rPr>
                        <w:rFonts w:ascii="Symbol" w:hAnsi="Symbol"/>
                        <w:w w:val="102"/>
                        <w:sz w:val="22"/>
                      </w:rPr>
                      <w:t></w:t>
                    </w:r>
                    <w:r>
                      <w:rPr>
                        <w:spacing w:val="-16"/>
                        <w:sz w:val="22"/>
                      </w:rPr>
                      <w:t> </w:t>
                    </w:r>
                    <w:r>
                      <w:rPr>
                        <w:rFonts w:ascii="Symbol" w:hAnsi="Symbol"/>
                        <w:i/>
                        <w:w w:val="94"/>
                        <w:sz w:val="24"/>
                      </w:rPr>
                      <w:t></w:t>
                    </w:r>
                    <w:r>
                      <w:rPr>
                        <w:spacing w:val="-35"/>
                        <w:sz w:val="24"/>
                      </w:rPr>
                      <w:t> </w:t>
                    </w:r>
                    <w:r>
                      <w:rPr>
                        <w:rFonts w:ascii="Symbol" w:hAnsi="Symbol"/>
                        <w:spacing w:val="-9"/>
                        <w:w w:val="68"/>
                        <w:sz w:val="30"/>
                      </w:rPr>
                      <w:t></w:t>
                    </w:r>
                    <w:r>
                      <w:rPr>
                        <w:w w:val="101"/>
                        <w:position w:val="12"/>
                        <w:sz w:val="13"/>
                      </w:rPr>
                      <w:t>2</w:t>
                    </w:r>
                  </w:p>
                </w:txbxContent>
              </v:textbox>
              <w10:wrap type="none"/>
            </v:shape>
            <v:shape style="position:absolute;left:4088;top:444;width:101;height:227" type="#_x0000_t202" filled="false" stroked="false">
              <v:textbox inset="0,0,0,0">
                <w:txbxContent>
                  <w:p>
                    <w:pPr>
                      <w:spacing w:line="226" w:lineRule="exact" w:before="0"/>
                      <w:ind w:left="0" w:right="0" w:firstLine="0"/>
                      <w:jc w:val="left"/>
                      <w:rPr>
                        <w:i/>
                        <w:sz w:val="22"/>
                      </w:rPr>
                    </w:pPr>
                    <w:r>
                      <w:rPr>
                        <w:i/>
                        <w:w w:val="102"/>
                        <w:sz w:val="22"/>
                      </w:rPr>
                      <w:t>e</w:t>
                    </w:r>
                  </w:p>
                </w:txbxContent>
              </v:textbox>
              <w10:wrap type="none"/>
            </v:shape>
            <v:shape style="position:absolute;left:7354;top:371;width:1225;height:310" type="#_x0000_t202" filled="false" stroked="false">
              <v:textbox inset="0,0,0,0">
                <w:txbxContent>
                  <w:p>
                    <w:pPr>
                      <w:spacing w:line="309" w:lineRule="exact" w:before="0"/>
                      <w:ind w:left="0" w:right="-14" w:firstLine="0"/>
                      <w:jc w:val="left"/>
                      <w:rPr>
                        <w:rFonts w:ascii="Symbol" w:hAnsi="Symbol"/>
                        <w:sz w:val="31"/>
                      </w:rPr>
                    </w:pPr>
                    <w:r>
                      <w:rPr>
                        <w:rFonts w:ascii="Symbol" w:hAnsi="Symbol"/>
                        <w:spacing w:val="-6"/>
                        <w:w w:val="95"/>
                        <w:sz w:val="31"/>
                      </w:rPr>
                      <w:t></w:t>
                    </w:r>
                    <w:r>
                      <w:rPr>
                        <w:rFonts w:ascii="Symbol" w:hAnsi="Symbol"/>
                        <w:spacing w:val="-6"/>
                        <w:w w:val="95"/>
                        <w:sz w:val="22"/>
                      </w:rPr>
                      <w:t></w:t>
                    </w:r>
                    <w:r>
                      <w:rPr>
                        <w:spacing w:val="-34"/>
                        <w:w w:val="95"/>
                        <w:sz w:val="22"/>
                      </w:rPr>
                      <w:t> </w:t>
                    </w:r>
                    <w:r>
                      <w:rPr>
                        <w:rFonts w:ascii="Symbol" w:hAnsi="Symbol"/>
                        <w:w w:val="95"/>
                        <w:sz w:val="30"/>
                      </w:rPr>
                      <w:t></w:t>
                    </w:r>
                    <w:r>
                      <w:rPr>
                        <w:i/>
                        <w:w w:val="95"/>
                        <w:sz w:val="22"/>
                      </w:rPr>
                      <w:t>r</w:t>
                    </w:r>
                    <w:r>
                      <w:rPr>
                        <w:i/>
                        <w:spacing w:val="-23"/>
                        <w:w w:val="95"/>
                        <w:sz w:val="22"/>
                      </w:rPr>
                      <w:t> </w:t>
                    </w:r>
                    <w:r>
                      <w:rPr>
                        <w:rFonts w:ascii="Symbol" w:hAnsi="Symbol"/>
                        <w:w w:val="95"/>
                        <w:sz w:val="22"/>
                      </w:rPr>
                      <w:t></w:t>
                    </w:r>
                    <w:r>
                      <w:rPr>
                        <w:spacing w:val="-27"/>
                        <w:w w:val="95"/>
                        <w:sz w:val="22"/>
                      </w:rPr>
                      <w:t> </w:t>
                    </w:r>
                    <w:r>
                      <w:rPr>
                        <w:rFonts w:ascii="Symbol" w:hAnsi="Symbol"/>
                        <w:i/>
                        <w:w w:val="95"/>
                        <w:sz w:val="24"/>
                      </w:rPr>
                      <w:t></w:t>
                    </w:r>
                    <w:r>
                      <w:rPr>
                        <w:i/>
                        <w:spacing w:val="-41"/>
                        <w:w w:val="95"/>
                        <w:sz w:val="24"/>
                      </w:rPr>
                      <w:t> </w:t>
                    </w:r>
                    <w:r>
                      <w:rPr>
                        <w:rFonts w:ascii="Symbol" w:hAnsi="Symbol"/>
                        <w:spacing w:val="-6"/>
                        <w:w w:val="95"/>
                        <w:sz w:val="30"/>
                      </w:rPr>
                      <w:t></w:t>
                    </w:r>
                    <w:r>
                      <w:rPr>
                        <w:i/>
                        <w:spacing w:val="-6"/>
                        <w:w w:val="95"/>
                        <w:sz w:val="22"/>
                      </w:rPr>
                      <w:t>a</w:t>
                    </w:r>
                    <w:r>
                      <w:rPr>
                        <w:i/>
                        <w:spacing w:val="-29"/>
                        <w:w w:val="95"/>
                        <w:sz w:val="22"/>
                      </w:rPr>
                      <w:t> </w:t>
                    </w:r>
                    <w:r>
                      <w:rPr>
                        <w:rFonts w:ascii="Symbol" w:hAnsi="Symbol"/>
                        <w:spacing w:val="-5"/>
                        <w:w w:val="95"/>
                        <w:sz w:val="22"/>
                      </w:rPr>
                      <w:t></w:t>
                    </w:r>
                    <w:r>
                      <w:rPr>
                        <w:spacing w:val="-5"/>
                        <w:w w:val="95"/>
                        <w:sz w:val="22"/>
                      </w:rPr>
                      <w:t>1</w:t>
                    </w:r>
                    <w:r>
                      <w:rPr>
                        <w:rFonts w:ascii="Symbol" w:hAnsi="Symbol"/>
                        <w:spacing w:val="-5"/>
                        <w:w w:val="95"/>
                        <w:sz w:val="31"/>
                      </w:rPr>
                      <w:t></w:t>
                    </w:r>
                  </w:p>
                </w:txbxContent>
              </v:textbox>
              <w10:wrap type="none"/>
            </v:shape>
            <v:shape style="position:absolute;left:8563;top:327;width:69;height:363" type="#_x0000_t202" filled="false" stroked="false">
              <v:textbox inset="0,0,0,0">
                <w:txbxContent>
                  <w:p>
                    <w:pPr>
                      <w:spacing w:line="362" w:lineRule="exact" w:before="0"/>
                      <w:ind w:left="0" w:right="0" w:firstLine="0"/>
                      <w:jc w:val="left"/>
                      <w:rPr>
                        <w:rFonts w:ascii="Symbol" w:hAnsi="Symbol"/>
                        <w:sz w:val="36"/>
                      </w:rPr>
                    </w:pPr>
                    <w:r>
                      <w:rPr>
                        <w:rFonts w:ascii="Symbol" w:hAnsi="Symbol"/>
                        <w:w w:val="57"/>
                        <w:sz w:val="36"/>
                      </w:rPr>
                      <w:t></w:t>
                    </w:r>
                  </w:p>
                </w:txbxContent>
              </v:textbox>
              <w10:wrap type="none"/>
            </v:shape>
            <v:shape style="position:absolute;left:8627;top:279;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8627;top:295;width:815;height:355" type="#_x0000_t202" filled="false" stroked="false">
              <v:textbox inset="0,0,0,0">
                <w:txbxContent>
                  <w:p>
                    <w:pPr>
                      <w:spacing w:line="251" w:lineRule="exact" w:before="0"/>
                      <w:ind w:left="273" w:right="-19" w:firstLine="0"/>
                      <w:jc w:val="left"/>
                      <w:rPr>
                        <w:i/>
                        <w:sz w:val="22"/>
                      </w:rPr>
                    </w:pPr>
                    <w:r>
                      <w:rPr>
                        <w:rFonts w:ascii="Symbol" w:hAnsi="Symbol"/>
                        <w:spacing w:val="12"/>
                        <w:w w:val="39"/>
                        <w:sz w:val="22"/>
                      </w:rPr>
                      <w:t>⎛</w:t>
                    </w:r>
                    <w:r>
                      <w:rPr>
                        <w:spacing w:val="14"/>
                        <w:w w:val="102"/>
                        <w:position w:val="2"/>
                        <w:sz w:val="22"/>
                      </w:rPr>
                      <w:t>1</w:t>
                    </w:r>
                    <w:r>
                      <w:rPr>
                        <w:rFonts w:ascii="Symbol" w:hAnsi="Symbol"/>
                        <w:w w:val="102"/>
                        <w:position w:val="2"/>
                        <w:sz w:val="22"/>
                      </w:rPr>
                      <w:t></w:t>
                    </w:r>
                    <w:r>
                      <w:rPr>
                        <w:spacing w:val="-16"/>
                        <w:position w:val="2"/>
                        <w:sz w:val="22"/>
                      </w:rPr>
                      <w:t> </w:t>
                    </w:r>
                    <w:r>
                      <w:rPr>
                        <w:i/>
                        <w:w w:val="102"/>
                        <w:position w:val="2"/>
                        <w:sz w:val="22"/>
                      </w:rPr>
                      <w:t>K</w:t>
                    </w:r>
                  </w:p>
                </w:txbxContent>
              </v:textbox>
              <w10:wrap type="none"/>
            </v:shape>
            <v:shape style="position:absolute;left:9490;top:327;width:34;height:363" type="#_x0000_t202" filled="false" stroked="false">
              <v:textbox inset="0,0,0,0">
                <w:txbxContent>
                  <w:p>
                    <w:pPr>
                      <w:spacing w:line="362" w:lineRule="exact" w:before="0"/>
                      <w:ind w:left="0" w:right="0" w:firstLine="0"/>
                      <w:jc w:val="left"/>
                      <w:rPr>
                        <w:rFonts w:ascii="Symbol" w:hAnsi="Symbol"/>
                        <w:sz w:val="36"/>
                      </w:rPr>
                    </w:pPr>
                    <w:r>
                      <w:rPr>
                        <w:rFonts w:ascii="Symbol" w:hAnsi="Symbol"/>
                        <w:spacing w:val="-36"/>
                        <w:w w:val="57"/>
                        <w:sz w:val="36"/>
                      </w:rPr>
                      <w:t></w:t>
                    </w:r>
                  </w:p>
                </w:txbxContent>
              </v:textbox>
              <w10:wrap type="none"/>
            </v:shape>
            <v:shape style="position:absolute;left:9523;top:327;width:675;height:363" type="#_x0000_t202" filled="false" stroked="false">
              <v:textbox inset="0,0,0,0">
                <w:txbxContent>
                  <w:p>
                    <w:pPr>
                      <w:tabs>
                        <w:tab w:pos="605" w:val="left" w:leader="none"/>
                      </w:tabs>
                      <w:spacing w:line="362" w:lineRule="exact" w:before="0"/>
                      <w:ind w:left="0" w:right="0" w:firstLine="0"/>
                      <w:jc w:val="left"/>
                      <w:rPr>
                        <w:rFonts w:ascii="Symbol" w:hAnsi="Symbol"/>
                        <w:sz w:val="36"/>
                      </w:rPr>
                    </w:pPr>
                    <w:r>
                      <w:rPr>
                        <w:spacing w:val="7"/>
                        <w:sz w:val="22"/>
                      </w:rPr>
                      <w:t>1</w:t>
                    </w:r>
                    <w:r>
                      <w:rPr>
                        <w:rFonts w:ascii="Symbol" w:hAnsi="Symbol"/>
                        <w:spacing w:val="7"/>
                        <w:sz w:val="22"/>
                      </w:rPr>
                      <w:t></w:t>
                    </w:r>
                    <w:r>
                      <w:rPr>
                        <w:spacing w:val="-25"/>
                        <w:sz w:val="22"/>
                      </w:rPr>
                      <w:t> </w:t>
                    </w:r>
                    <w:r>
                      <w:rPr>
                        <w:i/>
                        <w:sz w:val="22"/>
                      </w:rPr>
                      <w:t>e</w:t>
                      <w:tab/>
                    </w:r>
                    <w:r>
                      <w:rPr>
                        <w:rFonts w:ascii="Symbol" w:hAnsi="Symbol"/>
                        <w:w w:val="55"/>
                        <w:sz w:val="36"/>
                      </w:rPr>
                      <w:t></w:t>
                    </w:r>
                  </w:p>
                </w:txbxContent>
              </v:textbox>
              <w10:wrap type="none"/>
            </v:shape>
            <v:shape style="position:absolute;left:9905;top:415;width:203;height:135" type="#_x0000_t202" filled="false" stroked="false">
              <v:textbox inset="0,0,0,0">
                <w:txbxContent>
                  <w:p>
                    <w:pPr>
                      <w:spacing w:line="134" w:lineRule="exact" w:before="0"/>
                      <w:ind w:left="0" w:right="-12" w:firstLine="0"/>
                      <w:jc w:val="left"/>
                      <w:rPr>
                        <w:i/>
                        <w:sz w:val="13"/>
                      </w:rPr>
                    </w:pPr>
                    <w:r>
                      <w:rPr>
                        <w:rFonts w:ascii="Symbol" w:hAnsi="Symbol"/>
                        <w:sz w:val="13"/>
                      </w:rPr>
                      <w:t></w:t>
                    </w:r>
                    <w:r>
                      <w:rPr>
                        <w:i/>
                        <w:sz w:val="13"/>
                      </w:rPr>
                      <w:t>rL</w:t>
                    </w:r>
                  </w:p>
                </w:txbxContent>
              </v:textbox>
              <w10:wrap type="none"/>
            </v:shape>
            <v:shape style="position:absolute;left:10192;top:312;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8627;top:534;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8627;top:678;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8747;top:440;width:241;height:432" type="#_x0000_t202" filled="false" stroked="false">
              <v:textbox inset="0,0,0,0">
                <w:txbxContent>
                  <w:p>
                    <w:pPr>
                      <w:spacing w:line="210" w:lineRule="exact" w:before="0"/>
                      <w:ind w:left="-1" w:right="0" w:firstLine="0"/>
                      <w:jc w:val="center"/>
                      <w:rPr>
                        <w:rFonts w:ascii="Symbol" w:hAnsi="Symbol"/>
                        <w:sz w:val="22"/>
                      </w:rPr>
                    </w:pPr>
                    <w:r>
                      <w:rPr>
                        <w:rFonts w:ascii="Symbol" w:hAnsi="Symbol"/>
                        <w:w w:val="65"/>
                        <w:position w:val="2"/>
                        <w:sz w:val="22"/>
                      </w:rPr>
                      <w:t></w:t>
                    </w:r>
                    <w:r>
                      <w:rPr>
                        <w:spacing w:val="-18"/>
                        <w:w w:val="65"/>
                        <w:position w:val="2"/>
                        <w:sz w:val="22"/>
                      </w:rPr>
                      <w:t> </w:t>
                    </w:r>
                    <w:r>
                      <w:rPr>
                        <w:rFonts w:ascii="Symbol" w:hAnsi="Symbol"/>
                        <w:w w:val="65"/>
                        <w:sz w:val="22"/>
                      </w:rPr>
                      <w:t>⎜</w:t>
                    </w:r>
                  </w:p>
                  <w:p>
                    <w:pPr>
                      <w:spacing w:line="222" w:lineRule="exact" w:before="0"/>
                      <w:ind w:left="153" w:right="0" w:firstLine="0"/>
                      <w:jc w:val="center"/>
                      <w:rPr>
                        <w:rFonts w:ascii="Symbol" w:hAnsi="Symbol"/>
                        <w:sz w:val="22"/>
                      </w:rPr>
                    </w:pPr>
                    <w:r>
                      <w:rPr>
                        <w:rFonts w:ascii="Symbol" w:hAnsi="Symbol"/>
                        <w:w w:val="39"/>
                        <w:sz w:val="22"/>
                      </w:rPr>
                      <w:t>⎝</w:t>
                    </w:r>
                  </w:p>
                </w:txbxContent>
              </v:textbox>
              <w10:wrap type="none"/>
            </v:shape>
            <v:shape style="position:absolute;left:9191;top:622;width:88;height:227" type="#_x0000_t202" filled="false" stroked="false">
              <v:textbox inset="0,0,0,0">
                <w:txbxContent>
                  <w:p>
                    <w:pPr>
                      <w:spacing w:line="226" w:lineRule="exact" w:before="0"/>
                      <w:ind w:left="0" w:right="0" w:firstLine="0"/>
                      <w:jc w:val="left"/>
                      <w:rPr>
                        <w:i/>
                        <w:sz w:val="22"/>
                      </w:rPr>
                    </w:pPr>
                    <w:r>
                      <w:rPr>
                        <w:i/>
                        <w:w w:val="102"/>
                        <w:sz w:val="22"/>
                      </w:rPr>
                      <w:t>r</w:t>
                    </w:r>
                  </w:p>
                </w:txbxContent>
              </v:textbox>
              <w10:wrap type="none"/>
            </v:shape>
            <v:shape style="position:absolute;left:10192;top:456;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v:shape style="position:absolute;left:10192;top:645;width:87;height:227" type="#_x0000_t202" filled="false" stroked="false">
              <v:textbox inset="0,0,0,0">
                <w:txbxContent>
                  <w:p>
                    <w:pPr>
                      <w:spacing w:line="226" w:lineRule="exact" w:before="0"/>
                      <w:ind w:left="0" w:right="0" w:firstLine="0"/>
                      <w:jc w:val="left"/>
                      <w:rPr>
                        <w:rFonts w:ascii="Symbol" w:hAnsi="Symbol"/>
                        <w:sz w:val="22"/>
                      </w:rPr>
                    </w:pPr>
                    <w:r>
                      <w:rPr>
                        <w:rFonts w:ascii="Symbol" w:hAnsi="Symbol"/>
                        <w:w w:val="39"/>
                        <w:sz w:val="22"/>
                      </w:rPr>
                      <w:t>⎠</w:t>
                    </w:r>
                  </w:p>
                </w:txbxContent>
              </v:textbox>
              <w10:wrap type="none"/>
            </v:shape>
            <w10:wrap type="topAndBottom"/>
          </v:group>
        </w:pict>
      </w:r>
    </w:p>
    <w:p>
      <w:pPr>
        <w:spacing w:before="154"/>
        <w:ind w:left="101" w:right="114" w:firstLine="0"/>
        <w:jc w:val="both"/>
        <w:rPr>
          <w:i/>
          <w:sz w:val="22"/>
        </w:rPr>
      </w:pPr>
      <w:r>
        <w:rPr>
          <w:sz w:val="22"/>
        </w:rPr>
        <w:t>Siendo: </w:t>
      </w:r>
      <w:r>
        <w:rPr>
          <w:i/>
          <w:sz w:val="22"/>
        </w:rPr>
        <w:t>d = Número de personas que fallecen en un período determinado, L = Esperanza de vida a </w:t>
      </w:r>
      <w:r>
        <w:rPr>
          <w:i/>
          <w:sz w:val="22"/>
        </w:rPr>
        <w:t>la edad de muerte, Constantes: r = Tasa de descuento, 0.03 K = 1, C = 0.1658,y B =  0.04</w:t>
      </w:r>
    </w:p>
    <w:p>
      <w:pPr>
        <w:pStyle w:val="BodyText"/>
        <w:ind w:left="101" w:right="114"/>
        <w:jc w:val="both"/>
      </w:pPr>
      <w:r>
        <w:rPr/>
        <w:t>En consecuencia, el resultado de los Años de Vida Ajustados por Discapacidad (AVAD), se obtiene sumando los años de vida perdidos por discapacidad con los años de vida perdidos por muerte prematura.</w:t>
      </w:r>
    </w:p>
    <w:p>
      <w:pPr>
        <w:pStyle w:val="BodyText"/>
      </w:pPr>
    </w:p>
    <w:p>
      <w:pPr>
        <w:pStyle w:val="BodyText"/>
        <w:ind w:left="135" w:right="152"/>
        <w:jc w:val="center"/>
      </w:pPr>
      <w:r>
        <w:rPr/>
        <w:t>AVAD=AVD + AVP</w:t>
      </w:r>
    </w:p>
    <w:p>
      <w:pPr>
        <w:pStyle w:val="BodyText"/>
        <w:spacing w:before="10"/>
        <w:rPr>
          <w:sz w:val="21"/>
        </w:rPr>
      </w:pPr>
    </w:p>
    <w:p>
      <w:pPr>
        <w:pStyle w:val="BodyText"/>
        <w:tabs>
          <w:tab w:pos="7756" w:val="left" w:leader="none"/>
        </w:tabs>
        <w:ind w:left="101" w:right="113"/>
      </w:pPr>
      <w:r>
        <w:rPr/>
        <w:t>Adicionalmente en los últimos años ha habido un aumento en el desarrollo de paquetes computacionales dirigidos a analizar, gestionar, y monitorear las enfermedades para mejorar la toma de decisiones en salud pública, entre los que destacan EpiInfo/EpiMap del Centro para el Control y la Prevención de Enfermedades (CDC, 2007), </w:t>
      </w:r>
      <w:r>
        <w:rPr>
          <w:i/>
        </w:rPr>
        <w:t>Health Mapper </w:t>
      </w:r>
      <w:r>
        <w:rPr/>
        <w:t>desarrollado en conjunto con la Organización</w:t>
      </w:r>
      <w:r>
        <w:rPr>
          <w:spacing w:val="41"/>
        </w:rPr>
        <w:t> </w:t>
      </w:r>
      <w:r>
        <w:rPr/>
        <w:t>Mundial</w:t>
      </w:r>
      <w:r>
        <w:rPr>
          <w:spacing w:val="40"/>
        </w:rPr>
        <w:t> </w:t>
      </w:r>
      <w:r>
        <w:rPr/>
        <w:t>de</w:t>
      </w:r>
      <w:r>
        <w:rPr>
          <w:spacing w:val="41"/>
        </w:rPr>
        <w:t> </w:t>
      </w:r>
      <w:r>
        <w:rPr/>
        <w:t>la</w:t>
      </w:r>
      <w:r>
        <w:rPr>
          <w:spacing w:val="41"/>
        </w:rPr>
        <w:t> </w:t>
      </w:r>
      <w:r>
        <w:rPr/>
        <w:t>Salud</w:t>
      </w:r>
      <w:r>
        <w:rPr>
          <w:spacing w:val="41"/>
        </w:rPr>
        <w:t> </w:t>
      </w:r>
      <w:r>
        <w:rPr/>
        <w:t>(OMSa,</w:t>
      </w:r>
      <w:r>
        <w:rPr>
          <w:spacing w:val="41"/>
        </w:rPr>
        <w:t> </w:t>
      </w:r>
      <w:r>
        <w:rPr/>
        <w:t>2006)</w:t>
      </w:r>
      <w:r>
        <w:rPr>
          <w:spacing w:val="37"/>
        </w:rPr>
        <w:t> </w:t>
      </w:r>
      <w:r>
        <w:rPr/>
        <w:t>y</w:t>
      </w:r>
      <w:r>
        <w:rPr>
          <w:spacing w:val="41"/>
        </w:rPr>
        <w:t> </w:t>
      </w:r>
      <w:r>
        <w:rPr/>
        <w:t>SIGEPI</w:t>
      </w:r>
      <w:r>
        <w:rPr>
          <w:spacing w:val="41"/>
        </w:rPr>
        <w:t> </w:t>
      </w:r>
      <w:r>
        <w:rPr/>
        <w:t>desarrollado</w:t>
      </w:r>
      <w:r>
        <w:rPr>
          <w:spacing w:val="41"/>
        </w:rPr>
        <w:t> </w:t>
      </w:r>
      <w:r>
        <w:rPr/>
        <w:t>por</w:t>
      </w:r>
      <w:r>
        <w:rPr>
          <w:spacing w:val="41"/>
        </w:rPr>
        <w:t> </w:t>
      </w:r>
      <w:r>
        <w:rPr/>
        <w:t>la</w:t>
        <w:tab/>
      </w:r>
      <w:r>
        <w:rPr>
          <w:spacing w:val="-1"/>
        </w:rPr>
        <w:t>Organización </w:t>
      </w:r>
      <w:r>
        <w:rPr/>
        <w:t>Panamericana de la Salud (OPS, 2005), este último más enfocado al análisis espacial. Sin embargo, los programas mencionados anteriormente no son Sistemas de Información Geográfica (SIG) en sí mismos, por lo que carecen de la gama de herramientas de análisis espacial que éste puede ofrecer. Por otro lado, el </w:t>
      </w:r>
      <w:r>
        <w:rPr>
          <w:i/>
        </w:rPr>
        <w:t>software </w:t>
      </w:r>
      <w:r>
        <w:rPr/>
        <w:t>de SIG y tratamiento de imágenes Idrisi fue desarrollado en 1987 por los laboratorios Clark (Clark Labs) liderados por John Ronald Eastman, y reconocidos por ser los pioneros en las áreas tales como el apoyo de decisiones, manejo de la incertidumbre, desarrollo de clasificadores, análisis de cambio, series de tiempo (ETM) y modelación dinámica (Eastman, 2009). Aunque no fue diseñada específicamente como una herramienta específica para el estudio de la salud, el poder de este </w:t>
      </w:r>
      <w:r>
        <w:rPr>
          <w:i/>
        </w:rPr>
        <w:t>software </w:t>
      </w:r>
      <w:r>
        <w:rPr/>
        <w:t>para el tratamiento de imágenes matriciales facilita el análisis espacio-temporal en el comportamiento de las</w:t>
      </w:r>
      <w:r>
        <w:rPr>
          <w:spacing w:val="-37"/>
        </w:rPr>
        <w:t> </w:t>
      </w:r>
      <w:r>
        <w:rPr/>
        <w:t>enfermedades.</w:t>
      </w:r>
    </w:p>
    <w:p>
      <w:pPr>
        <w:pStyle w:val="BodyText"/>
        <w:ind w:left="101" w:right="114"/>
        <w:jc w:val="both"/>
      </w:pPr>
      <w:r>
        <w:rPr/>
        <w:t>Con base en los datos antes mencionados, la hipótesis de este trabajo es que los efectos de las inundaciones sobre la salud humana podrían medirse con la carga de la enfermedad, con un enfoque de análisis espacio - temporal y la ayuda de los Sistemas de Información Geográfica.</w:t>
      </w:r>
    </w:p>
    <w:p>
      <w:pPr>
        <w:pStyle w:val="BodyText"/>
        <w:ind w:left="101" w:right="114"/>
        <w:jc w:val="both"/>
      </w:pPr>
      <w:r>
        <w:rPr/>
        <w:t>Así, el objetivo de este estudio se centra en la determinación del riesgo de enfermedades relacionadas con las inundaciones, en personas expuestas a zonas de inundación, y no expuestas, al interior de la cuenca Lerma-Chapala para el periodo 2000-2006.</w:t>
      </w:r>
    </w:p>
    <w:p>
      <w:pPr>
        <w:pStyle w:val="BodyText"/>
      </w:pPr>
    </w:p>
    <w:p>
      <w:pPr>
        <w:pStyle w:val="Heading1"/>
        <w:numPr>
          <w:ilvl w:val="0"/>
          <w:numId w:val="1"/>
        </w:numPr>
        <w:tabs>
          <w:tab w:pos="322" w:val="left" w:leader="none"/>
        </w:tabs>
        <w:spacing w:line="240" w:lineRule="auto" w:before="0" w:after="0"/>
        <w:ind w:left="321" w:right="0" w:hanging="220"/>
        <w:jc w:val="both"/>
      </w:pPr>
      <w:r>
        <w:rPr/>
        <w:t>Materiales, datos y</w:t>
      </w:r>
      <w:r>
        <w:rPr>
          <w:spacing w:val="-5"/>
        </w:rPr>
        <w:t> </w:t>
      </w:r>
      <w:r>
        <w:rPr/>
        <w:t>métodos</w:t>
      </w:r>
    </w:p>
    <w:p>
      <w:pPr>
        <w:pStyle w:val="BodyText"/>
        <w:spacing w:before="10"/>
        <w:rPr>
          <w:b/>
          <w:sz w:val="21"/>
        </w:rPr>
      </w:pPr>
    </w:p>
    <w:p>
      <w:pPr>
        <w:pStyle w:val="ListParagraph"/>
        <w:numPr>
          <w:ilvl w:val="1"/>
          <w:numId w:val="1"/>
        </w:numPr>
        <w:tabs>
          <w:tab w:pos="543" w:val="left" w:leader="none"/>
        </w:tabs>
        <w:spacing w:line="240" w:lineRule="auto" w:before="0" w:after="0"/>
        <w:ind w:left="542" w:right="0" w:hanging="441"/>
        <w:jc w:val="both"/>
        <w:rPr>
          <w:sz w:val="22"/>
        </w:rPr>
      </w:pPr>
      <w:r>
        <w:rPr>
          <w:sz w:val="22"/>
        </w:rPr>
        <w:t>El caso de</w:t>
      </w:r>
      <w:r>
        <w:rPr>
          <w:spacing w:val="-11"/>
          <w:sz w:val="22"/>
        </w:rPr>
        <w:t> </w:t>
      </w:r>
      <w:r>
        <w:rPr>
          <w:sz w:val="22"/>
        </w:rPr>
        <w:t>estudio</w:t>
      </w:r>
    </w:p>
    <w:p>
      <w:pPr>
        <w:pStyle w:val="BodyText"/>
        <w:spacing w:before="10"/>
        <w:rPr>
          <w:sz w:val="21"/>
        </w:rPr>
      </w:pPr>
    </w:p>
    <w:p>
      <w:pPr>
        <w:pStyle w:val="ListParagraph"/>
        <w:numPr>
          <w:ilvl w:val="2"/>
          <w:numId w:val="1"/>
        </w:numPr>
        <w:tabs>
          <w:tab w:pos="652" w:val="left" w:leader="none"/>
        </w:tabs>
        <w:spacing w:line="240" w:lineRule="auto" w:before="0" w:after="0"/>
        <w:ind w:left="651" w:right="0" w:hanging="550"/>
        <w:jc w:val="both"/>
        <w:rPr>
          <w:sz w:val="22"/>
        </w:rPr>
      </w:pPr>
      <w:r>
        <w:rPr>
          <w:sz w:val="22"/>
        </w:rPr>
        <w:t>Delimitación</w:t>
      </w:r>
      <w:r>
        <w:rPr>
          <w:spacing w:val="-4"/>
          <w:sz w:val="22"/>
        </w:rPr>
        <w:t> </w:t>
      </w:r>
      <w:r>
        <w:rPr>
          <w:sz w:val="22"/>
        </w:rPr>
        <w:t>espacial</w:t>
      </w:r>
    </w:p>
    <w:p>
      <w:pPr>
        <w:spacing w:after="0" w:line="240" w:lineRule="auto"/>
        <w:jc w:val="both"/>
        <w:rPr>
          <w:sz w:val="22"/>
        </w:rPr>
        <w:sectPr>
          <w:pgSz w:w="12240" w:h="15840"/>
          <w:pgMar w:header="0" w:footer="1185" w:top="1500" w:bottom="1380" w:left="1600" w:right="1580"/>
        </w:sectPr>
      </w:pPr>
    </w:p>
    <w:p>
      <w:pPr>
        <w:pStyle w:val="BodyText"/>
        <w:rPr>
          <w:sz w:val="20"/>
        </w:rPr>
      </w:pPr>
    </w:p>
    <w:p>
      <w:pPr>
        <w:pStyle w:val="BodyText"/>
        <w:rPr>
          <w:sz w:val="20"/>
        </w:rPr>
      </w:pPr>
    </w:p>
    <w:p>
      <w:pPr>
        <w:pStyle w:val="BodyText"/>
        <w:spacing w:before="3"/>
        <w:rPr>
          <w:sz w:val="20"/>
        </w:rPr>
      </w:pPr>
    </w:p>
    <w:p>
      <w:pPr>
        <w:pStyle w:val="BodyText"/>
        <w:spacing w:line="235" w:lineRule="auto" w:before="76"/>
        <w:ind w:left="101" w:right="113"/>
        <w:jc w:val="both"/>
      </w:pPr>
      <w:r>
        <w:rPr/>
        <w:t>La Cuenca hidrográfica Lerma-Chapala (véase Figura 2) se localiza en la parte central de México (19º03´a 21º34´N y 99º16´a 103º31´W), donde se extiende desde su nacimiento del río Lerma (a 4,600 msnm) hasta su desembocadura en el lago de Chapala (a 1,600 msnm). Presenta una superficie de 53 591.3 km</w:t>
      </w:r>
      <w:r>
        <w:rPr>
          <w:position w:val="10"/>
          <w:sz w:val="14"/>
        </w:rPr>
        <w:t>2</w:t>
      </w:r>
      <w:r>
        <w:rPr/>
        <w:t>, que se extiende por los Estados de Guanajuato (43.75%), Michoacán (30.25%) Jalisco (13.42%), México (9.8%), y Querétaro (2.76), donde se asienta una población de más de 15 millones de habitantes (Baro, et al.,</w:t>
      </w:r>
      <w:r>
        <w:rPr>
          <w:spacing w:val="-29"/>
        </w:rPr>
        <w:t> </w:t>
      </w:r>
      <w:r>
        <w:rPr/>
        <w:t>2011).</w:t>
      </w:r>
    </w:p>
    <w:p>
      <w:pPr>
        <w:pStyle w:val="BodyText"/>
        <w:spacing w:before="1"/>
      </w:pPr>
    </w:p>
    <w:p>
      <w:pPr>
        <w:pStyle w:val="ListParagraph"/>
        <w:numPr>
          <w:ilvl w:val="2"/>
          <w:numId w:val="1"/>
        </w:numPr>
        <w:tabs>
          <w:tab w:pos="652" w:val="left" w:leader="none"/>
        </w:tabs>
        <w:spacing w:line="240" w:lineRule="auto" w:before="0" w:after="0"/>
        <w:ind w:left="651" w:right="0" w:hanging="550"/>
        <w:jc w:val="both"/>
        <w:rPr>
          <w:sz w:val="22"/>
        </w:rPr>
      </w:pPr>
      <w:r>
        <w:rPr>
          <w:sz w:val="22"/>
        </w:rPr>
        <w:t>Delimitación</w:t>
      </w:r>
      <w:r>
        <w:rPr>
          <w:spacing w:val="-3"/>
          <w:sz w:val="22"/>
        </w:rPr>
        <w:t> </w:t>
      </w:r>
      <w:r>
        <w:rPr>
          <w:sz w:val="22"/>
        </w:rPr>
        <w:t>temporal</w:t>
      </w:r>
    </w:p>
    <w:p>
      <w:pPr>
        <w:pStyle w:val="BodyText"/>
        <w:spacing w:before="10"/>
        <w:rPr>
          <w:sz w:val="21"/>
        </w:rPr>
      </w:pPr>
    </w:p>
    <w:p>
      <w:pPr>
        <w:pStyle w:val="BodyText"/>
        <w:ind w:left="101" w:right="115"/>
        <w:jc w:val="both"/>
      </w:pPr>
      <w:r>
        <w:rPr/>
        <w:t>De acuerdo con la información disponible de morbilidad y mortalidad, el periodo temporal  analizado es del 2000 al</w:t>
      </w:r>
      <w:r>
        <w:rPr>
          <w:spacing w:val="2"/>
        </w:rPr>
        <w:t> </w:t>
      </w:r>
      <w:r>
        <w:rPr/>
        <w:t>2006.</w:t>
      </w:r>
    </w:p>
    <w:p>
      <w:pPr>
        <w:pStyle w:val="BodyText"/>
      </w:pPr>
    </w:p>
    <w:p>
      <w:pPr>
        <w:pStyle w:val="ListParagraph"/>
        <w:numPr>
          <w:ilvl w:val="1"/>
          <w:numId w:val="2"/>
        </w:numPr>
        <w:tabs>
          <w:tab w:pos="487" w:val="left" w:leader="none"/>
        </w:tabs>
        <w:spacing w:line="240" w:lineRule="auto" w:before="0" w:after="0"/>
        <w:ind w:left="486" w:right="0" w:hanging="385"/>
        <w:jc w:val="both"/>
        <w:rPr>
          <w:sz w:val="22"/>
        </w:rPr>
      </w:pPr>
      <w:r>
        <w:rPr>
          <w:sz w:val="22"/>
        </w:rPr>
        <w:t>Los</w:t>
      </w:r>
      <w:r>
        <w:rPr>
          <w:spacing w:val="-5"/>
          <w:sz w:val="22"/>
        </w:rPr>
        <w:t> </w:t>
      </w:r>
      <w:r>
        <w:rPr>
          <w:sz w:val="22"/>
        </w:rPr>
        <w:t>datos</w:t>
      </w:r>
    </w:p>
    <w:p>
      <w:pPr>
        <w:pStyle w:val="BodyText"/>
        <w:spacing w:before="10"/>
        <w:rPr>
          <w:sz w:val="21"/>
        </w:rPr>
      </w:pPr>
    </w:p>
    <w:p>
      <w:pPr>
        <w:pStyle w:val="BodyText"/>
        <w:tabs>
          <w:tab w:pos="1059" w:val="left" w:leader="none"/>
          <w:tab w:pos="2151" w:val="left" w:leader="none"/>
          <w:tab w:pos="2988" w:val="left" w:leader="none"/>
          <w:tab w:pos="4580" w:val="left" w:leader="none"/>
          <w:tab w:pos="7988" w:val="left" w:leader="none"/>
        </w:tabs>
        <w:ind w:left="101" w:right="114"/>
        <w:jc w:val="both"/>
      </w:pPr>
      <w:r>
        <w:rPr/>
        <w:t>Los</w:t>
        <w:tab/>
        <w:t>datos</w:t>
        <w:tab/>
        <w:t>de</w:t>
        <w:tab/>
        <w:t>morbilidad</w:t>
        <w:tab/>
        <w:t>(</w:t>
      </w:r>
      <w:hyperlink r:id="rId15">
        <w:r>
          <w:rPr>
            <w:u w:val="single"/>
          </w:rPr>
          <w:t>http://sigsalud.insp.mx/naais/</w:t>
        </w:r>
        <w:r>
          <w:rPr/>
          <w:t>),</w:t>
        </w:r>
      </w:hyperlink>
      <w:r>
        <w:rPr/>
        <w:tab/>
      </w:r>
      <w:r>
        <w:rPr>
          <w:spacing w:val="-1"/>
        </w:rPr>
        <w:t>mortalidad </w:t>
      </w:r>
      <w:r>
        <w:rPr/>
        <w:t>(</w:t>
      </w:r>
      <w:hyperlink r:id="rId16">
        <w:r>
          <w:rPr>
            <w:u w:val="single"/>
          </w:rPr>
          <w:t>http://sinais.salud.gob.mx/basesdedatos/</w:t>
        </w:r>
        <w:r>
          <w:rPr/>
          <w:t>)</w:t>
        </w:r>
      </w:hyperlink>
      <w:r>
        <w:rPr/>
        <w:t> y población (</w:t>
      </w:r>
      <w:hyperlink r:id="rId17">
        <w:r>
          <w:rPr>
            <w:u w:val="single"/>
          </w:rPr>
          <w:t>http://www.inegi.gob.mx/inegi/</w:t>
        </w:r>
        <w:r>
          <w:rPr/>
          <w:t>)</w:t>
        </w:r>
      </w:hyperlink>
      <w:r>
        <w:rPr/>
        <w:t> se encuentran disponibles en formato tabular en los sitios oficiales de la secretaría de salud y el Instituto Nacional de Estadística e</w:t>
      </w:r>
      <w:r>
        <w:rPr>
          <w:spacing w:val="-34"/>
        </w:rPr>
        <w:t> </w:t>
      </w:r>
      <w:r>
        <w:rPr/>
        <w:t>Informática.</w:t>
      </w:r>
    </w:p>
    <w:p>
      <w:pPr>
        <w:pStyle w:val="BodyText"/>
        <w:ind w:left="101" w:right="114"/>
        <w:jc w:val="both"/>
      </w:pPr>
      <w:r>
        <w:rPr/>
        <w:t>Las zonas de riesgo de inundación se obtuvieron del Centro Nacional de Prevención de Desastres (CENAPRED - </w:t>
      </w:r>
      <w:hyperlink r:id="rId18">
        <w:r>
          <w:rPr/>
          <w:t>http://www.cenapred.unam.mx/es/)</w:t>
        </w:r>
      </w:hyperlink>
    </w:p>
    <w:p>
      <w:pPr>
        <w:pStyle w:val="BodyText"/>
        <w:ind w:left="101" w:right="117"/>
        <w:jc w:val="both"/>
      </w:pPr>
      <w:r>
        <w:rPr/>
        <w:t>La calidad de la información de las bases de datos geo-espaciales utilizadas cuenta con los estrictos procesos de control exigidos por las instituciones de los gobiernos Federal y Estatal.</w:t>
      </w:r>
    </w:p>
    <w:p>
      <w:pPr>
        <w:pStyle w:val="BodyText"/>
      </w:pPr>
    </w:p>
    <w:p>
      <w:pPr>
        <w:pStyle w:val="ListParagraph"/>
        <w:numPr>
          <w:ilvl w:val="1"/>
          <w:numId w:val="2"/>
        </w:numPr>
        <w:tabs>
          <w:tab w:pos="487" w:val="left" w:leader="none"/>
        </w:tabs>
        <w:spacing w:line="240" w:lineRule="auto" w:before="0" w:after="0"/>
        <w:ind w:left="486" w:right="0" w:hanging="385"/>
        <w:jc w:val="both"/>
        <w:rPr>
          <w:sz w:val="22"/>
        </w:rPr>
      </w:pPr>
      <w:r>
        <w:rPr>
          <w:sz w:val="22"/>
        </w:rPr>
        <w:t>Técnicas de</w:t>
      </w:r>
      <w:r>
        <w:rPr>
          <w:spacing w:val="-14"/>
          <w:sz w:val="22"/>
        </w:rPr>
        <w:t> </w:t>
      </w:r>
      <w:r>
        <w:rPr>
          <w:sz w:val="22"/>
        </w:rPr>
        <w:t>análisis</w:t>
      </w:r>
    </w:p>
    <w:p>
      <w:pPr>
        <w:pStyle w:val="BodyText"/>
      </w:pPr>
    </w:p>
    <w:p>
      <w:pPr>
        <w:spacing w:before="0"/>
        <w:ind w:left="101" w:right="0" w:firstLine="0"/>
        <w:jc w:val="both"/>
        <w:rPr>
          <w:i/>
          <w:sz w:val="22"/>
        </w:rPr>
      </w:pPr>
      <w:r>
        <w:rPr>
          <w:i/>
          <w:sz w:val="22"/>
        </w:rPr>
        <w:t>Estructuración de datos</w:t>
      </w:r>
    </w:p>
    <w:p>
      <w:pPr>
        <w:pStyle w:val="BodyText"/>
        <w:spacing w:before="10"/>
        <w:rPr>
          <w:i/>
          <w:sz w:val="21"/>
        </w:rPr>
      </w:pPr>
    </w:p>
    <w:p>
      <w:pPr>
        <w:pStyle w:val="BodyText"/>
        <w:ind w:left="101" w:right="115"/>
        <w:jc w:val="both"/>
      </w:pPr>
      <w:r>
        <w:rPr/>
        <w:t>Dado que la información de salud es proporcionada en bases de datos, el modelo conceptual de la salud parte de un análisis previo de la información disponible en morbilidad y mortalidad, así como en definir la reestructuración de las bases de datos fuente, de manera tal que puedan ser explotadas en un sistema de información geográfica.</w:t>
      </w:r>
    </w:p>
    <w:p>
      <w:pPr>
        <w:pStyle w:val="BodyText"/>
        <w:ind w:left="101" w:right="113"/>
        <w:jc w:val="both"/>
      </w:pPr>
      <w:r>
        <w:rPr/>
        <w:t>La estructura más apropiada (véase Figura 3) es considerar series temporales de la información en salud definiendo una base de datos para cada temporalidad, una tabla por enfermedad (k=1, k=2,……K), los campos siendo por grupo de edad (j=1, j=2,……J), y los renglones (i=1,  i=2,……I) vinculados a las unidades geográficas estudiadas (localidades, municipio). Para este proceso</w:t>
      </w:r>
      <w:r>
        <w:rPr>
          <w:spacing w:val="-4"/>
        </w:rPr>
        <w:t> </w:t>
      </w:r>
      <w:r>
        <w:rPr/>
        <w:t>de</w:t>
      </w:r>
      <w:r>
        <w:rPr>
          <w:spacing w:val="-4"/>
        </w:rPr>
        <w:t> </w:t>
      </w:r>
      <w:r>
        <w:rPr/>
        <w:t>estructuración</w:t>
      </w:r>
      <w:r>
        <w:rPr>
          <w:spacing w:val="-5"/>
        </w:rPr>
        <w:t> </w:t>
      </w:r>
      <w:r>
        <w:rPr/>
        <w:t>de</w:t>
      </w:r>
      <w:r>
        <w:rPr>
          <w:spacing w:val="-5"/>
        </w:rPr>
        <w:t> </w:t>
      </w:r>
      <w:r>
        <w:rPr/>
        <w:t>bases</w:t>
      </w:r>
      <w:r>
        <w:rPr>
          <w:spacing w:val="-4"/>
        </w:rPr>
        <w:t> </w:t>
      </w:r>
      <w:r>
        <w:rPr/>
        <w:t>de</w:t>
      </w:r>
      <w:r>
        <w:rPr>
          <w:spacing w:val="-4"/>
        </w:rPr>
        <w:t> </w:t>
      </w:r>
      <w:r>
        <w:rPr/>
        <w:t>datos</w:t>
      </w:r>
      <w:r>
        <w:rPr>
          <w:spacing w:val="-4"/>
        </w:rPr>
        <w:t> </w:t>
      </w:r>
      <w:r>
        <w:rPr/>
        <w:t>se</w:t>
      </w:r>
      <w:r>
        <w:rPr>
          <w:spacing w:val="-5"/>
        </w:rPr>
        <w:t> </w:t>
      </w:r>
      <w:r>
        <w:rPr/>
        <w:t>han</w:t>
      </w:r>
      <w:r>
        <w:rPr>
          <w:spacing w:val="-4"/>
        </w:rPr>
        <w:t> </w:t>
      </w:r>
      <w:r>
        <w:rPr/>
        <w:t>automatizado</w:t>
      </w:r>
      <w:r>
        <w:rPr>
          <w:spacing w:val="-4"/>
        </w:rPr>
        <w:t> </w:t>
      </w:r>
      <w:r>
        <w:rPr/>
        <w:t>los</w:t>
      </w:r>
      <w:r>
        <w:rPr>
          <w:spacing w:val="-4"/>
        </w:rPr>
        <w:t> </w:t>
      </w:r>
      <w:r>
        <w:rPr/>
        <w:t>procedimientos</w:t>
      </w:r>
      <w:r>
        <w:rPr>
          <w:spacing w:val="-4"/>
        </w:rPr>
        <w:t> </w:t>
      </w:r>
      <w:r>
        <w:rPr/>
        <w:t>requeridos.</w:t>
      </w:r>
    </w:p>
    <w:p>
      <w:pPr>
        <w:pStyle w:val="BodyText"/>
      </w:pPr>
    </w:p>
    <w:p>
      <w:pPr>
        <w:spacing w:before="0"/>
        <w:ind w:left="101" w:right="0" w:firstLine="0"/>
        <w:jc w:val="both"/>
        <w:rPr>
          <w:i/>
          <w:sz w:val="22"/>
        </w:rPr>
      </w:pPr>
      <w:r>
        <w:rPr>
          <w:i/>
          <w:sz w:val="22"/>
        </w:rPr>
        <w:t>Unidades espaciales de análisis de morbilidad y mortalidad</w:t>
      </w:r>
    </w:p>
    <w:p>
      <w:pPr>
        <w:pStyle w:val="BodyText"/>
        <w:spacing w:before="10"/>
        <w:rPr>
          <w:i/>
          <w:sz w:val="21"/>
        </w:rPr>
      </w:pPr>
    </w:p>
    <w:p>
      <w:pPr>
        <w:pStyle w:val="BodyText"/>
        <w:ind w:left="101" w:right="113"/>
        <w:jc w:val="both"/>
      </w:pPr>
      <w:r>
        <w:rPr/>
        <w:t>La información de salud se proceso de manera diferente de acuerdo con su resolución espacial. En el caso de la morbilidad, aunque las bases de datos son proporcionados a nivel de unidades medicas, sus coordenadas aún no se tienen disponibles para todas las ubicadas dentro de la cuenca Lerma- Chapala, por lo tanto se utilizaron los municipios como geo-referencia de la unidad espacial (Figura 4a). En el caso de la mortalidad, las bases de datos cuentan con las información a nivel de localidad de defunción de cada uno de los registros (véase Figura</w:t>
      </w:r>
      <w:r>
        <w:rPr>
          <w:spacing w:val="-37"/>
        </w:rPr>
        <w:t> </w:t>
      </w:r>
      <w:r>
        <w:rPr/>
        <w:t>4b).</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3"/>
        <w:rPr>
          <w:sz w:val="20"/>
        </w:rPr>
      </w:pPr>
    </w:p>
    <w:p>
      <w:pPr>
        <w:pStyle w:val="BodyText"/>
        <w:spacing w:before="72"/>
        <w:ind w:left="101" w:right="115"/>
        <w:jc w:val="both"/>
      </w:pPr>
      <w:r>
        <w:rPr/>
        <w:t>Del total de los municipios que conforman la cuenca Lerma-Chapala, 177 municipios y 8568 localidades no se encuentran en la intersección con las zonas de riesgo de inundación, mientras que 74 municipios y 1011 localidades sí lo están.</w:t>
      </w:r>
    </w:p>
    <w:p>
      <w:pPr>
        <w:pStyle w:val="BodyText"/>
        <w:ind w:left="101" w:right="116"/>
        <w:jc w:val="both"/>
      </w:pPr>
      <w:r>
        <w:rPr/>
        <w:t>La selección de las causas o grupos de causas se efectuó considerando la Clasificación Internacional de Enfermedades en su décima revisión CIE-10 (OPS, 2001).</w:t>
      </w:r>
    </w:p>
    <w:p>
      <w:pPr>
        <w:pStyle w:val="BodyText"/>
        <w:spacing w:before="2"/>
      </w:pPr>
    </w:p>
    <w:p>
      <w:pPr>
        <w:spacing w:before="1"/>
        <w:ind w:left="101" w:right="0" w:firstLine="0"/>
        <w:jc w:val="both"/>
        <w:rPr>
          <w:i/>
          <w:sz w:val="22"/>
        </w:rPr>
      </w:pPr>
      <w:r>
        <w:rPr>
          <w:i/>
          <w:sz w:val="22"/>
        </w:rPr>
        <w:t>Medidas de frecuencia</w:t>
      </w:r>
    </w:p>
    <w:p>
      <w:pPr>
        <w:pStyle w:val="BodyText"/>
        <w:spacing w:before="124"/>
        <w:ind w:left="101" w:right="116"/>
        <w:jc w:val="both"/>
      </w:pPr>
      <w:r>
        <w:rPr/>
        <w:t>Cuando se quiere estimar la probabilidad de ocurrencia de enfermar o de morir durante un año en específico, se puede recurrir al cálculo de la probabilidad, la cual incluye el número de eventos  entre la población expuesta al riesgo (Beaglehole,</w:t>
      </w:r>
      <w:r>
        <w:rPr>
          <w:spacing w:val="-37"/>
        </w:rPr>
        <w:t> </w:t>
      </w:r>
      <w:r>
        <w:rPr/>
        <w:t>2000).</w:t>
      </w:r>
    </w:p>
    <w:p>
      <w:pPr>
        <w:pStyle w:val="BodyText"/>
        <w:spacing w:before="10"/>
        <w:rPr>
          <w:sz w:val="15"/>
        </w:rPr>
      </w:pPr>
    </w:p>
    <w:p>
      <w:pPr>
        <w:spacing w:line="236" w:lineRule="exact" w:before="65"/>
        <w:ind w:left="335" w:right="152" w:firstLine="0"/>
        <w:jc w:val="center"/>
        <w:rPr>
          <w:rFonts w:ascii="Cambria"/>
          <w:sz w:val="16"/>
        </w:rPr>
      </w:pPr>
      <w:r>
        <w:rPr>
          <w:rFonts w:ascii="Cambria"/>
          <w:w w:val="135"/>
          <w:position w:val="5"/>
          <w:sz w:val="22"/>
        </w:rPr>
        <w:t>C</w:t>
      </w:r>
      <w:r>
        <w:rPr>
          <w:rFonts w:ascii="Cambria"/>
          <w:w w:val="135"/>
          <w:sz w:val="16"/>
        </w:rPr>
        <w:t>ij</w:t>
      </w:r>
    </w:p>
    <w:p>
      <w:pPr>
        <w:tabs>
          <w:tab w:pos="820" w:val="left" w:leader="none"/>
        </w:tabs>
        <w:spacing w:line="214" w:lineRule="exact" w:before="0"/>
        <w:ind w:left="0" w:right="24" w:firstLine="0"/>
        <w:jc w:val="center"/>
        <w:rPr>
          <w:rFonts w:ascii="Cambria"/>
          <w:sz w:val="22"/>
        </w:rPr>
      </w:pPr>
      <w:r>
        <w:rPr/>
        <w:pict>
          <v:line style="position:absolute;mso-position-horizontal-relative:page;mso-position-vertical-relative:paragraph;z-index:-48904" from="304.679993pt,4.367455pt" to="318.299993pt,4.367455pt" stroked="true" strokeweight=".72003pt" strokecolor="#000000">
            <w10:wrap type="none"/>
          </v:line>
        </w:pict>
      </w:r>
      <w:r>
        <w:rPr/>
        <w:pict>
          <v:shape style="position:absolute;margin-left:304.679993pt;margin-top:6.028228pt;width:6.35pt;height:11pt;mso-position-horizontal-relative:page;mso-position-vertical-relative:paragraph;z-index:-48856" type="#_x0000_t202" filled="false" stroked="false">
            <v:textbox inset="0,0,0,0">
              <w:txbxContent>
                <w:p>
                  <w:pPr>
                    <w:pStyle w:val="BodyText"/>
                    <w:spacing w:line="220" w:lineRule="exact"/>
                    <w:rPr>
                      <w:rFonts w:ascii="Cambria"/>
                    </w:rPr>
                  </w:pPr>
                  <w:r>
                    <w:rPr>
                      <w:rFonts w:ascii="Cambria"/>
                      <w:w w:val="102"/>
                    </w:rPr>
                    <w:t>n</w:t>
                  </w:r>
                </w:p>
              </w:txbxContent>
            </v:textbox>
            <w10:wrap type="none"/>
          </v:shape>
        </w:pict>
      </w:r>
      <w:r>
        <w:rPr>
          <w:rFonts w:ascii="Cambria"/>
          <w:spacing w:val="-9"/>
          <w:w w:val="130"/>
          <w:sz w:val="22"/>
        </w:rPr>
        <w:t>r</w:t>
      </w:r>
      <w:r>
        <w:rPr>
          <w:rFonts w:ascii="Cambria"/>
          <w:spacing w:val="-9"/>
          <w:w w:val="130"/>
          <w:position w:val="-4"/>
          <w:sz w:val="16"/>
        </w:rPr>
        <w:t>ij </w:t>
      </w:r>
      <w:r>
        <w:rPr>
          <w:rFonts w:ascii="Cambria"/>
          <w:spacing w:val="-5"/>
          <w:w w:val="130"/>
          <w:position w:val="-4"/>
          <w:sz w:val="16"/>
        </w:rPr>
        <w:t> </w:t>
      </w:r>
      <w:r>
        <w:rPr>
          <w:rFonts w:ascii="Cambria"/>
          <w:w w:val="130"/>
          <w:sz w:val="22"/>
        </w:rPr>
        <w:t>=</w:t>
        <w:tab/>
        <w:t>xF</w:t>
      </w:r>
    </w:p>
    <w:p>
      <w:pPr>
        <w:spacing w:line="165" w:lineRule="exact" w:before="0"/>
        <w:ind w:left="462" w:right="152" w:firstLine="0"/>
        <w:jc w:val="center"/>
        <w:rPr>
          <w:rFonts w:ascii="Cambria"/>
          <w:sz w:val="16"/>
        </w:rPr>
      </w:pPr>
      <w:r>
        <w:rPr>
          <w:rFonts w:ascii="Cambria"/>
          <w:w w:val="150"/>
          <w:sz w:val="16"/>
        </w:rPr>
        <w:t>ij</w:t>
      </w:r>
    </w:p>
    <w:p>
      <w:pPr>
        <w:pStyle w:val="BodyText"/>
        <w:spacing w:before="3"/>
        <w:rPr>
          <w:rFonts w:ascii="Cambria"/>
          <w:sz w:val="15"/>
        </w:rPr>
      </w:pPr>
    </w:p>
    <w:p>
      <w:pPr>
        <w:pStyle w:val="BodyText"/>
        <w:spacing w:line="254" w:lineRule="exact" w:before="74"/>
        <w:ind w:left="101" w:right="116"/>
        <w:jc w:val="both"/>
      </w:pPr>
      <w:r>
        <w:rPr/>
        <w:t>Siendo: r= Incidencia acumulada/probabilidad de morir, c= número de casos de enfermedad o defunción, n= población al inicio del periodo, F= Factor de multiplicación 10</w:t>
      </w:r>
      <w:r>
        <w:rPr>
          <w:position w:val="10"/>
          <w:sz w:val="14"/>
        </w:rPr>
        <w:t>n</w:t>
      </w:r>
      <w:r>
        <w:rPr/>
        <w:t>, i= Entidad espacial,  y j= Edades o grupos de</w:t>
      </w:r>
      <w:r>
        <w:rPr>
          <w:spacing w:val="-15"/>
        </w:rPr>
        <w:t> </w:t>
      </w:r>
      <w:r>
        <w:rPr/>
        <w:t>edad</w:t>
      </w:r>
    </w:p>
    <w:p>
      <w:pPr>
        <w:pStyle w:val="BodyText"/>
        <w:ind w:left="101" w:right="115"/>
        <w:jc w:val="both"/>
      </w:pPr>
      <w:r>
        <w:rPr/>
        <w:t>En consecuencia, la población para los años 2001 a 2004 y 2006 en la zona de estudio fue obtenida al proyectar la información de la población por el método geométrico.</w:t>
      </w:r>
    </w:p>
    <w:p>
      <w:pPr>
        <w:pStyle w:val="BodyText"/>
      </w:pPr>
    </w:p>
    <w:p>
      <w:pPr>
        <w:spacing w:before="129"/>
        <w:ind w:left="101" w:right="0" w:firstLine="0"/>
        <w:jc w:val="both"/>
        <w:rPr>
          <w:i/>
          <w:sz w:val="22"/>
        </w:rPr>
      </w:pPr>
      <w:r>
        <w:rPr>
          <w:i/>
          <w:sz w:val="22"/>
        </w:rPr>
        <w:t>Años de vida ajustados por discapacidad (AVAD)</w:t>
      </w:r>
    </w:p>
    <w:p>
      <w:pPr>
        <w:pStyle w:val="BodyText"/>
        <w:spacing w:before="7"/>
        <w:rPr>
          <w:i/>
          <w:sz w:val="31"/>
        </w:rPr>
      </w:pPr>
    </w:p>
    <w:p>
      <w:pPr>
        <w:pStyle w:val="BodyText"/>
        <w:ind w:left="101" w:right="114"/>
        <w:jc w:val="both"/>
      </w:pPr>
      <w:r>
        <w:rPr/>
        <w:t>Actualmente el Laboratorio de Hidrogeomática del Centro Interamericano de Recursos del Agua se ha dado a la tarea de facilitar la representación y el análisis espacio-temporal de aspectos de agua y salud, desarrollando una aplicación dentro del SIG Idrisi (Quentin, 2007; Gómez, 2007), mediante  la inclusión de nuevas opciones en el menú principal (véase Figura 5), incluyendo la ventana para el cálculo</w:t>
      </w:r>
      <w:r>
        <w:rPr>
          <w:spacing w:val="-4"/>
        </w:rPr>
        <w:t> </w:t>
      </w:r>
      <w:r>
        <w:rPr/>
        <w:t>de</w:t>
      </w:r>
      <w:r>
        <w:rPr>
          <w:spacing w:val="-4"/>
        </w:rPr>
        <w:t> </w:t>
      </w:r>
      <w:r>
        <w:rPr/>
        <w:t>incidencia</w:t>
      </w:r>
      <w:r>
        <w:rPr>
          <w:spacing w:val="-9"/>
        </w:rPr>
        <w:t> </w:t>
      </w:r>
      <w:r>
        <w:rPr/>
        <w:t>acumulada</w:t>
      </w:r>
      <w:r>
        <w:rPr>
          <w:spacing w:val="-6"/>
        </w:rPr>
        <w:t> </w:t>
      </w:r>
      <w:r>
        <w:rPr/>
        <w:t>y</w:t>
      </w:r>
      <w:r>
        <w:rPr>
          <w:spacing w:val="-3"/>
        </w:rPr>
        <w:t> </w:t>
      </w:r>
      <w:r>
        <w:rPr/>
        <w:t>la</w:t>
      </w:r>
      <w:r>
        <w:rPr>
          <w:spacing w:val="-5"/>
        </w:rPr>
        <w:t> </w:t>
      </w:r>
      <w:r>
        <w:rPr/>
        <w:t>carga</w:t>
      </w:r>
      <w:r>
        <w:rPr>
          <w:spacing w:val="-5"/>
        </w:rPr>
        <w:t> </w:t>
      </w:r>
      <w:r>
        <w:rPr/>
        <w:t>de</w:t>
      </w:r>
      <w:r>
        <w:rPr>
          <w:spacing w:val="-5"/>
        </w:rPr>
        <w:t> </w:t>
      </w:r>
      <w:r>
        <w:rPr/>
        <w:t>la</w:t>
      </w:r>
      <w:r>
        <w:rPr>
          <w:spacing w:val="-5"/>
        </w:rPr>
        <w:t> </w:t>
      </w:r>
      <w:r>
        <w:rPr/>
        <w:t>enfermedad</w:t>
      </w:r>
      <w:r>
        <w:rPr>
          <w:spacing w:val="-5"/>
        </w:rPr>
        <w:t> </w:t>
      </w:r>
      <w:r>
        <w:rPr/>
        <w:t>(véase</w:t>
      </w:r>
      <w:r>
        <w:rPr>
          <w:spacing w:val="-4"/>
        </w:rPr>
        <w:t> </w:t>
      </w:r>
      <w:r>
        <w:rPr/>
        <w:t>Figuras</w:t>
      </w:r>
      <w:r>
        <w:rPr>
          <w:spacing w:val="-5"/>
        </w:rPr>
        <w:t> </w:t>
      </w:r>
      <w:r>
        <w:rPr/>
        <w:t>6a</w:t>
      </w:r>
      <w:r>
        <w:rPr>
          <w:spacing w:val="-6"/>
        </w:rPr>
        <w:t> </w:t>
      </w:r>
      <w:r>
        <w:rPr/>
        <w:t>y</w:t>
      </w:r>
      <w:r>
        <w:rPr>
          <w:spacing w:val="-4"/>
        </w:rPr>
        <w:t> </w:t>
      </w:r>
      <w:r>
        <w:rPr/>
        <w:t>6b).</w:t>
      </w:r>
    </w:p>
    <w:p>
      <w:pPr>
        <w:pStyle w:val="BodyText"/>
        <w:ind w:left="101" w:right="117"/>
        <w:jc w:val="both"/>
      </w:pPr>
      <w:r>
        <w:rPr/>
        <w:t>Así, resulta adecuado presentar los resultados de la carga de la enfermedad (AVAD) como tasa, dividiendo los AVP y AVD entre el número de la población en riesgo.</w:t>
      </w:r>
    </w:p>
    <w:p>
      <w:pPr>
        <w:pStyle w:val="BodyText"/>
      </w:pPr>
    </w:p>
    <w:p>
      <w:pPr>
        <w:spacing w:before="0"/>
        <w:ind w:left="101" w:right="0" w:firstLine="0"/>
        <w:jc w:val="both"/>
        <w:rPr>
          <w:i/>
          <w:sz w:val="22"/>
        </w:rPr>
      </w:pPr>
      <w:r>
        <w:rPr>
          <w:i/>
          <w:sz w:val="22"/>
        </w:rPr>
        <w:t>Razón de incidencia acumulada o Riesgo Relativo</w:t>
      </w:r>
    </w:p>
    <w:p>
      <w:pPr>
        <w:pStyle w:val="BodyText"/>
        <w:spacing w:before="10"/>
        <w:rPr>
          <w:i/>
          <w:sz w:val="21"/>
        </w:rPr>
      </w:pPr>
    </w:p>
    <w:p>
      <w:pPr>
        <w:pStyle w:val="BodyText"/>
        <w:ind w:left="101" w:right="115"/>
        <w:jc w:val="both"/>
      </w:pPr>
      <w:r>
        <w:rPr/>
        <w:t>Esta medida es útil si se desea conocer la probabilidad de padecer una enfermedad en función de la exposición. Es así que, para una causa D asociada con un factor de Exposición E, el cálculo se presenta de la siguiente manera:</w:t>
      </w:r>
    </w:p>
    <w:p>
      <w:pPr>
        <w:pStyle w:val="BodyText"/>
        <w:rPr>
          <w:sz w:val="13"/>
        </w:rPr>
      </w:pPr>
    </w:p>
    <w:p>
      <w:pPr>
        <w:spacing w:after="0"/>
        <w:rPr>
          <w:sz w:val="13"/>
        </w:rPr>
        <w:sectPr>
          <w:pgSz w:w="12240" w:h="15840"/>
          <w:pgMar w:header="0" w:footer="1185" w:top="1500" w:bottom="1380" w:left="1600" w:right="1580"/>
        </w:sectPr>
      </w:pPr>
    </w:p>
    <w:p>
      <w:pPr>
        <w:pStyle w:val="BodyText"/>
        <w:spacing w:before="3"/>
        <w:rPr>
          <w:sz w:val="21"/>
        </w:rPr>
      </w:pPr>
    </w:p>
    <w:p>
      <w:pPr>
        <w:pStyle w:val="BodyText"/>
        <w:spacing w:before="1"/>
        <w:jc w:val="right"/>
        <w:rPr>
          <w:rFonts w:ascii="Cambria"/>
        </w:rPr>
      </w:pPr>
      <w:r>
        <w:rPr/>
        <w:pict>
          <v:line style="position:absolute;mso-position-horizontal-relative:page;mso-position-vertical-relative:paragraph;z-index:-48880" from="301.320007pt,7.322147pt" to="339.540007pt,7.322147pt" stroked="true" strokeweight=".72pt" strokecolor="#000000">
            <w10:wrap type="none"/>
          </v:line>
        </w:pict>
      </w:r>
      <w:r>
        <w:rPr>
          <w:rFonts w:ascii="Cambria"/>
          <w:w w:val="120"/>
        </w:rPr>
        <w:t>RR =</w:t>
      </w:r>
    </w:p>
    <w:p>
      <w:pPr>
        <w:pStyle w:val="BodyText"/>
        <w:spacing w:line="320" w:lineRule="atLeast" w:before="16"/>
        <w:ind w:left="21" w:right="3851"/>
        <w:rPr>
          <w:rFonts w:ascii="Cambria" w:hAnsi="Cambria"/>
        </w:rPr>
      </w:pPr>
      <w:r>
        <w:rPr/>
        <w:br w:type="column"/>
      </w:r>
      <w:r>
        <w:rPr>
          <w:rFonts w:ascii="Cambria" w:hAnsi="Cambria"/>
          <w:spacing w:val="2"/>
          <w:w w:val="115"/>
        </w:rPr>
        <w:t>P</w:t>
      </w:r>
      <w:r>
        <w:rPr>
          <w:rFonts w:ascii="Cambria" w:hAnsi="Cambria"/>
          <w:spacing w:val="2"/>
          <w:w w:val="115"/>
          <w:position w:val="1"/>
        </w:rPr>
        <w:t>(</w:t>
      </w:r>
      <w:r>
        <w:rPr>
          <w:rFonts w:ascii="Cambria" w:hAnsi="Cambria"/>
          <w:spacing w:val="2"/>
          <w:w w:val="115"/>
        </w:rPr>
        <w:t>DIE</w:t>
      </w:r>
      <w:r>
        <w:rPr>
          <w:rFonts w:ascii="Cambria" w:hAnsi="Cambria"/>
          <w:spacing w:val="2"/>
          <w:w w:val="115"/>
          <w:position w:val="1"/>
        </w:rPr>
        <w:t>) </w:t>
      </w:r>
      <w:r>
        <w:rPr>
          <w:rFonts w:ascii="Cambria" w:hAnsi="Cambria"/>
          <w:spacing w:val="5"/>
          <w:w w:val="108"/>
        </w:rPr>
        <w:t>P</w:t>
      </w:r>
      <w:r>
        <w:rPr>
          <w:rFonts w:ascii="Cambria" w:hAnsi="Cambria"/>
          <w:w w:val="108"/>
          <w:position w:val="1"/>
        </w:rPr>
        <w:t>(</w:t>
      </w:r>
      <w:r>
        <w:rPr>
          <w:rFonts w:ascii="Cambria" w:hAnsi="Cambria"/>
          <w:w w:val="135"/>
        </w:rPr>
        <w:t>DI</w:t>
      </w:r>
      <w:r>
        <w:rPr>
          <w:rFonts w:ascii="Cambria" w:hAnsi="Cambria"/>
          <w:spacing w:val="-99"/>
          <w:w w:val="108"/>
        </w:rPr>
        <w:t>E</w:t>
      </w:r>
      <w:r>
        <w:rPr>
          <w:rFonts w:ascii="Cambria" w:hAnsi="Cambria"/>
          <w:spacing w:val="13"/>
          <w:w w:val="150"/>
          <w:position w:val="4"/>
        </w:rPr>
        <w:t>¯</w:t>
      </w:r>
      <w:r>
        <w:rPr>
          <w:rFonts w:ascii="Cambria" w:hAnsi="Cambria"/>
          <w:w w:val="108"/>
          <w:position w:val="1"/>
        </w:rPr>
        <w:t>)</w:t>
      </w:r>
    </w:p>
    <w:p>
      <w:pPr>
        <w:spacing w:after="0" w:line="320" w:lineRule="atLeast"/>
        <w:rPr>
          <w:rFonts w:ascii="Cambria" w:hAnsi="Cambria"/>
        </w:rPr>
        <w:sectPr>
          <w:type w:val="continuous"/>
          <w:pgSz w:w="12240" w:h="15840"/>
          <w:pgMar w:top="1500" w:bottom="1120" w:left="1600" w:right="1580"/>
          <w:cols w:num="2" w:equalWidth="0">
            <w:col w:w="4365" w:space="40"/>
            <w:col w:w="4655"/>
          </w:cols>
        </w:sectPr>
      </w:pPr>
    </w:p>
    <w:p>
      <w:pPr>
        <w:pStyle w:val="BodyText"/>
        <w:spacing w:line="252" w:lineRule="exact" w:before="5"/>
        <w:ind w:left="101" w:right="346"/>
      </w:pPr>
      <w:r>
        <w:rPr>
          <w:spacing w:val="-1"/>
          <w:w w:val="100"/>
        </w:rPr>
        <w:t>Siendo</w:t>
      </w:r>
      <w:r>
        <w:rPr>
          <w:w w:val="100"/>
        </w:rPr>
        <w:t>:</w:t>
      </w:r>
      <w:r>
        <w:rPr/>
        <w:t> </w:t>
      </w:r>
      <w:r>
        <w:rPr>
          <w:w w:val="100"/>
        </w:rPr>
        <w:t>P</w:t>
      </w:r>
      <w:r>
        <w:rPr/>
        <w:t> </w:t>
      </w:r>
      <w:r>
        <w:rPr>
          <w:spacing w:val="-1"/>
          <w:w w:val="100"/>
        </w:rPr>
        <w:t>(</w:t>
      </w:r>
      <w:r>
        <w:rPr>
          <w:spacing w:val="-2"/>
          <w:w w:val="100"/>
        </w:rPr>
        <w:t>D</w:t>
      </w:r>
      <w:r>
        <w:rPr>
          <w:rFonts w:ascii="Cambria" w:hAnsi="Cambria"/>
          <w:w w:val="197"/>
        </w:rPr>
        <w:t>I</w:t>
      </w:r>
      <w:r>
        <w:rPr>
          <w:rFonts w:ascii="Cambria" w:hAnsi="Cambria"/>
        </w:rPr>
        <w:t> </w:t>
      </w:r>
      <w:r>
        <w:rPr>
          <w:spacing w:val="-1"/>
          <w:w w:val="100"/>
        </w:rPr>
        <w:t>E</w:t>
      </w:r>
      <w:r>
        <w:rPr>
          <w:w w:val="100"/>
        </w:rPr>
        <w:t>)</w:t>
      </w:r>
      <w:r>
        <w:rPr/>
        <w:t> </w:t>
      </w:r>
      <w:r>
        <w:rPr>
          <w:w w:val="100"/>
        </w:rPr>
        <w:t>=</w:t>
      </w:r>
      <w:r>
        <w:rPr/>
        <w:t> </w:t>
      </w:r>
      <w:r>
        <w:rPr>
          <w:spacing w:val="-1"/>
          <w:w w:val="100"/>
        </w:rPr>
        <w:t>Incidenci</w:t>
      </w:r>
      <w:r>
        <w:rPr>
          <w:w w:val="100"/>
        </w:rPr>
        <w:t>a</w:t>
      </w:r>
      <w:r>
        <w:rPr/>
        <w:t> </w:t>
      </w:r>
      <w:r>
        <w:rPr>
          <w:spacing w:val="-1"/>
          <w:w w:val="100"/>
        </w:rPr>
        <w:t>ac</w:t>
      </w:r>
      <w:r>
        <w:rPr>
          <w:spacing w:val="1"/>
          <w:w w:val="100"/>
        </w:rPr>
        <w:t>u</w:t>
      </w:r>
      <w:r>
        <w:rPr>
          <w:spacing w:val="-3"/>
          <w:w w:val="100"/>
        </w:rPr>
        <w:t>m</w:t>
      </w:r>
      <w:r>
        <w:rPr>
          <w:w w:val="100"/>
        </w:rPr>
        <w:t>u</w:t>
      </w:r>
      <w:r>
        <w:rPr>
          <w:spacing w:val="-1"/>
          <w:w w:val="100"/>
        </w:rPr>
        <w:t>lad</w:t>
      </w:r>
      <w:r>
        <w:rPr>
          <w:w w:val="100"/>
        </w:rPr>
        <w:t>a</w:t>
      </w:r>
      <w:r>
        <w:rPr/>
        <w:t> </w:t>
      </w:r>
      <w:r>
        <w:rPr>
          <w:spacing w:val="-1"/>
          <w:w w:val="100"/>
        </w:rPr>
        <w:t>e</w:t>
      </w:r>
      <w:r>
        <w:rPr>
          <w:w w:val="100"/>
        </w:rPr>
        <w:t>n</w:t>
      </w:r>
      <w:r>
        <w:rPr/>
        <w:t> </w:t>
      </w:r>
      <w:r>
        <w:rPr>
          <w:spacing w:val="-1"/>
          <w:w w:val="100"/>
        </w:rPr>
        <w:t>expuesto</w:t>
      </w:r>
      <w:r>
        <w:rPr>
          <w:w w:val="100"/>
        </w:rPr>
        <w:t>,</w:t>
      </w:r>
      <w:r>
        <w:rPr/>
        <w:t> </w:t>
      </w:r>
      <w:r>
        <w:rPr>
          <w:w w:val="100"/>
        </w:rPr>
        <w:t>y</w:t>
      </w:r>
      <w:r>
        <w:rPr/>
        <w:t> </w:t>
      </w:r>
      <w:r>
        <w:rPr>
          <w:w w:val="100"/>
        </w:rPr>
        <w:t>P</w:t>
      </w:r>
      <w:r>
        <w:rPr/>
        <w:t> </w:t>
      </w:r>
      <w:r>
        <w:rPr>
          <w:spacing w:val="-1"/>
          <w:w w:val="100"/>
        </w:rPr>
        <w:t>(</w:t>
      </w:r>
      <w:r>
        <w:rPr>
          <w:spacing w:val="-2"/>
          <w:w w:val="100"/>
        </w:rPr>
        <w:t>D</w:t>
      </w:r>
      <w:r>
        <w:rPr>
          <w:rFonts w:ascii="Cambria" w:hAnsi="Cambria"/>
          <w:w w:val="197"/>
        </w:rPr>
        <w:t>I</w:t>
      </w:r>
      <w:r>
        <w:rPr>
          <w:rFonts w:ascii="Cambria" w:hAnsi="Cambria"/>
        </w:rPr>
        <w:t> </w:t>
      </w:r>
      <w:r>
        <w:rPr>
          <w:rFonts w:ascii="Cambria" w:hAnsi="Cambria"/>
          <w:spacing w:val="-99"/>
          <w:w w:val="108"/>
        </w:rPr>
        <w:t>E</w:t>
      </w:r>
      <w:r>
        <w:rPr>
          <w:rFonts w:ascii="Cambria" w:hAnsi="Cambria"/>
          <w:spacing w:val="13"/>
          <w:w w:val="150"/>
          <w:position w:val="4"/>
        </w:rPr>
        <w:t>¯</w:t>
      </w:r>
      <w:r>
        <w:rPr>
          <w:w w:val="100"/>
        </w:rPr>
        <w:t>)</w:t>
      </w:r>
      <w:r>
        <w:rPr/>
        <w:t> </w:t>
      </w:r>
      <w:r>
        <w:rPr>
          <w:w w:val="100"/>
        </w:rPr>
        <w:t>=</w:t>
      </w:r>
      <w:r>
        <w:rPr/>
        <w:t> </w:t>
      </w:r>
      <w:r>
        <w:rPr>
          <w:spacing w:val="-1"/>
          <w:w w:val="100"/>
        </w:rPr>
        <w:t>Incidenci</w:t>
      </w:r>
      <w:r>
        <w:rPr>
          <w:w w:val="100"/>
        </w:rPr>
        <w:t>a</w:t>
      </w:r>
      <w:r>
        <w:rPr/>
        <w:t> </w:t>
      </w:r>
      <w:r>
        <w:rPr>
          <w:spacing w:val="-1"/>
          <w:w w:val="100"/>
        </w:rPr>
        <w:t>ac</w:t>
      </w:r>
      <w:r>
        <w:rPr>
          <w:spacing w:val="1"/>
          <w:w w:val="100"/>
        </w:rPr>
        <w:t>u</w:t>
      </w:r>
      <w:r>
        <w:rPr>
          <w:spacing w:val="-3"/>
          <w:w w:val="100"/>
        </w:rPr>
        <w:t>m</w:t>
      </w:r>
      <w:r>
        <w:rPr>
          <w:w w:val="100"/>
        </w:rPr>
        <w:t>u</w:t>
      </w:r>
      <w:r>
        <w:rPr>
          <w:spacing w:val="-1"/>
          <w:w w:val="100"/>
        </w:rPr>
        <w:t>lad</w:t>
      </w:r>
      <w:r>
        <w:rPr>
          <w:w w:val="100"/>
        </w:rPr>
        <w:t>a</w:t>
      </w:r>
      <w:r>
        <w:rPr/>
        <w:t> </w:t>
      </w:r>
      <w:r>
        <w:rPr>
          <w:spacing w:val="-1"/>
          <w:w w:val="100"/>
        </w:rPr>
        <w:t>e</w:t>
      </w:r>
      <w:r>
        <w:rPr>
          <w:w w:val="100"/>
        </w:rPr>
        <w:t>n</w:t>
      </w:r>
      <w:r>
        <w:rPr/>
        <w:t> </w:t>
      </w:r>
      <w:r>
        <w:rPr>
          <w:spacing w:val="-1"/>
          <w:w w:val="100"/>
        </w:rPr>
        <w:t>no </w:t>
      </w:r>
      <w:r>
        <w:rPr>
          <w:w w:val="110"/>
        </w:rPr>
        <w:t>expuestos.</w:t>
      </w:r>
    </w:p>
    <w:p>
      <w:pPr>
        <w:pStyle w:val="BodyText"/>
        <w:rPr>
          <w:sz w:val="23"/>
        </w:rPr>
      </w:pPr>
    </w:p>
    <w:p>
      <w:pPr>
        <w:pStyle w:val="BodyText"/>
        <w:spacing w:line="252" w:lineRule="exact"/>
        <w:ind w:left="101" w:right="346"/>
      </w:pPr>
      <w:r>
        <w:rPr>
          <w:spacing w:val="-1"/>
          <w:w w:val="100"/>
        </w:rPr>
        <w:t>Cuand</w:t>
      </w:r>
      <w:r>
        <w:rPr>
          <w:w w:val="100"/>
        </w:rPr>
        <w:t>o</w:t>
      </w:r>
      <w:r>
        <w:rPr/>
        <w:t> </w:t>
      </w:r>
      <w:r>
        <w:rPr>
          <w:spacing w:val="-1"/>
          <w:w w:val="100"/>
        </w:rPr>
        <w:t>RR=</w:t>
      </w:r>
      <w:r>
        <w:rPr>
          <w:w w:val="100"/>
        </w:rPr>
        <w:t>1</w:t>
      </w:r>
      <w:r>
        <w:rPr/>
        <w:t> </w:t>
      </w:r>
      <w:r>
        <w:rPr>
          <w:spacing w:val="-1"/>
          <w:w w:val="100"/>
        </w:rPr>
        <w:t>s</w:t>
      </w:r>
      <w:r>
        <w:rPr>
          <w:w w:val="100"/>
        </w:rPr>
        <w:t>e</w:t>
      </w:r>
      <w:r>
        <w:rPr/>
        <w:t> </w:t>
      </w:r>
      <w:r>
        <w:rPr>
          <w:spacing w:val="-1"/>
          <w:w w:val="100"/>
        </w:rPr>
        <w:t>dic</w:t>
      </w:r>
      <w:r>
        <w:rPr>
          <w:w w:val="100"/>
        </w:rPr>
        <w:t>e</w:t>
      </w:r>
      <w:r>
        <w:rPr/>
        <w:t> </w:t>
      </w:r>
      <w:r>
        <w:rPr>
          <w:spacing w:val="-1"/>
          <w:w w:val="100"/>
        </w:rPr>
        <w:t>qu</w:t>
      </w:r>
      <w:r>
        <w:rPr>
          <w:w w:val="100"/>
        </w:rPr>
        <w:t>e</w:t>
      </w:r>
      <w:r>
        <w:rPr/>
        <w:t> </w:t>
      </w:r>
      <w:r>
        <w:rPr>
          <w:w w:val="100"/>
        </w:rPr>
        <w:t>P</w:t>
      </w:r>
      <w:r>
        <w:rPr/>
        <w:t> </w:t>
      </w:r>
      <w:r>
        <w:rPr>
          <w:spacing w:val="-1"/>
          <w:w w:val="100"/>
        </w:rPr>
        <w:t>(</w:t>
      </w:r>
      <w:r>
        <w:rPr>
          <w:spacing w:val="-2"/>
          <w:w w:val="100"/>
        </w:rPr>
        <w:t>D</w:t>
      </w:r>
      <w:r>
        <w:rPr>
          <w:rFonts w:ascii="Cambria" w:hAnsi="Cambria"/>
          <w:w w:val="197"/>
        </w:rPr>
        <w:t>I</w:t>
      </w:r>
      <w:r>
        <w:rPr>
          <w:rFonts w:ascii="Cambria" w:hAnsi="Cambria"/>
        </w:rPr>
        <w:t>  </w:t>
      </w:r>
      <w:r>
        <w:rPr>
          <w:spacing w:val="-1"/>
          <w:w w:val="100"/>
        </w:rPr>
        <w:t>E</w:t>
      </w:r>
      <w:r>
        <w:rPr>
          <w:w w:val="100"/>
        </w:rPr>
        <w:t>)</w:t>
      </w:r>
      <w:r>
        <w:rPr/>
        <w:t> </w:t>
      </w:r>
      <w:r>
        <w:rPr>
          <w:w w:val="100"/>
        </w:rPr>
        <w:t>=</w:t>
      </w:r>
      <w:r>
        <w:rPr/>
        <w:t> </w:t>
      </w:r>
      <w:r>
        <w:rPr>
          <w:w w:val="100"/>
        </w:rPr>
        <w:t>P</w:t>
      </w:r>
      <w:r>
        <w:rPr/>
        <w:t> </w:t>
      </w:r>
      <w:r>
        <w:rPr>
          <w:spacing w:val="-1"/>
          <w:w w:val="100"/>
        </w:rPr>
        <w:t>(D</w:t>
      </w:r>
      <w:r>
        <w:rPr>
          <w:rFonts w:ascii="Cambria" w:hAnsi="Cambria"/>
          <w:w w:val="197"/>
        </w:rPr>
        <w:t>I</w:t>
      </w:r>
      <w:r>
        <w:rPr>
          <w:rFonts w:ascii="Cambria" w:hAnsi="Cambria"/>
        </w:rPr>
        <w:t>  </w:t>
      </w:r>
      <w:r>
        <w:rPr>
          <w:rFonts w:ascii="Cambria" w:hAnsi="Cambria"/>
          <w:spacing w:val="-99"/>
          <w:w w:val="108"/>
        </w:rPr>
        <w:t>E</w:t>
      </w:r>
      <w:r>
        <w:rPr>
          <w:rFonts w:ascii="Cambria" w:hAnsi="Cambria"/>
          <w:spacing w:val="13"/>
          <w:w w:val="150"/>
          <w:position w:val="4"/>
        </w:rPr>
        <w:t>¯</w:t>
      </w:r>
      <w:r>
        <w:rPr>
          <w:w w:val="100"/>
        </w:rPr>
        <w:t>)</w:t>
      </w:r>
      <w:r>
        <w:rPr/>
        <w:t> </w:t>
      </w:r>
      <w:r>
        <w:rPr>
          <w:spacing w:val="-1"/>
          <w:w w:val="100"/>
        </w:rPr>
        <w:t>e</w:t>
      </w:r>
      <w:r>
        <w:rPr>
          <w:w w:val="100"/>
        </w:rPr>
        <w:t>s</w:t>
      </w:r>
      <w:r>
        <w:rPr/>
        <w:t> </w:t>
      </w:r>
      <w:r>
        <w:rPr>
          <w:spacing w:val="-1"/>
          <w:w w:val="100"/>
        </w:rPr>
        <w:t>deci</w:t>
      </w:r>
      <w:r>
        <w:rPr>
          <w:w w:val="100"/>
        </w:rPr>
        <w:t>r</w:t>
      </w:r>
      <w:r>
        <w:rPr/>
        <w:t> </w:t>
      </w:r>
      <w:r>
        <w:rPr>
          <w:spacing w:val="-1"/>
          <w:w w:val="100"/>
        </w:rPr>
        <w:t>qu</w:t>
      </w:r>
      <w:r>
        <w:rPr>
          <w:w w:val="100"/>
        </w:rPr>
        <w:t>e</w:t>
      </w:r>
      <w:r>
        <w:rPr/>
        <w:t> </w:t>
      </w:r>
      <w:r>
        <w:rPr>
          <w:spacing w:val="-1"/>
          <w:w w:val="100"/>
        </w:rPr>
        <w:t>h</w:t>
      </w:r>
      <w:r>
        <w:rPr>
          <w:spacing w:val="-2"/>
          <w:w w:val="100"/>
        </w:rPr>
        <w:t>a</w:t>
      </w:r>
      <w:r>
        <w:rPr>
          <w:w w:val="100"/>
        </w:rPr>
        <w:t>y</w:t>
      </w:r>
      <w:r>
        <w:rPr/>
        <w:t> </w:t>
      </w:r>
      <w:r>
        <w:rPr>
          <w:spacing w:val="-1"/>
          <w:w w:val="100"/>
        </w:rPr>
        <w:t>un</w:t>
      </w:r>
      <w:r>
        <w:rPr>
          <w:w w:val="100"/>
        </w:rPr>
        <w:t>a</w:t>
      </w:r>
      <w:r>
        <w:rPr/>
        <w:t> </w:t>
      </w:r>
      <w:r>
        <w:rPr>
          <w:spacing w:val="-1"/>
          <w:w w:val="100"/>
        </w:rPr>
        <w:t>asociació</w:t>
      </w:r>
      <w:r>
        <w:rPr>
          <w:w w:val="100"/>
        </w:rPr>
        <w:t>n</w:t>
      </w:r>
      <w:r>
        <w:rPr/>
        <w:t> </w:t>
      </w:r>
      <w:r>
        <w:rPr>
          <w:spacing w:val="-1"/>
          <w:w w:val="100"/>
        </w:rPr>
        <w:t>nul</w:t>
      </w:r>
      <w:r>
        <w:rPr>
          <w:w w:val="100"/>
        </w:rPr>
        <w:t>a</w:t>
      </w:r>
      <w:r>
        <w:rPr/>
        <w:t> </w:t>
      </w:r>
      <w:r>
        <w:rPr>
          <w:w w:val="100"/>
        </w:rPr>
        <w:t>o</w:t>
      </w:r>
      <w:r>
        <w:rPr/>
        <w:t> </w:t>
      </w:r>
      <w:r>
        <w:rPr>
          <w:spacing w:val="-1"/>
          <w:w w:val="100"/>
        </w:rPr>
        <w:t>qu</w:t>
      </w:r>
      <w:r>
        <w:rPr>
          <w:w w:val="100"/>
        </w:rPr>
        <w:t>e</w:t>
      </w:r>
      <w:r>
        <w:rPr/>
        <w:t> </w:t>
      </w:r>
      <w:r>
        <w:rPr>
          <w:spacing w:val="-1"/>
          <w:w w:val="100"/>
        </w:rPr>
        <w:t>son </w:t>
      </w:r>
      <w:r>
        <w:rPr>
          <w:w w:val="110"/>
        </w:rPr>
        <w:t>independientes.</w:t>
      </w:r>
    </w:p>
    <w:p>
      <w:pPr>
        <w:spacing w:after="0" w:line="252" w:lineRule="exact"/>
        <w:sectPr>
          <w:type w:val="continuous"/>
          <w:pgSz w:w="12240" w:h="15840"/>
          <w:pgMar w:top="1500" w:bottom="1120" w:left="1600" w:right="1580"/>
        </w:sectPr>
      </w:pPr>
    </w:p>
    <w:p>
      <w:pPr>
        <w:pStyle w:val="BodyText"/>
        <w:rPr>
          <w:sz w:val="20"/>
        </w:rPr>
      </w:pPr>
    </w:p>
    <w:p>
      <w:pPr>
        <w:pStyle w:val="BodyText"/>
        <w:rPr>
          <w:sz w:val="20"/>
        </w:rPr>
      </w:pPr>
    </w:p>
    <w:p>
      <w:pPr>
        <w:pStyle w:val="BodyText"/>
        <w:spacing w:before="3"/>
        <w:rPr>
          <w:sz w:val="20"/>
        </w:rPr>
      </w:pPr>
    </w:p>
    <w:p>
      <w:pPr>
        <w:pStyle w:val="BodyText"/>
        <w:spacing w:before="72"/>
        <w:ind w:left="101" w:right="116"/>
        <w:jc w:val="both"/>
      </w:pPr>
      <w:r>
        <w:rPr/>
        <w:t>Cuando RR&gt;1 se dice que es riesgo de enfermar es mayor en los expuestos que en los no expuestos y al inverso cuando RR&lt;1.</w:t>
      </w:r>
    </w:p>
    <w:p>
      <w:pPr>
        <w:pStyle w:val="BodyText"/>
      </w:pPr>
    </w:p>
    <w:p>
      <w:pPr>
        <w:spacing w:before="0"/>
        <w:ind w:left="101" w:right="0" w:firstLine="0"/>
        <w:jc w:val="both"/>
        <w:rPr>
          <w:i/>
          <w:sz w:val="22"/>
        </w:rPr>
      </w:pPr>
      <w:r>
        <w:rPr>
          <w:i/>
          <w:sz w:val="22"/>
        </w:rPr>
        <w:t>Representación espacial por zonas de riesgo</w:t>
      </w:r>
    </w:p>
    <w:p>
      <w:pPr>
        <w:pStyle w:val="BodyText"/>
        <w:spacing w:before="10"/>
        <w:rPr>
          <w:i/>
          <w:sz w:val="21"/>
        </w:rPr>
      </w:pPr>
    </w:p>
    <w:p>
      <w:pPr>
        <w:pStyle w:val="BodyText"/>
        <w:ind w:left="101" w:right="115"/>
        <w:jc w:val="both"/>
      </w:pPr>
      <w:r>
        <w:rPr/>
        <w:t>Una vez obtenidos los datos por cada unidad espacial (municipios y localidades), se extrajeron los números de casos y la población de manera anual para cada zona (véase Figura 7).</w:t>
      </w:r>
    </w:p>
    <w:p>
      <w:pPr>
        <w:pStyle w:val="BodyText"/>
        <w:spacing w:before="1"/>
      </w:pPr>
    </w:p>
    <w:p>
      <w:pPr>
        <w:pStyle w:val="Heading1"/>
        <w:numPr>
          <w:ilvl w:val="0"/>
          <w:numId w:val="1"/>
        </w:numPr>
        <w:tabs>
          <w:tab w:pos="322" w:val="left" w:leader="none"/>
        </w:tabs>
        <w:spacing w:line="240" w:lineRule="auto" w:before="0" w:after="0"/>
        <w:ind w:left="321" w:right="0" w:hanging="220"/>
        <w:jc w:val="both"/>
      </w:pPr>
      <w:r>
        <w:rPr/>
        <w:t>Descripción y análisis de</w:t>
      </w:r>
      <w:r>
        <w:rPr>
          <w:spacing w:val="-5"/>
        </w:rPr>
        <w:t> </w:t>
      </w:r>
      <w:r>
        <w:rPr/>
        <w:t>resultados</w:t>
      </w:r>
    </w:p>
    <w:p>
      <w:pPr>
        <w:pStyle w:val="BodyText"/>
        <w:spacing w:before="10"/>
        <w:rPr>
          <w:b/>
          <w:sz w:val="21"/>
        </w:rPr>
      </w:pPr>
    </w:p>
    <w:p>
      <w:pPr>
        <w:spacing w:before="0"/>
        <w:ind w:left="101" w:right="0" w:firstLine="0"/>
        <w:jc w:val="both"/>
        <w:rPr>
          <w:i/>
          <w:sz w:val="22"/>
        </w:rPr>
      </w:pPr>
      <w:r>
        <w:rPr>
          <w:i/>
          <w:sz w:val="22"/>
        </w:rPr>
        <w:t>4.1 Análisis de enfermedades</w:t>
      </w:r>
    </w:p>
    <w:p>
      <w:pPr>
        <w:pStyle w:val="BodyText"/>
        <w:spacing w:before="10"/>
        <w:rPr>
          <w:i/>
          <w:sz w:val="21"/>
        </w:rPr>
      </w:pPr>
    </w:p>
    <w:p>
      <w:pPr>
        <w:pStyle w:val="BodyText"/>
        <w:ind w:left="101" w:right="115"/>
        <w:jc w:val="both"/>
      </w:pPr>
      <w:r>
        <w:rPr/>
        <w:t>Como resultados de la estructuración de las geo-bases de datos de morbilidad, y mortalidad, únicamente se analizaron la hepatitis A, y el grupo de infecciones intestinales, dado que el número de casos para víctimas por inundación y dengue no fueron suficientes.</w:t>
      </w:r>
    </w:p>
    <w:p>
      <w:pPr>
        <w:pStyle w:val="BodyText"/>
        <w:ind w:left="101" w:right="114"/>
        <w:jc w:val="both"/>
      </w:pPr>
      <w:r>
        <w:rPr/>
        <w:t>En la siguiente tabla se presentan los resultados generados de la extracción del número de casos y defunciones presentadas en las zonas de estudio para el periodo 2000-2006. Así como los resultados del cálculo de la incidencia acumulada (morbilidad) y la probabilidad de morir (mortalidad).</w:t>
      </w:r>
    </w:p>
    <w:p>
      <w:pPr>
        <w:pStyle w:val="BodyText"/>
        <w:ind w:left="101" w:right="113"/>
        <w:jc w:val="both"/>
      </w:pPr>
      <w:r>
        <w:rPr/>
        <w:t>Como se puede observar en la Tabla 3, los resultados que marcan la diferencia entre las zonas de riesgo de inundación es la incidencia acumulada, mientras que para la probabilidad  de  morir excepto en el 2005. Para los demás años analizados los resultados muestran una probabilidad de muerte más elevada en las zonas sin riesgo, esto puede deberse al registro de las defunciones para las cuales no se le da seguimiento espacial de la enfermedad, y aún cuando la causa haya sido el factor de riesgo, la defunción se registra fuera de esta</w:t>
      </w:r>
      <w:r>
        <w:rPr>
          <w:spacing w:val="-38"/>
        </w:rPr>
        <w:t> </w:t>
      </w:r>
      <w:r>
        <w:rPr/>
        <w:t>zona.</w:t>
      </w:r>
    </w:p>
    <w:p>
      <w:pPr>
        <w:pStyle w:val="BodyText"/>
        <w:ind w:left="101" w:right="112"/>
        <w:jc w:val="both"/>
      </w:pPr>
      <w:r>
        <w:rPr/>
        <w:t>Como se muestra en la Tabla 4, los años de vida perdidos se reflejan cerca de 10 veces más en la suma de la discapacidad que por los perdidos por muerte prematura. Esto es debido a que las infecciones intestinales tienen una incidencia mucho más elevada que la mortalidad (Tabla 3). Aunque el mayor número de años de vida ajustados por discapacidad se perdieron en el año 2000, la asociación más fuerte de los AVAD con el factor de riesgo se presentó en el 2005.</w:t>
      </w:r>
    </w:p>
    <w:p>
      <w:pPr>
        <w:pStyle w:val="BodyText"/>
        <w:ind w:left="101" w:right="115"/>
        <w:jc w:val="both"/>
      </w:pPr>
      <w:r>
        <w:rPr/>
        <w:t>Para el caso de la hepatitis A (Tabla 5), la incidencia acumulada es también más elevada que la tasa de mortalidad, donde el mayor valor de esta medida ha sido de 34.3 enfermos por cada 100,000 habitantes, y el cual se presentó en el 2006 dentro de la zona de riesgo de inundación.</w:t>
      </w:r>
    </w:p>
    <w:p>
      <w:pPr>
        <w:pStyle w:val="BodyText"/>
        <w:ind w:left="101" w:right="113"/>
        <w:jc w:val="both"/>
      </w:pPr>
      <w:r>
        <w:rPr/>
        <w:t>Como se puede observa en la Tabla 6, en números absolutos, los años de vida perdidos por discapacidad se presentan en las zonas sin riesgo. Sin embargo cuando se considera el tamaño de la población en cada una de las zonas, la mayor tasa de AVAD ahora se presenta más alta en las zonas con riesgo de inundación, reflejándose de igual forma en el riesgo relativo, en el que todos los años se presentó un grado de asociación positiva (RR&gt;1), siendo el 2006 el año en que la asociación fue más significativa. Tal comportamiento temporal puede observarse también en la Figura 8, con un mayor contraste de la tasa de AVAD para el 2006 seguido del 2003.</w:t>
      </w:r>
    </w:p>
    <w:p>
      <w:pPr>
        <w:pStyle w:val="BodyText"/>
      </w:pPr>
    </w:p>
    <w:p>
      <w:pPr>
        <w:pStyle w:val="BodyText"/>
      </w:pPr>
    </w:p>
    <w:p>
      <w:pPr>
        <w:pStyle w:val="Heading1"/>
        <w:numPr>
          <w:ilvl w:val="0"/>
          <w:numId w:val="1"/>
        </w:numPr>
        <w:tabs>
          <w:tab w:pos="323" w:val="left" w:leader="none"/>
        </w:tabs>
        <w:spacing w:line="240" w:lineRule="auto" w:before="0" w:after="0"/>
        <w:ind w:left="322" w:right="0" w:hanging="221"/>
        <w:jc w:val="both"/>
      </w:pPr>
      <w:r>
        <w:rPr/>
        <w:t>Discusión y valoración de</w:t>
      </w:r>
      <w:r>
        <w:rPr>
          <w:spacing w:val="-10"/>
        </w:rPr>
        <w:t> </w:t>
      </w:r>
      <w:r>
        <w:rPr/>
        <w:t>hallazgos</w:t>
      </w:r>
    </w:p>
    <w:p>
      <w:pPr>
        <w:pStyle w:val="BodyText"/>
        <w:spacing w:before="10"/>
        <w:rPr>
          <w:b/>
          <w:sz w:val="21"/>
        </w:rPr>
      </w:pPr>
    </w:p>
    <w:p>
      <w:pPr>
        <w:pStyle w:val="BodyText"/>
        <w:ind w:left="101" w:right="115"/>
        <w:jc w:val="both"/>
      </w:pPr>
      <w:r>
        <w:rPr/>
        <w:t>De acuerdo con información de la Organización Mundial de la Salud (OMS, 2006b), las infecciones intestinales generan en promedio 58 millones de AVAD por año para una población de 6000 millones de habitantes, ligeramente más alto a lo que se presentó en nuestra zona de estudio, con un</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3"/>
        <w:rPr>
          <w:sz w:val="20"/>
        </w:rPr>
      </w:pPr>
    </w:p>
    <w:p>
      <w:pPr>
        <w:pStyle w:val="BodyText"/>
        <w:spacing w:before="72"/>
        <w:ind w:left="101" w:right="114"/>
        <w:jc w:val="both"/>
      </w:pPr>
      <w:r>
        <w:rPr/>
        <w:t>promedio para el periodo 2000-2006, de 70000 AVAD para una población de poco más de 9 millones de habitantes. Por lo tanto, se puede decir que los valores obtenidos de la carga de la enfermedad están acordes con estudios previos y que sí se puede afirma la existencia de una asociación de indicadores de salud con el factor de riesgo por inundación.</w:t>
      </w:r>
    </w:p>
    <w:p>
      <w:pPr>
        <w:pStyle w:val="BodyText"/>
        <w:spacing w:before="1"/>
      </w:pPr>
    </w:p>
    <w:p>
      <w:pPr>
        <w:pStyle w:val="Heading1"/>
        <w:numPr>
          <w:ilvl w:val="0"/>
          <w:numId w:val="1"/>
        </w:numPr>
        <w:tabs>
          <w:tab w:pos="322" w:val="left" w:leader="none"/>
        </w:tabs>
        <w:spacing w:line="240" w:lineRule="auto" w:before="0" w:after="0"/>
        <w:ind w:left="322" w:right="0" w:hanging="221"/>
        <w:jc w:val="both"/>
      </w:pPr>
      <w:r>
        <w:rPr/>
        <w:t>Conclusiones</w:t>
      </w:r>
    </w:p>
    <w:p>
      <w:pPr>
        <w:pStyle w:val="BodyText"/>
        <w:spacing w:before="10"/>
        <w:rPr>
          <w:b/>
          <w:sz w:val="21"/>
        </w:rPr>
      </w:pPr>
    </w:p>
    <w:p>
      <w:pPr>
        <w:pStyle w:val="BodyText"/>
        <w:ind w:left="101" w:right="113"/>
        <w:jc w:val="both"/>
      </w:pPr>
      <w:r>
        <w:rPr/>
        <w:t>Se dio cumplimiento al objetivo del estudio y se verificó la hipótesis. Sin embargo es conveniente mencionar que las enfermedades analizadas en el estudio cuentan con varios factores que pueden confundir el estudio de su asociación con indicadores de salud como son: los determinados por aspectos meteorológicos, socioculturales y económicos, además de que por la naturaleza de estos padecimientos ya conllevan un comportamiento estacional que habría de considerarse en estudios futuros.</w:t>
      </w:r>
    </w:p>
    <w:p>
      <w:pPr>
        <w:pStyle w:val="BodyText"/>
      </w:pPr>
    </w:p>
    <w:p>
      <w:pPr>
        <w:pStyle w:val="BodyText"/>
      </w:pPr>
    </w:p>
    <w:p>
      <w:pPr>
        <w:pStyle w:val="Heading1"/>
        <w:ind w:left="101"/>
        <w:jc w:val="both"/>
      </w:pPr>
      <w:r>
        <w:rPr/>
        <w:t>Referencias bibliográficas</w:t>
      </w:r>
    </w:p>
    <w:p>
      <w:pPr>
        <w:pStyle w:val="BodyText"/>
        <w:spacing w:before="10"/>
        <w:rPr>
          <w:b/>
          <w:sz w:val="21"/>
        </w:rPr>
      </w:pPr>
    </w:p>
    <w:p>
      <w:pPr>
        <w:pStyle w:val="BodyText"/>
        <w:ind w:left="101" w:right="114"/>
        <w:jc w:val="both"/>
      </w:pPr>
      <w:r>
        <w:rPr/>
        <w:t>Annette P-U, M. Colin, C. Corvalán, A. Woodward (2003). Introduction and methods: Assessing  the environmental burden of disease at national and local levels. </w:t>
      </w:r>
      <w:r>
        <w:rPr>
          <w:i/>
        </w:rPr>
        <w:t>World Health Organization. </w:t>
      </w:r>
      <w:r>
        <w:rPr/>
        <w:t>Archivo .pdf,</w:t>
      </w:r>
      <w:r>
        <w:rPr>
          <w:spacing w:val="1"/>
        </w:rPr>
        <w:t> </w:t>
      </w:r>
      <w:r>
        <w:rPr/>
        <w:t>71p.</w:t>
      </w:r>
    </w:p>
    <w:p>
      <w:pPr>
        <w:pStyle w:val="BodyText"/>
      </w:pPr>
    </w:p>
    <w:p>
      <w:pPr>
        <w:pStyle w:val="BodyText"/>
        <w:ind w:left="101" w:right="115"/>
        <w:jc w:val="both"/>
      </w:pPr>
      <w:r>
        <w:rPr/>
        <w:t>Baro, J.E., Diaz-Delgado, C., Esteller, M.V. y Calderon, G. (2007a): “Curvas de daños provocados por inundaciones en zonas habitacionales y agrícolas de México, Parte I. Propuesta metodológica”, </w:t>
      </w:r>
      <w:r>
        <w:rPr>
          <w:i/>
        </w:rPr>
        <w:t>Ingeniería Hidráulica en México</w:t>
      </w:r>
      <w:r>
        <w:rPr/>
        <w:t>. Vol. XXII, núm. 1, pp. 91-103.</w:t>
      </w:r>
    </w:p>
    <w:p>
      <w:pPr>
        <w:pStyle w:val="BodyText"/>
        <w:spacing w:before="10"/>
        <w:rPr>
          <w:sz w:val="21"/>
        </w:rPr>
      </w:pPr>
    </w:p>
    <w:p>
      <w:pPr>
        <w:spacing w:before="0"/>
        <w:ind w:left="101" w:right="114" w:firstLine="0"/>
        <w:jc w:val="both"/>
        <w:rPr>
          <w:sz w:val="22"/>
        </w:rPr>
      </w:pPr>
      <w:r>
        <w:rPr>
          <w:sz w:val="22"/>
        </w:rPr>
        <w:t>Baro, J.E., Diaz-Delgado, C., Esteller, M.V., Calderon, G. y Cadena Vargas, E. (2011): “Costo más probable de daños por inundación en zonas habitacionales de México”. </w:t>
      </w:r>
      <w:r>
        <w:rPr>
          <w:i/>
          <w:sz w:val="22"/>
        </w:rPr>
        <w:t>Revista Tecnología y </w:t>
      </w:r>
      <w:r>
        <w:rPr>
          <w:i/>
          <w:sz w:val="22"/>
        </w:rPr>
        <w:t>Ciencias del Agua antes Ingeniería Hidráulica en México. </w:t>
      </w:r>
      <w:r>
        <w:rPr>
          <w:sz w:val="22"/>
        </w:rPr>
        <w:t>Vol. II, núm. 3, (en prensa).</w:t>
      </w:r>
    </w:p>
    <w:p>
      <w:pPr>
        <w:pStyle w:val="BodyText"/>
      </w:pPr>
    </w:p>
    <w:p>
      <w:pPr>
        <w:pStyle w:val="BodyText"/>
        <w:ind w:left="101" w:right="116"/>
        <w:jc w:val="both"/>
      </w:pPr>
      <w:r>
        <w:rPr/>
        <w:t>Beaglehole, R., R. Bonita and T. Kjellström (2000). Basic epidemiology. World Health Organization. Archivo .pdf, 182p.</w:t>
      </w:r>
    </w:p>
    <w:p>
      <w:pPr>
        <w:pStyle w:val="BodyText"/>
      </w:pPr>
    </w:p>
    <w:p>
      <w:pPr>
        <w:pStyle w:val="BodyText"/>
        <w:ind w:left="101" w:right="114"/>
        <w:jc w:val="both"/>
      </w:pPr>
      <w:r>
        <w:rPr/>
        <w:t>CDC Centers for Disease Control and Prevention (2007). </w:t>
      </w:r>
      <w:r>
        <w:rPr>
          <w:i/>
        </w:rPr>
        <w:t>Software </w:t>
      </w:r>
      <w:r>
        <w:rPr/>
        <w:t>de análisis de datos estadísticos, </w:t>
      </w:r>
      <w:hyperlink r:id="rId19">
        <w:r>
          <w:rPr/>
          <w:t>http://www.cdc.gov/epiinfo/downloads.htm</w:t>
        </w:r>
      </w:hyperlink>
    </w:p>
    <w:p>
      <w:pPr>
        <w:pStyle w:val="BodyText"/>
      </w:pPr>
    </w:p>
    <w:p>
      <w:pPr>
        <w:pStyle w:val="BodyText"/>
        <w:ind w:left="101" w:right="114"/>
        <w:jc w:val="both"/>
      </w:pPr>
      <w:r>
        <w:rPr/>
        <w:t>Eastman J.R. (2009). Idrisi Taiga. Guide to GIS and Image Processing. Manual Versión 16.00.  Clark Labs, Clark University. Archivo .pdf,</w:t>
      </w:r>
      <w:r>
        <w:rPr>
          <w:spacing w:val="-33"/>
        </w:rPr>
        <w:t> </w:t>
      </w:r>
      <w:r>
        <w:rPr/>
        <w:t>328p.</w:t>
      </w:r>
    </w:p>
    <w:p>
      <w:pPr>
        <w:pStyle w:val="BodyText"/>
      </w:pPr>
    </w:p>
    <w:p>
      <w:pPr>
        <w:pStyle w:val="BodyText"/>
        <w:ind w:left="101" w:right="114"/>
        <w:jc w:val="both"/>
      </w:pPr>
      <w:r>
        <w:rPr/>
        <w:t>Hernández-Ávila M., (2007). Epidemiología “Diseño y análisis de estudios”. Editorial Médica Panamericana, 1ª edición. ISBN 978-968-7988-87-0. México, D.F. 385 p.</w:t>
      </w:r>
    </w:p>
    <w:p>
      <w:pPr>
        <w:pStyle w:val="BodyText"/>
        <w:spacing w:before="10"/>
        <w:rPr>
          <w:sz w:val="21"/>
        </w:rPr>
      </w:pPr>
    </w:p>
    <w:p>
      <w:pPr>
        <w:pStyle w:val="BodyText"/>
        <w:ind w:left="101" w:right="115"/>
        <w:jc w:val="both"/>
      </w:pPr>
      <w:r>
        <w:rPr/>
        <w:t>INSP (2005). Instituto Nacional de Salud Pública. Núcleo de Acopio y Análisis de Información en Salud, </w:t>
      </w:r>
      <w:hyperlink r:id="rId20">
        <w:r>
          <w:rPr/>
          <w:t>http://www.insp.mx/Portal/naais/.</w:t>
        </w:r>
      </w:hyperlink>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3"/>
        <w:rPr>
          <w:sz w:val="20"/>
        </w:rPr>
      </w:pPr>
    </w:p>
    <w:p>
      <w:pPr>
        <w:spacing w:before="72"/>
        <w:ind w:left="101" w:right="115" w:firstLine="0"/>
        <w:jc w:val="both"/>
        <w:rPr>
          <w:sz w:val="22"/>
        </w:rPr>
      </w:pPr>
      <w:r>
        <w:rPr>
          <w:sz w:val="22"/>
        </w:rPr>
        <w:t>Kovats, S., K.L. Ebi, B. Menne (2003). </w:t>
      </w:r>
      <w:r>
        <w:rPr>
          <w:i/>
          <w:sz w:val="22"/>
        </w:rPr>
        <w:t>Health and Global Environmental Change. Methods of </w:t>
      </w:r>
      <w:r>
        <w:rPr>
          <w:i/>
          <w:sz w:val="22"/>
        </w:rPr>
        <w:t>assessing human health vulnerability and public health adaptation to climat change. World Health Organization </w:t>
      </w:r>
      <w:r>
        <w:rPr>
          <w:sz w:val="22"/>
        </w:rPr>
        <w:t>(WHO). ISBN 92 890 109 08. Copenhagen Denmark. 106 p.</w:t>
      </w:r>
    </w:p>
    <w:p>
      <w:pPr>
        <w:pStyle w:val="BodyText"/>
        <w:spacing w:before="10"/>
        <w:rPr>
          <w:sz w:val="21"/>
        </w:rPr>
      </w:pPr>
    </w:p>
    <w:p>
      <w:pPr>
        <w:pStyle w:val="BodyText"/>
        <w:ind w:left="101" w:right="115"/>
        <w:jc w:val="both"/>
      </w:pPr>
      <w:r>
        <w:rPr/>
        <w:t>Last, J. M. (2004). Dictionnaire d'épidémiologie (Enrichi d'un lexique anglais-français). Edisem, Maloine. Traduction “</w:t>
      </w:r>
      <w:r>
        <w:rPr>
          <w:i/>
        </w:rPr>
        <w:t>Dictionnary of epidemiology</w:t>
      </w:r>
      <w:r>
        <w:rPr/>
        <w:t>”, 4th edition, 2001, Oxford University Press,  Inc. Traduction et adaptation : L. Talbot-Bélair, M.C. Thuriaux.</w:t>
      </w:r>
      <w:r>
        <w:rPr>
          <w:spacing w:val="-19"/>
        </w:rPr>
        <w:t> </w:t>
      </w:r>
      <w:r>
        <w:rPr/>
        <w:t>306p.</w:t>
      </w:r>
    </w:p>
    <w:p>
      <w:pPr>
        <w:pStyle w:val="BodyText"/>
      </w:pPr>
    </w:p>
    <w:p>
      <w:pPr>
        <w:tabs>
          <w:tab w:pos="1411" w:val="left" w:leader="none"/>
          <w:tab w:pos="2764" w:val="left" w:leader="none"/>
          <w:tab w:pos="4927" w:val="left" w:leader="none"/>
          <w:tab w:pos="6047" w:val="left" w:leader="none"/>
          <w:tab w:pos="7001" w:val="left" w:leader="none"/>
          <w:tab w:pos="8208" w:val="left" w:leader="none"/>
        </w:tabs>
        <w:spacing w:before="0"/>
        <w:ind w:left="101" w:right="114" w:firstLine="0"/>
        <w:jc w:val="both"/>
        <w:rPr>
          <w:sz w:val="24"/>
        </w:rPr>
      </w:pPr>
      <w:r>
        <w:rPr>
          <w:sz w:val="22"/>
        </w:rPr>
        <w:t>Lopez (2006). </w:t>
      </w:r>
      <w:r>
        <w:rPr>
          <w:i/>
          <w:sz w:val="22"/>
        </w:rPr>
        <w:t>Global Burden of Disease and Risk Factors</w:t>
      </w:r>
      <w:r>
        <w:rPr>
          <w:sz w:val="22"/>
        </w:rPr>
        <w:t>. Oxford University Press and The World Bank.</w:t>
        <w:tab/>
        <w:t>ISBN:</w:t>
        <w:tab/>
        <w:t>0-8213-6263-1.</w:t>
        <w:tab/>
        <w:t>506</w:t>
        <w:tab/>
        <w:t>p.</w:t>
        <w:tab/>
        <w:t>Sitio</w:t>
        <w:tab/>
        <w:t>internet: </w:t>
      </w:r>
      <w:hyperlink r:id="rId21">
        <w:r>
          <w:rPr>
            <w:sz w:val="24"/>
          </w:rPr>
          <w:t>http://www.ncbi.nlm.nih.gov/bookshelf/br.fcgi?book=gbd</w:t>
        </w:r>
      </w:hyperlink>
    </w:p>
    <w:p>
      <w:pPr>
        <w:pStyle w:val="BodyText"/>
      </w:pPr>
    </w:p>
    <w:p>
      <w:pPr>
        <w:spacing w:before="1"/>
        <w:ind w:left="101" w:right="115" w:firstLine="0"/>
        <w:jc w:val="both"/>
        <w:rPr>
          <w:sz w:val="22"/>
        </w:rPr>
      </w:pPr>
      <w:r>
        <w:rPr>
          <w:sz w:val="22"/>
        </w:rPr>
        <w:t>Melnick, A. L. (2002). </w:t>
      </w:r>
      <w:r>
        <w:rPr>
          <w:i/>
          <w:sz w:val="22"/>
        </w:rPr>
        <w:t>Introduction to Geographic Systems in Public Health</w:t>
      </w:r>
      <w:r>
        <w:rPr>
          <w:sz w:val="22"/>
        </w:rPr>
        <w:t>. An Aspen  Publication. ISBN 0-8342-1878-X. United States of America.</w:t>
      </w:r>
      <w:r>
        <w:rPr>
          <w:spacing w:val="-3"/>
          <w:sz w:val="22"/>
        </w:rPr>
        <w:t> </w:t>
      </w:r>
      <w:r>
        <w:rPr>
          <w:sz w:val="22"/>
        </w:rPr>
        <w:t>300p.</w:t>
      </w:r>
    </w:p>
    <w:p>
      <w:pPr>
        <w:pStyle w:val="BodyText"/>
        <w:spacing w:before="10"/>
        <w:rPr>
          <w:sz w:val="21"/>
        </w:rPr>
      </w:pPr>
    </w:p>
    <w:p>
      <w:pPr>
        <w:pStyle w:val="BodyText"/>
        <w:ind w:left="101" w:right="114"/>
        <w:jc w:val="both"/>
      </w:pPr>
      <w:r>
        <w:rPr/>
        <w:t>Moreno A.A, M.S López, A.B. Corcho (2002). Principales medidas de epidemiología.  Salud pública de México. Vol. 42, No. 4, Julio – Agosto.  337-348 p.</w:t>
      </w:r>
    </w:p>
    <w:p>
      <w:pPr>
        <w:pStyle w:val="BodyText"/>
      </w:pPr>
    </w:p>
    <w:p>
      <w:pPr>
        <w:spacing w:before="0"/>
        <w:ind w:left="101" w:right="116" w:firstLine="0"/>
        <w:jc w:val="both"/>
        <w:rPr>
          <w:sz w:val="22"/>
        </w:rPr>
      </w:pPr>
      <w:r>
        <w:rPr>
          <w:sz w:val="22"/>
        </w:rPr>
        <w:t>Murray CJL, (1996). The </w:t>
      </w:r>
      <w:r>
        <w:rPr>
          <w:i/>
          <w:sz w:val="22"/>
        </w:rPr>
        <w:t>Global Burden of Disease and Injury Series</w:t>
      </w:r>
      <w:r>
        <w:rPr>
          <w:sz w:val="22"/>
        </w:rPr>
        <w:t>. Volume I. World Health Organization. Cambridge. Harvard University Press.</w:t>
      </w:r>
    </w:p>
    <w:p>
      <w:pPr>
        <w:pStyle w:val="BodyText"/>
        <w:spacing w:before="10"/>
        <w:rPr>
          <w:sz w:val="21"/>
        </w:rPr>
      </w:pPr>
    </w:p>
    <w:p>
      <w:pPr>
        <w:pStyle w:val="BodyText"/>
        <w:ind w:left="101" w:right="116"/>
        <w:jc w:val="both"/>
      </w:pPr>
      <w:r>
        <w:rPr/>
        <w:t>OMS, Organización Mundial de la Salud (2006a). Sistema Computarizado de visualización y monitoreo de nuevas enfermedades, </w:t>
      </w:r>
      <w:hyperlink r:id="rId22">
        <w:r>
          <w:rPr/>
          <w:t>http://www.who.int/health_mapping/about/en/.</w:t>
        </w:r>
      </w:hyperlink>
    </w:p>
    <w:p>
      <w:pPr>
        <w:pStyle w:val="BodyText"/>
      </w:pPr>
    </w:p>
    <w:p>
      <w:pPr>
        <w:pStyle w:val="BodyText"/>
        <w:ind w:left="101" w:right="114"/>
        <w:jc w:val="both"/>
      </w:pPr>
      <w:r>
        <w:rPr/>
        <w:t>OMS, Organización Mundial de la Salud (2006b). Ambientes saludables y prevención de enfermedades, </w:t>
      </w:r>
      <w:hyperlink r:id="rId23">
        <w:r>
          <w:rPr/>
          <w:t>http://www.who.int/quantifying_ehimpacts/publications/.</w:t>
        </w:r>
      </w:hyperlink>
    </w:p>
    <w:p>
      <w:pPr>
        <w:pStyle w:val="BodyText"/>
        <w:spacing w:before="10"/>
        <w:rPr>
          <w:sz w:val="21"/>
        </w:rPr>
      </w:pPr>
    </w:p>
    <w:p>
      <w:pPr>
        <w:pStyle w:val="BodyText"/>
        <w:ind w:left="101" w:right="115"/>
        <w:jc w:val="both"/>
      </w:pPr>
      <w:r>
        <w:rPr/>
        <w:t>OMS-UNICEF (2005). Informe ejecutivo, El agua una responsabilidad compartida. Capítulo 6. Promover y proteger la salud humana. 40 p.</w:t>
      </w:r>
    </w:p>
    <w:p>
      <w:pPr>
        <w:pStyle w:val="BodyText"/>
      </w:pPr>
    </w:p>
    <w:p>
      <w:pPr>
        <w:pStyle w:val="BodyText"/>
        <w:ind w:left="101" w:right="115"/>
        <w:jc w:val="both"/>
      </w:pPr>
      <w:r>
        <w:rPr/>
        <w:t>OPS (2001). El control de las enfermedades transmisibles. Organización Panamericana de la Salud (OPS). Editor Chin J., 17ª Edición. Washington, DC E.U. 748 p.</w:t>
      </w:r>
    </w:p>
    <w:p>
      <w:pPr>
        <w:pStyle w:val="BodyText"/>
      </w:pPr>
    </w:p>
    <w:p>
      <w:pPr>
        <w:pStyle w:val="BodyText"/>
        <w:ind w:left="101" w:right="114"/>
        <w:jc w:val="both"/>
      </w:pPr>
      <w:r>
        <w:rPr/>
        <w:t>OPS (2002). La estandarización: un método epidemiológico clásico para la comparación de tasas. Boletín epidemiológico. Vol. 24, No. 4. 6p.</w:t>
      </w:r>
    </w:p>
    <w:p>
      <w:pPr>
        <w:pStyle w:val="BodyText"/>
      </w:pPr>
    </w:p>
    <w:p>
      <w:pPr>
        <w:pStyle w:val="BodyText"/>
        <w:ind w:left="101" w:right="117"/>
        <w:jc w:val="both"/>
      </w:pPr>
      <w:r>
        <w:rPr/>
        <w:t>OPS (2003). Organización Panamericana de la Salud. La esperanza de vida: una técnica para resumir</w:t>
      </w:r>
      <w:r>
        <w:rPr>
          <w:spacing w:val="-5"/>
        </w:rPr>
        <w:t> </w:t>
      </w:r>
      <w:r>
        <w:rPr/>
        <w:t>la</w:t>
      </w:r>
      <w:r>
        <w:rPr>
          <w:spacing w:val="-4"/>
        </w:rPr>
        <w:t> </w:t>
      </w:r>
      <w:r>
        <w:rPr/>
        <w:t>mortalidad</w:t>
      </w:r>
      <w:r>
        <w:rPr>
          <w:spacing w:val="-7"/>
        </w:rPr>
        <w:t> </w:t>
      </w:r>
      <w:r>
        <w:rPr/>
        <w:t>y</w:t>
      </w:r>
      <w:r>
        <w:rPr>
          <w:spacing w:val="-4"/>
        </w:rPr>
        <w:t> </w:t>
      </w:r>
      <w:r>
        <w:rPr/>
        <w:t>la</w:t>
      </w:r>
      <w:r>
        <w:rPr>
          <w:spacing w:val="-5"/>
        </w:rPr>
        <w:t> </w:t>
      </w:r>
      <w:r>
        <w:rPr/>
        <w:t>sobrevivencia.</w:t>
      </w:r>
      <w:r>
        <w:rPr>
          <w:spacing w:val="-5"/>
        </w:rPr>
        <w:t> </w:t>
      </w:r>
      <w:r>
        <w:rPr/>
        <w:t>Boletín</w:t>
      </w:r>
      <w:r>
        <w:rPr>
          <w:spacing w:val="-5"/>
        </w:rPr>
        <w:t> </w:t>
      </w:r>
      <w:r>
        <w:rPr/>
        <w:t>epidemiológico.</w:t>
      </w:r>
      <w:r>
        <w:rPr>
          <w:spacing w:val="-7"/>
        </w:rPr>
        <w:t> </w:t>
      </w:r>
      <w:r>
        <w:rPr/>
        <w:t>Vol.</w:t>
      </w:r>
      <w:r>
        <w:rPr>
          <w:spacing w:val="-5"/>
        </w:rPr>
        <w:t> </w:t>
      </w:r>
      <w:r>
        <w:rPr/>
        <w:t>23,</w:t>
      </w:r>
      <w:r>
        <w:rPr>
          <w:spacing w:val="-5"/>
        </w:rPr>
        <w:t> </w:t>
      </w:r>
      <w:r>
        <w:rPr/>
        <w:t>No.</w:t>
      </w:r>
      <w:r>
        <w:rPr>
          <w:spacing w:val="-7"/>
        </w:rPr>
        <w:t> </w:t>
      </w:r>
      <w:r>
        <w:rPr/>
        <w:t>3.</w:t>
      </w:r>
      <w:r>
        <w:rPr>
          <w:spacing w:val="-5"/>
        </w:rPr>
        <w:t> </w:t>
      </w:r>
      <w:r>
        <w:rPr/>
        <w:t>9p.</w:t>
      </w:r>
    </w:p>
    <w:p>
      <w:pPr>
        <w:pStyle w:val="BodyText"/>
      </w:pPr>
    </w:p>
    <w:p>
      <w:pPr>
        <w:pStyle w:val="BodyText"/>
        <w:ind w:left="101" w:right="117"/>
        <w:jc w:val="both"/>
      </w:pPr>
      <w:r>
        <w:rPr/>
        <w:t>OPS (2005). Organización Panamericana de la Salud. Sistema de Información Geográfica en Epidemiología y Salud Pública, </w:t>
      </w:r>
      <w:hyperlink r:id="rId24">
        <w:r>
          <w:rPr/>
          <w:t>http://ais.paho.org/sigepi/index.asp.</w:t>
        </w:r>
      </w:hyperlink>
    </w:p>
    <w:p>
      <w:pPr>
        <w:pStyle w:val="BodyText"/>
        <w:spacing w:before="10"/>
        <w:rPr>
          <w:sz w:val="21"/>
        </w:rPr>
      </w:pPr>
    </w:p>
    <w:p>
      <w:pPr>
        <w:pStyle w:val="BodyText"/>
        <w:ind w:left="101" w:right="115"/>
        <w:jc w:val="both"/>
      </w:pPr>
      <w:r>
        <w:rPr/>
        <w:t>Pfeiffer D., T. Robinson, M. Stevenson, K. Stevens, D. Rogers, A. Clements (2008).  </w:t>
      </w:r>
      <w:r>
        <w:rPr>
          <w:i/>
        </w:rPr>
        <w:t>Spatial </w:t>
      </w:r>
      <w:r>
        <w:rPr>
          <w:i/>
        </w:rPr>
        <w:t>Analysis in Epidemiology</w:t>
      </w:r>
      <w:r>
        <w:rPr/>
        <w:t>. United States of America. Oxford University Press. 142p.</w:t>
      </w:r>
    </w:p>
    <w:p>
      <w:pPr>
        <w:spacing w:after="0"/>
        <w:jc w:val="both"/>
        <w:sectPr>
          <w:pgSz w:w="12240" w:h="15840"/>
          <w:pgMar w:header="0" w:footer="1185" w:top="1500" w:bottom="1380" w:left="1600" w:right="1580"/>
        </w:sectPr>
      </w:pPr>
    </w:p>
    <w:p>
      <w:pPr>
        <w:pStyle w:val="BodyText"/>
        <w:rPr>
          <w:sz w:val="20"/>
        </w:rPr>
      </w:pPr>
    </w:p>
    <w:p>
      <w:pPr>
        <w:pStyle w:val="BodyText"/>
        <w:rPr>
          <w:sz w:val="20"/>
        </w:rPr>
      </w:pPr>
    </w:p>
    <w:p>
      <w:pPr>
        <w:pStyle w:val="BodyText"/>
        <w:spacing w:before="3"/>
        <w:rPr>
          <w:sz w:val="20"/>
        </w:rPr>
      </w:pPr>
    </w:p>
    <w:p>
      <w:pPr>
        <w:pStyle w:val="BodyText"/>
        <w:spacing w:before="72"/>
        <w:ind w:left="101" w:right="113"/>
        <w:jc w:val="both"/>
      </w:pPr>
      <w:r>
        <w:rPr/>
        <w:t>Quentin, E., C. Díaz-Delgado, M.A. Gómez-Albores, L.R. Manzano-Solís, R. Franco-Plata (2007). Desarrollo Geomático para la Gestión Integrada del Agua. XI Conferencia Iberoamericana de Sistemas de Información Geográfica (XI CONFIBSIG), Universidad Nacional de Luján (UNLu) - Argentina, Sociedad Iberoamericana de Sistemas de Información Geográfica (SIBSIG). 29 al 31 de mayo de 2007, Buenos Aires, Argentina. 21p.</w:t>
      </w:r>
    </w:p>
    <w:p>
      <w:pPr>
        <w:pStyle w:val="BodyText"/>
      </w:pPr>
    </w:p>
    <w:p>
      <w:pPr>
        <w:pStyle w:val="BodyText"/>
        <w:ind w:left="101" w:right="116"/>
        <w:jc w:val="both"/>
      </w:pPr>
      <w:r>
        <w:rPr/>
        <w:t>SSA (2007). Secretaria de Salud. SIDEN - Sistema de Descarga del NAAIS, Instituto Nacional de Salud Pública. México: Secretaria de Salud. </w:t>
      </w:r>
      <w:hyperlink r:id="rId26">
        <w:r>
          <w:rPr/>
          <w:t>http://sigsalud.insp.mx/naais/metabase/siden/index.php</w:t>
        </w:r>
      </w:hyperlink>
    </w:p>
    <w:p>
      <w:pPr>
        <w:pStyle w:val="BodyText"/>
        <w:spacing w:before="10"/>
        <w:rPr>
          <w:sz w:val="21"/>
        </w:rPr>
      </w:pPr>
    </w:p>
    <w:p>
      <w:pPr>
        <w:pStyle w:val="BodyText"/>
        <w:ind w:left="101" w:right="116"/>
        <w:jc w:val="both"/>
      </w:pPr>
      <w:r>
        <w:rPr/>
        <w:t>SSA (2009). Secretaria de Salud. Enfermedades diarreicas agudas, prevención, control y tratamiento. México: Secretaria de</w:t>
      </w:r>
      <w:r>
        <w:rPr>
          <w:spacing w:val="-27"/>
        </w:rPr>
        <w:t> </w:t>
      </w:r>
      <w:r>
        <w:rPr/>
        <w:t>Salud.</w:t>
      </w:r>
    </w:p>
    <w:p>
      <w:pPr>
        <w:pStyle w:val="BodyText"/>
      </w:pPr>
    </w:p>
    <w:p>
      <w:pPr>
        <w:spacing w:before="0"/>
        <w:ind w:left="101" w:right="113" w:firstLine="0"/>
        <w:jc w:val="both"/>
        <w:rPr>
          <w:sz w:val="24"/>
        </w:rPr>
      </w:pPr>
      <w:r>
        <w:rPr>
          <w:sz w:val="22"/>
        </w:rPr>
        <w:t>UN (2009). </w:t>
      </w:r>
      <w:r>
        <w:rPr>
          <w:i/>
          <w:sz w:val="22"/>
        </w:rPr>
        <w:t>Water in a Changing World</w:t>
      </w:r>
      <w:r>
        <w:rPr>
          <w:sz w:val="22"/>
        </w:rPr>
        <w:t>. Informe de las Naciones Unidas sobre el desarrollo de los recursos hídricos en el mundo. UNWATER. 349 p. ISBN: 978-9-23104-095-5. </w:t>
      </w:r>
      <w:r>
        <w:rPr>
          <w:sz w:val="24"/>
        </w:rPr>
        <w:t>http </w:t>
      </w:r>
      <w:r>
        <w:rPr>
          <w:sz w:val="22"/>
        </w:rPr>
        <w:t>WHO</w:t>
      </w:r>
      <w:hyperlink r:id="rId27">
        <w:r>
          <w:rPr>
            <w:sz w:val="24"/>
          </w:rPr>
          <w:t>://www.unesco.org/water/wwap/wwdr/wwdr1/pdf/front_matter_es.pdf</w:t>
        </w:r>
      </w:hyperlink>
    </w:p>
    <w:p>
      <w:pPr>
        <w:spacing w:after="0"/>
        <w:jc w:val="both"/>
        <w:rPr>
          <w:sz w:val="24"/>
        </w:rPr>
        <w:sectPr>
          <w:footerReference w:type="default" r:id="rId25"/>
          <w:pgSz w:w="12240" w:h="15840"/>
          <w:pgMar w:footer="1186" w:header="0" w:top="1500" w:bottom="1380" w:left="1600" w:right="1580"/>
        </w:sectPr>
      </w:pPr>
    </w:p>
    <w:p>
      <w:pPr>
        <w:pStyle w:val="BodyText"/>
        <w:rPr>
          <w:sz w:val="20"/>
        </w:rPr>
      </w:pPr>
    </w:p>
    <w:p>
      <w:pPr>
        <w:pStyle w:val="BodyText"/>
        <w:rPr>
          <w:sz w:val="20"/>
        </w:rPr>
      </w:pPr>
    </w:p>
    <w:p>
      <w:pPr>
        <w:pStyle w:val="BodyText"/>
        <w:spacing w:before="5"/>
        <w:rPr>
          <w:sz w:val="20"/>
        </w:rPr>
      </w:pPr>
    </w:p>
    <w:p>
      <w:pPr>
        <w:spacing w:before="69"/>
        <w:ind w:left="136" w:right="151" w:firstLine="0"/>
        <w:jc w:val="center"/>
        <w:rPr>
          <w:sz w:val="24"/>
        </w:rPr>
      </w:pPr>
      <w:r>
        <w:rPr>
          <w:sz w:val="24"/>
        </w:rPr>
        <w:t>TABLAS</w:t>
      </w:r>
    </w:p>
    <w:p>
      <w:pPr>
        <w:pStyle w:val="Heading1"/>
        <w:spacing w:before="140"/>
        <w:ind w:left="137" w:right="151"/>
      </w:pPr>
      <w:r>
        <w:rPr/>
        <w:t>Tabla 1. CIE-10 de enfermedades relacionadas con inundaciones</w:t>
      </w:r>
    </w:p>
    <w:tbl>
      <w:tblPr>
        <w:tblW w:w="0" w:type="auto"/>
        <w:jc w:val="left"/>
        <w:tblInd w:w="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69"/>
        <w:gridCol w:w="3686"/>
      </w:tblGrid>
      <w:tr>
        <w:trPr>
          <w:trHeight w:val="389" w:hRule="exact"/>
        </w:trPr>
        <w:tc>
          <w:tcPr>
            <w:tcW w:w="4169" w:type="dxa"/>
            <w:shd w:val="clear" w:color="auto" w:fill="E4E4E4"/>
          </w:tcPr>
          <w:p>
            <w:pPr>
              <w:pStyle w:val="TableParagraph"/>
              <w:spacing w:before="0"/>
              <w:ind w:left="1723" w:right="1723"/>
              <w:rPr>
                <w:rFonts w:ascii="Times New Roman"/>
                <w:b/>
                <w:sz w:val="22"/>
              </w:rPr>
            </w:pPr>
            <w:r>
              <w:rPr>
                <w:rFonts w:ascii="Times New Roman"/>
                <w:b/>
                <w:sz w:val="22"/>
              </w:rPr>
              <w:t>Causas</w:t>
            </w:r>
          </w:p>
        </w:tc>
        <w:tc>
          <w:tcPr>
            <w:tcW w:w="3686" w:type="dxa"/>
            <w:shd w:val="clear" w:color="auto" w:fill="E4E4E4"/>
          </w:tcPr>
          <w:p>
            <w:pPr>
              <w:pStyle w:val="TableParagraph"/>
              <w:spacing w:before="0"/>
              <w:ind w:left="1476" w:right="1476"/>
              <w:rPr>
                <w:rFonts w:ascii="Times New Roman"/>
                <w:b/>
                <w:sz w:val="22"/>
              </w:rPr>
            </w:pPr>
            <w:r>
              <w:rPr>
                <w:rFonts w:ascii="Times New Roman"/>
                <w:b/>
                <w:sz w:val="22"/>
              </w:rPr>
              <w:t>CIE-10</w:t>
            </w:r>
          </w:p>
        </w:tc>
      </w:tr>
      <w:tr>
        <w:trPr>
          <w:trHeight w:val="276" w:hRule="exact"/>
        </w:trPr>
        <w:tc>
          <w:tcPr>
            <w:tcW w:w="4169" w:type="dxa"/>
          </w:tcPr>
          <w:p>
            <w:pPr>
              <w:pStyle w:val="TableParagraph"/>
              <w:spacing w:line="252" w:lineRule="exact" w:before="0"/>
              <w:ind w:left="103"/>
              <w:jc w:val="left"/>
              <w:rPr>
                <w:rFonts w:ascii="Times New Roman"/>
                <w:sz w:val="22"/>
              </w:rPr>
            </w:pPr>
            <w:r>
              <w:rPr>
                <w:rFonts w:ascii="Times New Roman"/>
                <w:sz w:val="22"/>
              </w:rPr>
              <w:t>Hepatitis aguda tipo A</w:t>
            </w:r>
          </w:p>
        </w:tc>
        <w:tc>
          <w:tcPr>
            <w:tcW w:w="3686" w:type="dxa"/>
          </w:tcPr>
          <w:p>
            <w:pPr>
              <w:pStyle w:val="TableParagraph"/>
              <w:spacing w:line="252" w:lineRule="exact" w:before="0"/>
              <w:ind w:left="104"/>
              <w:jc w:val="left"/>
              <w:rPr>
                <w:rFonts w:ascii="Times New Roman"/>
                <w:sz w:val="22"/>
              </w:rPr>
            </w:pPr>
            <w:r>
              <w:rPr>
                <w:rFonts w:ascii="Times New Roman"/>
                <w:sz w:val="22"/>
              </w:rPr>
              <w:t>B15</w:t>
            </w:r>
          </w:p>
        </w:tc>
      </w:tr>
      <w:tr>
        <w:trPr>
          <w:trHeight w:val="390" w:hRule="exact"/>
        </w:trPr>
        <w:tc>
          <w:tcPr>
            <w:tcW w:w="4169" w:type="dxa"/>
          </w:tcPr>
          <w:p>
            <w:pPr>
              <w:pStyle w:val="TableParagraph"/>
              <w:spacing w:line="252" w:lineRule="exact" w:before="0"/>
              <w:ind w:left="103"/>
              <w:jc w:val="left"/>
              <w:rPr>
                <w:rFonts w:ascii="Times New Roman" w:hAnsi="Times New Roman"/>
                <w:sz w:val="22"/>
              </w:rPr>
            </w:pPr>
            <w:r>
              <w:rPr>
                <w:rFonts w:ascii="Times New Roman" w:hAnsi="Times New Roman"/>
                <w:sz w:val="22"/>
              </w:rPr>
              <w:t>Dengue clásico y Dengue hemorrágico</w:t>
            </w:r>
          </w:p>
        </w:tc>
        <w:tc>
          <w:tcPr>
            <w:tcW w:w="3686" w:type="dxa"/>
          </w:tcPr>
          <w:p>
            <w:pPr>
              <w:pStyle w:val="TableParagraph"/>
              <w:spacing w:line="253" w:lineRule="exact" w:before="0"/>
              <w:ind w:left="103"/>
              <w:jc w:val="left"/>
              <w:rPr>
                <w:rFonts w:ascii="Times New Roman"/>
                <w:sz w:val="22"/>
              </w:rPr>
            </w:pPr>
            <w:r>
              <w:rPr>
                <w:rFonts w:ascii="Times New Roman"/>
                <w:sz w:val="22"/>
              </w:rPr>
              <w:t>A90X y A91X</w:t>
            </w:r>
          </w:p>
        </w:tc>
      </w:tr>
      <w:tr>
        <w:trPr>
          <w:trHeight w:val="263" w:hRule="exact"/>
        </w:trPr>
        <w:tc>
          <w:tcPr>
            <w:tcW w:w="4169" w:type="dxa"/>
          </w:tcPr>
          <w:p>
            <w:pPr>
              <w:pStyle w:val="TableParagraph"/>
              <w:spacing w:line="250" w:lineRule="exact" w:before="0"/>
              <w:ind w:left="103"/>
              <w:jc w:val="left"/>
              <w:rPr>
                <w:rFonts w:ascii="Times New Roman"/>
                <w:sz w:val="22"/>
              </w:rPr>
            </w:pPr>
            <w:r>
              <w:rPr>
                <w:rFonts w:ascii="Times New Roman"/>
                <w:sz w:val="22"/>
              </w:rPr>
              <w:t>Infecciones intestinales</w:t>
            </w:r>
          </w:p>
        </w:tc>
        <w:tc>
          <w:tcPr>
            <w:tcW w:w="3686" w:type="dxa"/>
          </w:tcPr>
          <w:p>
            <w:pPr>
              <w:pStyle w:val="TableParagraph"/>
              <w:spacing w:line="250" w:lineRule="exact" w:before="0"/>
              <w:ind w:left="104"/>
              <w:jc w:val="left"/>
              <w:rPr>
                <w:rFonts w:ascii="Times New Roman" w:hAnsi="Times New Roman"/>
                <w:sz w:val="22"/>
              </w:rPr>
            </w:pPr>
            <w:r>
              <w:rPr>
                <w:rFonts w:ascii="Times New Roman" w:hAnsi="Times New Roman"/>
                <w:sz w:val="22"/>
              </w:rPr>
              <w:t>A01 – A09X</w:t>
            </w:r>
          </w:p>
        </w:tc>
      </w:tr>
      <w:tr>
        <w:trPr>
          <w:trHeight w:val="264" w:hRule="exact"/>
        </w:trPr>
        <w:tc>
          <w:tcPr>
            <w:tcW w:w="4169" w:type="dxa"/>
          </w:tcPr>
          <w:p>
            <w:pPr>
              <w:pStyle w:val="TableParagraph"/>
              <w:spacing w:line="250" w:lineRule="exact" w:before="0"/>
              <w:ind w:left="103"/>
              <w:jc w:val="left"/>
              <w:rPr>
                <w:rFonts w:ascii="Times New Roman" w:hAnsi="Times New Roman"/>
                <w:sz w:val="22"/>
              </w:rPr>
            </w:pPr>
            <w:r>
              <w:rPr>
                <w:rFonts w:ascii="Times New Roman" w:hAnsi="Times New Roman"/>
                <w:sz w:val="22"/>
              </w:rPr>
              <w:t>Víctimas de inundación</w:t>
            </w:r>
          </w:p>
        </w:tc>
        <w:tc>
          <w:tcPr>
            <w:tcW w:w="3686" w:type="dxa"/>
          </w:tcPr>
          <w:p>
            <w:pPr>
              <w:pStyle w:val="TableParagraph"/>
              <w:spacing w:line="250" w:lineRule="exact" w:before="0"/>
              <w:ind w:left="104"/>
              <w:jc w:val="left"/>
              <w:rPr>
                <w:rFonts w:ascii="Times New Roman"/>
                <w:sz w:val="22"/>
              </w:rPr>
            </w:pPr>
            <w:r>
              <w:rPr>
                <w:rFonts w:ascii="Times New Roman"/>
                <w:sz w:val="22"/>
              </w:rPr>
              <w:t>X38-X389</w:t>
            </w:r>
          </w:p>
        </w:tc>
      </w:tr>
    </w:tbl>
    <w:p>
      <w:pPr>
        <w:pStyle w:val="BodyText"/>
        <w:spacing w:line="252" w:lineRule="exact"/>
        <w:ind w:left="139" w:right="151"/>
        <w:jc w:val="center"/>
      </w:pPr>
      <w:r>
        <w:rPr/>
        <w:t>Fuente: Organización Mundial de la Salud (OPS, 2001).</w:t>
      </w:r>
    </w:p>
    <w:p>
      <w:pPr>
        <w:pStyle w:val="BodyText"/>
        <w:spacing w:before="11"/>
        <w:rPr>
          <w:sz w:val="32"/>
        </w:rPr>
      </w:pPr>
    </w:p>
    <w:p>
      <w:pPr>
        <w:pStyle w:val="Heading1"/>
        <w:ind w:left="789"/>
        <w:jc w:val="left"/>
      </w:pPr>
      <w:r>
        <w:rPr/>
        <w:t>Tabla 2. Pesos y duración para las enfermedades relacionadas con inundaciones</w:t>
      </w:r>
    </w:p>
    <w:p>
      <w:pPr>
        <w:pStyle w:val="BodyText"/>
        <w:spacing w:before="1"/>
        <w:rPr>
          <w:b/>
          <w:sz w:val="21"/>
        </w:rPr>
      </w:pPr>
    </w:p>
    <w:tbl>
      <w:tblPr>
        <w:tblW w:w="0" w:type="auto"/>
        <w:jc w:val="left"/>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8"/>
        <w:gridCol w:w="1985"/>
        <w:gridCol w:w="2693"/>
      </w:tblGrid>
      <w:tr>
        <w:trPr>
          <w:trHeight w:val="547" w:hRule="exact"/>
        </w:trPr>
        <w:tc>
          <w:tcPr>
            <w:tcW w:w="2338" w:type="dxa"/>
          </w:tcPr>
          <w:p>
            <w:pPr>
              <w:pStyle w:val="TableParagraph"/>
              <w:spacing w:before="133"/>
              <w:ind w:left="505"/>
              <w:jc w:val="left"/>
              <w:rPr>
                <w:b/>
                <w:sz w:val="22"/>
              </w:rPr>
            </w:pPr>
            <w:r>
              <w:rPr>
                <w:b/>
                <w:sz w:val="22"/>
              </w:rPr>
              <w:t>Enfermedades</w:t>
            </w:r>
          </w:p>
        </w:tc>
        <w:tc>
          <w:tcPr>
            <w:tcW w:w="1985" w:type="dxa"/>
          </w:tcPr>
          <w:p>
            <w:pPr>
              <w:pStyle w:val="TableParagraph"/>
              <w:spacing w:before="0"/>
              <w:ind w:left="182" w:right="162" w:firstLine="146"/>
              <w:jc w:val="left"/>
              <w:rPr>
                <w:b/>
                <w:sz w:val="22"/>
              </w:rPr>
            </w:pPr>
            <w:r>
              <w:rPr>
                <w:b/>
                <w:sz w:val="22"/>
              </w:rPr>
              <w:t>Duración de la enfermedad en %</w:t>
            </w:r>
          </w:p>
        </w:tc>
        <w:tc>
          <w:tcPr>
            <w:tcW w:w="2693" w:type="dxa"/>
          </w:tcPr>
          <w:p>
            <w:pPr>
              <w:pStyle w:val="TableParagraph"/>
              <w:spacing w:before="133"/>
              <w:ind w:left="220"/>
              <w:jc w:val="left"/>
              <w:rPr>
                <w:b/>
                <w:sz w:val="22"/>
              </w:rPr>
            </w:pPr>
            <w:r>
              <w:rPr>
                <w:b/>
                <w:sz w:val="22"/>
              </w:rPr>
              <w:t>Pesos de la discapacidad</w:t>
            </w:r>
          </w:p>
        </w:tc>
      </w:tr>
      <w:tr>
        <w:trPr>
          <w:trHeight w:val="310" w:hRule="exact"/>
        </w:trPr>
        <w:tc>
          <w:tcPr>
            <w:tcW w:w="2338" w:type="dxa"/>
          </w:tcPr>
          <w:p>
            <w:pPr>
              <w:pStyle w:val="TableParagraph"/>
              <w:spacing w:before="30"/>
              <w:ind w:left="64"/>
              <w:jc w:val="left"/>
              <w:rPr>
                <w:sz w:val="22"/>
              </w:rPr>
            </w:pPr>
            <w:r>
              <w:rPr>
                <w:sz w:val="22"/>
              </w:rPr>
              <w:t>Hepatitis A</w:t>
            </w:r>
          </w:p>
        </w:tc>
        <w:tc>
          <w:tcPr>
            <w:tcW w:w="1985" w:type="dxa"/>
          </w:tcPr>
          <w:p>
            <w:pPr>
              <w:pStyle w:val="TableParagraph"/>
              <w:spacing w:before="30"/>
              <w:ind w:right="62"/>
              <w:jc w:val="right"/>
              <w:rPr>
                <w:sz w:val="22"/>
              </w:rPr>
            </w:pPr>
            <w:r>
              <w:rPr>
                <w:sz w:val="22"/>
              </w:rPr>
              <w:t>11</w:t>
            </w:r>
          </w:p>
        </w:tc>
        <w:tc>
          <w:tcPr>
            <w:tcW w:w="2693" w:type="dxa"/>
          </w:tcPr>
          <w:p>
            <w:pPr>
              <w:pStyle w:val="TableParagraph"/>
              <w:spacing w:before="30"/>
              <w:ind w:right="64"/>
              <w:jc w:val="right"/>
              <w:rPr>
                <w:sz w:val="22"/>
              </w:rPr>
            </w:pPr>
            <w:r>
              <w:rPr>
                <w:w w:val="99"/>
                <w:sz w:val="22"/>
              </w:rPr>
              <w:t>1</w:t>
            </w:r>
          </w:p>
        </w:tc>
      </w:tr>
      <w:tr>
        <w:trPr>
          <w:trHeight w:val="310" w:hRule="exact"/>
        </w:trPr>
        <w:tc>
          <w:tcPr>
            <w:tcW w:w="2338" w:type="dxa"/>
          </w:tcPr>
          <w:p>
            <w:pPr>
              <w:pStyle w:val="TableParagraph"/>
              <w:spacing w:before="31"/>
              <w:ind w:left="64"/>
              <w:jc w:val="left"/>
              <w:rPr>
                <w:sz w:val="22"/>
              </w:rPr>
            </w:pPr>
            <w:r>
              <w:rPr>
                <w:sz w:val="22"/>
              </w:rPr>
              <w:t>Dengue Clásico</w:t>
            </w:r>
          </w:p>
        </w:tc>
        <w:tc>
          <w:tcPr>
            <w:tcW w:w="1985" w:type="dxa"/>
          </w:tcPr>
          <w:p>
            <w:pPr>
              <w:pStyle w:val="TableParagraph"/>
              <w:spacing w:before="31"/>
              <w:ind w:right="63"/>
              <w:jc w:val="right"/>
              <w:rPr>
                <w:sz w:val="22"/>
              </w:rPr>
            </w:pPr>
            <w:r>
              <w:rPr>
                <w:w w:val="99"/>
                <w:sz w:val="22"/>
              </w:rPr>
              <w:t>4</w:t>
            </w:r>
          </w:p>
        </w:tc>
        <w:tc>
          <w:tcPr>
            <w:tcW w:w="2693" w:type="dxa"/>
          </w:tcPr>
          <w:p>
            <w:pPr>
              <w:pStyle w:val="TableParagraph"/>
              <w:spacing w:before="31"/>
              <w:ind w:right="64"/>
              <w:jc w:val="right"/>
              <w:rPr>
                <w:sz w:val="22"/>
              </w:rPr>
            </w:pPr>
            <w:r>
              <w:rPr>
                <w:sz w:val="22"/>
              </w:rPr>
              <w:t>0.1</w:t>
            </w:r>
          </w:p>
        </w:tc>
      </w:tr>
      <w:tr>
        <w:trPr>
          <w:trHeight w:val="311" w:hRule="exact"/>
        </w:trPr>
        <w:tc>
          <w:tcPr>
            <w:tcW w:w="2338" w:type="dxa"/>
          </w:tcPr>
          <w:p>
            <w:pPr>
              <w:pStyle w:val="TableParagraph"/>
              <w:spacing w:before="31"/>
              <w:ind w:left="64"/>
              <w:jc w:val="left"/>
              <w:rPr>
                <w:sz w:val="22"/>
              </w:rPr>
            </w:pPr>
            <w:r>
              <w:rPr>
                <w:sz w:val="22"/>
              </w:rPr>
              <w:t>Dengue Hemorrágico</w:t>
            </w:r>
          </w:p>
        </w:tc>
        <w:tc>
          <w:tcPr>
            <w:tcW w:w="1985" w:type="dxa"/>
          </w:tcPr>
          <w:p>
            <w:pPr>
              <w:pStyle w:val="TableParagraph"/>
              <w:spacing w:before="31"/>
              <w:ind w:right="63"/>
              <w:jc w:val="right"/>
              <w:rPr>
                <w:sz w:val="22"/>
              </w:rPr>
            </w:pPr>
            <w:r>
              <w:rPr>
                <w:w w:val="99"/>
                <w:sz w:val="22"/>
              </w:rPr>
              <w:t>4</w:t>
            </w:r>
          </w:p>
        </w:tc>
        <w:tc>
          <w:tcPr>
            <w:tcW w:w="2693" w:type="dxa"/>
          </w:tcPr>
          <w:p>
            <w:pPr>
              <w:pStyle w:val="TableParagraph"/>
              <w:spacing w:before="31"/>
              <w:ind w:right="64"/>
              <w:jc w:val="right"/>
              <w:rPr>
                <w:sz w:val="22"/>
              </w:rPr>
            </w:pPr>
            <w:r>
              <w:rPr>
                <w:sz w:val="22"/>
              </w:rPr>
              <w:t>0.2</w:t>
            </w:r>
          </w:p>
        </w:tc>
      </w:tr>
      <w:tr>
        <w:trPr>
          <w:trHeight w:val="310" w:hRule="exact"/>
        </w:trPr>
        <w:tc>
          <w:tcPr>
            <w:tcW w:w="2338" w:type="dxa"/>
          </w:tcPr>
          <w:p>
            <w:pPr>
              <w:pStyle w:val="TableParagraph"/>
              <w:spacing w:before="30"/>
              <w:ind w:left="64"/>
              <w:jc w:val="left"/>
              <w:rPr>
                <w:sz w:val="22"/>
              </w:rPr>
            </w:pPr>
            <w:r>
              <w:rPr>
                <w:sz w:val="22"/>
              </w:rPr>
              <w:t>Infecciones Intestinales</w:t>
            </w:r>
          </w:p>
        </w:tc>
        <w:tc>
          <w:tcPr>
            <w:tcW w:w="1985" w:type="dxa"/>
          </w:tcPr>
          <w:p>
            <w:pPr>
              <w:pStyle w:val="TableParagraph"/>
              <w:spacing w:before="30"/>
              <w:ind w:right="63"/>
              <w:jc w:val="right"/>
              <w:rPr>
                <w:sz w:val="22"/>
              </w:rPr>
            </w:pPr>
            <w:r>
              <w:rPr>
                <w:w w:val="99"/>
                <w:sz w:val="22"/>
              </w:rPr>
              <w:t>2</w:t>
            </w:r>
          </w:p>
        </w:tc>
        <w:tc>
          <w:tcPr>
            <w:tcW w:w="2693" w:type="dxa"/>
          </w:tcPr>
          <w:p>
            <w:pPr>
              <w:pStyle w:val="TableParagraph"/>
              <w:spacing w:before="30"/>
              <w:ind w:right="64"/>
              <w:jc w:val="right"/>
              <w:rPr>
                <w:sz w:val="22"/>
              </w:rPr>
            </w:pPr>
            <w:r>
              <w:rPr>
                <w:sz w:val="22"/>
              </w:rPr>
              <w:t>0.1</w:t>
            </w:r>
          </w:p>
        </w:tc>
      </w:tr>
    </w:tbl>
    <w:p>
      <w:pPr>
        <w:pStyle w:val="BodyText"/>
        <w:spacing w:before="6"/>
        <w:rPr>
          <w:b/>
          <w:sz w:val="20"/>
        </w:rPr>
      </w:pPr>
    </w:p>
    <w:p>
      <w:pPr>
        <w:pStyle w:val="BodyText"/>
        <w:ind w:left="139" w:right="151"/>
        <w:jc w:val="center"/>
      </w:pPr>
      <w:r>
        <w:rPr/>
        <w:t>Fuente: Organización Mundial de la Salud (OPS, 2001), Global Burden of diseases (Murray, 1996) (Elaboración propia)</w:t>
      </w:r>
    </w:p>
    <w:p>
      <w:pPr>
        <w:pStyle w:val="Heading1"/>
        <w:ind w:left="137" w:right="151"/>
      </w:pPr>
      <w:r>
        <w:rPr/>
        <w:t>Tabla 3. Cálculo de medidas de frecuencia para infecciones intestinales</w:t>
      </w:r>
    </w:p>
    <w:tbl>
      <w:tblPr>
        <w:tblW w:w="0" w:type="auto"/>
        <w:jc w:val="left"/>
        <w:tblInd w:w="2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25"/>
        <w:gridCol w:w="620"/>
        <w:gridCol w:w="1022"/>
        <w:gridCol w:w="1316"/>
        <w:gridCol w:w="1093"/>
        <w:gridCol w:w="1734"/>
        <w:gridCol w:w="1870"/>
      </w:tblGrid>
      <w:tr>
        <w:trPr>
          <w:trHeight w:val="335" w:hRule="exact"/>
        </w:trPr>
        <w:tc>
          <w:tcPr>
            <w:tcW w:w="725" w:type="dxa"/>
            <w:tcBorders>
              <w:right w:val="single" w:sz="4" w:space="0" w:color="000000"/>
            </w:tcBorders>
          </w:tcPr>
          <w:p>
            <w:pPr>
              <w:pStyle w:val="TableParagraph"/>
              <w:spacing w:before="23"/>
              <w:ind w:left="166"/>
              <w:jc w:val="left"/>
              <w:rPr>
                <w:b/>
                <w:sz w:val="22"/>
              </w:rPr>
            </w:pPr>
            <w:r>
              <w:rPr>
                <w:b/>
                <w:sz w:val="22"/>
              </w:rPr>
              <w:t>Año</w:t>
            </w:r>
          </w:p>
        </w:tc>
        <w:tc>
          <w:tcPr>
            <w:tcW w:w="620" w:type="dxa"/>
            <w:tcBorders>
              <w:left w:val="single" w:sz="4" w:space="0" w:color="000000"/>
              <w:right w:val="single" w:sz="4" w:space="0" w:color="000000"/>
            </w:tcBorders>
          </w:tcPr>
          <w:p>
            <w:pPr>
              <w:pStyle w:val="TableParagraph"/>
              <w:spacing w:before="23"/>
              <w:ind w:right="79"/>
              <w:jc w:val="right"/>
              <w:rPr>
                <w:b/>
                <w:sz w:val="22"/>
              </w:rPr>
            </w:pPr>
            <w:r>
              <w:rPr>
                <w:b/>
                <w:sz w:val="22"/>
              </w:rPr>
              <w:t>Zona</w:t>
            </w:r>
          </w:p>
        </w:tc>
        <w:tc>
          <w:tcPr>
            <w:tcW w:w="1022" w:type="dxa"/>
            <w:tcBorders>
              <w:left w:val="single" w:sz="4" w:space="0" w:color="000000"/>
              <w:right w:val="single" w:sz="4" w:space="0" w:color="000000"/>
            </w:tcBorders>
          </w:tcPr>
          <w:p>
            <w:pPr>
              <w:pStyle w:val="TableParagraph"/>
              <w:spacing w:before="23"/>
              <w:ind w:left="149" w:right="151"/>
              <w:rPr>
                <w:b/>
                <w:sz w:val="22"/>
              </w:rPr>
            </w:pPr>
            <w:r>
              <w:rPr>
                <w:b/>
                <w:sz w:val="22"/>
              </w:rPr>
              <w:t>Casos</w:t>
            </w:r>
          </w:p>
        </w:tc>
        <w:tc>
          <w:tcPr>
            <w:tcW w:w="1316" w:type="dxa"/>
            <w:tcBorders>
              <w:left w:val="single" w:sz="4" w:space="0" w:color="000000"/>
              <w:right w:val="single" w:sz="12" w:space="0" w:color="000000"/>
            </w:tcBorders>
          </w:tcPr>
          <w:p>
            <w:pPr>
              <w:pStyle w:val="TableParagraph"/>
              <w:spacing w:before="23"/>
              <w:ind w:left="63" w:right="56"/>
              <w:rPr>
                <w:b/>
                <w:sz w:val="22"/>
              </w:rPr>
            </w:pPr>
            <w:r>
              <w:rPr>
                <w:b/>
                <w:sz w:val="22"/>
              </w:rPr>
              <w:t>Defunciones</w:t>
            </w:r>
          </w:p>
        </w:tc>
        <w:tc>
          <w:tcPr>
            <w:tcW w:w="1093" w:type="dxa"/>
            <w:tcBorders>
              <w:left w:val="single" w:sz="12" w:space="0" w:color="000000"/>
              <w:right w:val="single" w:sz="4" w:space="0" w:color="000000"/>
            </w:tcBorders>
          </w:tcPr>
          <w:p>
            <w:pPr>
              <w:pStyle w:val="TableParagraph"/>
              <w:spacing w:before="23"/>
              <w:ind w:left="61" w:right="72"/>
              <w:rPr>
                <w:b/>
                <w:sz w:val="22"/>
              </w:rPr>
            </w:pPr>
            <w:r>
              <w:rPr>
                <w:b/>
                <w:sz w:val="22"/>
              </w:rPr>
              <w:t>Población</w:t>
            </w:r>
          </w:p>
        </w:tc>
        <w:tc>
          <w:tcPr>
            <w:tcW w:w="1734" w:type="dxa"/>
            <w:tcBorders>
              <w:left w:val="single" w:sz="4" w:space="0" w:color="000000"/>
              <w:right w:val="single" w:sz="4" w:space="0" w:color="000000"/>
            </w:tcBorders>
          </w:tcPr>
          <w:p>
            <w:pPr>
              <w:pStyle w:val="TableParagraph"/>
              <w:spacing w:before="23"/>
              <w:ind w:left="83" w:right="85"/>
              <w:rPr>
                <w:b/>
                <w:sz w:val="22"/>
              </w:rPr>
            </w:pPr>
            <w:r>
              <w:rPr>
                <w:b/>
                <w:sz w:val="22"/>
              </w:rPr>
              <w:t>IA x 100000 hab.</w:t>
            </w:r>
          </w:p>
        </w:tc>
        <w:tc>
          <w:tcPr>
            <w:tcW w:w="1870" w:type="dxa"/>
            <w:tcBorders>
              <w:left w:val="single" w:sz="4" w:space="0" w:color="000000"/>
            </w:tcBorders>
          </w:tcPr>
          <w:p>
            <w:pPr>
              <w:pStyle w:val="TableParagraph"/>
              <w:spacing w:before="23"/>
              <w:ind w:left="67" w:right="66"/>
              <w:rPr>
                <w:b/>
                <w:sz w:val="22"/>
              </w:rPr>
            </w:pPr>
            <w:r>
              <w:rPr>
                <w:b/>
                <w:sz w:val="22"/>
              </w:rPr>
              <w:t>PM  x 100000 hab.</w:t>
            </w:r>
          </w:p>
        </w:tc>
      </w:tr>
      <w:tr>
        <w:trPr>
          <w:trHeight w:val="316" w:hRule="exact"/>
        </w:trPr>
        <w:tc>
          <w:tcPr>
            <w:tcW w:w="725" w:type="dxa"/>
            <w:vMerge w:val="restart"/>
            <w:tcBorders>
              <w:left w:val="single" w:sz="4" w:space="0" w:color="000000"/>
              <w:right w:val="single" w:sz="4" w:space="0" w:color="000000"/>
            </w:tcBorders>
          </w:tcPr>
          <w:p>
            <w:pPr>
              <w:pStyle w:val="TableParagraph"/>
              <w:spacing w:before="171"/>
              <w:ind w:left="133"/>
              <w:jc w:val="left"/>
              <w:rPr>
                <w:sz w:val="22"/>
              </w:rPr>
            </w:pPr>
            <w:r>
              <w:rPr>
                <w:sz w:val="22"/>
              </w:rPr>
              <w:t>2000</w:t>
            </w:r>
          </w:p>
        </w:tc>
        <w:tc>
          <w:tcPr>
            <w:tcW w:w="620" w:type="dxa"/>
            <w:tcBorders>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1</w:t>
            </w:r>
          </w:p>
        </w:tc>
        <w:tc>
          <w:tcPr>
            <w:tcW w:w="1022" w:type="dxa"/>
            <w:tcBorders>
              <w:left w:val="single" w:sz="4" w:space="0" w:color="000000"/>
              <w:bottom w:val="single" w:sz="4" w:space="0" w:color="000000"/>
              <w:right w:val="single" w:sz="4" w:space="0" w:color="000000"/>
            </w:tcBorders>
          </w:tcPr>
          <w:p>
            <w:pPr>
              <w:pStyle w:val="TableParagraph"/>
              <w:spacing w:before="16"/>
              <w:ind w:left="151" w:right="151"/>
              <w:rPr>
                <w:sz w:val="22"/>
              </w:rPr>
            </w:pPr>
            <w:r>
              <w:rPr>
                <w:sz w:val="22"/>
              </w:rPr>
              <w:t>371487</w:t>
            </w:r>
          </w:p>
        </w:tc>
        <w:tc>
          <w:tcPr>
            <w:tcW w:w="1316" w:type="dxa"/>
            <w:tcBorders>
              <w:left w:val="single" w:sz="4" w:space="0" w:color="000000"/>
              <w:bottom w:val="single" w:sz="4" w:space="0" w:color="000000"/>
              <w:right w:val="single" w:sz="12" w:space="0" w:color="000000"/>
            </w:tcBorders>
          </w:tcPr>
          <w:p>
            <w:pPr>
              <w:pStyle w:val="TableParagraph"/>
              <w:spacing w:before="16"/>
              <w:ind w:left="63" w:right="55"/>
              <w:rPr>
                <w:sz w:val="22"/>
              </w:rPr>
            </w:pPr>
            <w:r>
              <w:rPr>
                <w:sz w:val="22"/>
              </w:rPr>
              <w:t>275</w:t>
            </w:r>
          </w:p>
        </w:tc>
        <w:tc>
          <w:tcPr>
            <w:tcW w:w="1093" w:type="dxa"/>
            <w:tcBorders>
              <w:left w:val="single" w:sz="12" w:space="0" w:color="000000"/>
              <w:bottom w:val="single" w:sz="4" w:space="0" w:color="000000"/>
              <w:right w:val="single" w:sz="4" w:space="0" w:color="000000"/>
            </w:tcBorders>
          </w:tcPr>
          <w:p>
            <w:pPr>
              <w:pStyle w:val="TableParagraph"/>
              <w:spacing w:before="16"/>
              <w:ind w:left="61" w:right="71"/>
              <w:rPr>
                <w:sz w:val="22"/>
              </w:rPr>
            </w:pPr>
            <w:r>
              <w:rPr>
                <w:sz w:val="22"/>
              </w:rPr>
              <w:t>7782601</w:t>
            </w:r>
          </w:p>
        </w:tc>
        <w:tc>
          <w:tcPr>
            <w:tcW w:w="1734" w:type="dxa"/>
            <w:tcBorders>
              <w:left w:val="single" w:sz="4" w:space="0" w:color="000000"/>
              <w:bottom w:val="single" w:sz="4" w:space="0" w:color="000000"/>
              <w:right w:val="single" w:sz="4" w:space="0" w:color="000000"/>
            </w:tcBorders>
          </w:tcPr>
          <w:p>
            <w:pPr>
              <w:pStyle w:val="TableParagraph"/>
              <w:spacing w:before="16"/>
              <w:ind w:left="83" w:right="83"/>
              <w:rPr>
                <w:sz w:val="22"/>
              </w:rPr>
            </w:pPr>
            <w:r>
              <w:rPr>
                <w:sz w:val="22"/>
              </w:rPr>
              <w:t>4773.3</w:t>
            </w:r>
          </w:p>
        </w:tc>
        <w:tc>
          <w:tcPr>
            <w:tcW w:w="1870" w:type="dxa"/>
            <w:tcBorders>
              <w:left w:val="single" w:sz="4" w:space="0" w:color="000000"/>
              <w:bottom w:val="single" w:sz="4" w:space="0" w:color="000000"/>
              <w:right w:val="single" w:sz="4" w:space="0" w:color="000000"/>
            </w:tcBorders>
          </w:tcPr>
          <w:p>
            <w:pPr>
              <w:pStyle w:val="TableParagraph"/>
              <w:spacing w:before="16"/>
              <w:ind w:left="770" w:right="770"/>
              <w:rPr>
                <w:sz w:val="22"/>
              </w:rPr>
            </w:pPr>
            <w:r>
              <w:rPr>
                <w:sz w:val="22"/>
              </w:rPr>
              <w:t>3.5</w:t>
            </w:r>
          </w:p>
        </w:tc>
      </w:tr>
      <w:tr>
        <w:trPr>
          <w:trHeight w:val="310"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85440</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4"/>
              <w:rPr>
                <w:sz w:val="22"/>
              </w:rPr>
            </w:pPr>
            <w:r>
              <w:rPr>
                <w:sz w:val="22"/>
              </w:rPr>
              <w:t>26</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1548543</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5517.4</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1.7</w:t>
            </w:r>
          </w:p>
        </w:tc>
      </w:tr>
      <w:tr>
        <w:trPr>
          <w:trHeight w:val="311" w:hRule="exact"/>
        </w:trPr>
        <w:tc>
          <w:tcPr>
            <w:tcW w:w="725" w:type="dxa"/>
            <w:vMerge w:val="restart"/>
            <w:tcBorders>
              <w:top w:val="single" w:sz="4" w:space="0" w:color="000000"/>
              <w:left w:val="single" w:sz="4" w:space="0" w:color="000000"/>
              <w:right w:val="single" w:sz="4" w:space="0" w:color="000000"/>
            </w:tcBorders>
          </w:tcPr>
          <w:p>
            <w:pPr>
              <w:pStyle w:val="TableParagraph"/>
              <w:spacing w:before="171"/>
              <w:ind w:left="133"/>
              <w:jc w:val="left"/>
              <w:rPr>
                <w:sz w:val="22"/>
              </w:rPr>
            </w:pPr>
            <w:r>
              <w:rPr>
                <w:sz w:val="22"/>
              </w:rPr>
              <w:t>2001</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6"/>
              <w:ind w:left="151" w:right="151"/>
              <w:rPr>
                <w:sz w:val="22"/>
              </w:rPr>
            </w:pPr>
            <w:r>
              <w:rPr>
                <w:sz w:val="22"/>
              </w:rPr>
              <w:t>340000</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spacing w:before="16"/>
              <w:ind w:left="63" w:right="55"/>
              <w:rPr>
                <w:sz w:val="22"/>
              </w:rPr>
            </w:pPr>
            <w:r>
              <w:rPr>
                <w:sz w:val="22"/>
              </w:rPr>
              <w:t>221</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spacing w:before="16"/>
              <w:ind w:left="61" w:right="71"/>
              <w:rPr>
                <w:sz w:val="22"/>
              </w:rPr>
            </w:pPr>
            <w:r>
              <w:rPr>
                <w:sz w:val="22"/>
              </w:rPr>
              <w:t>7864795</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spacing w:before="16"/>
              <w:ind w:left="83" w:right="83"/>
              <w:rPr>
                <w:sz w:val="22"/>
              </w:rPr>
            </w:pPr>
            <w:r>
              <w:rPr>
                <w:sz w:val="22"/>
              </w:rPr>
              <w:t>4323.1</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spacing w:before="16"/>
              <w:ind w:left="770" w:right="770"/>
              <w:rPr>
                <w:sz w:val="22"/>
              </w:rPr>
            </w:pPr>
            <w:r>
              <w:rPr>
                <w:sz w:val="22"/>
              </w:rPr>
              <w:t>2.8</w:t>
            </w:r>
          </w:p>
        </w:tc>
      </w:tr>
      <w:tr>
        <w:trPr>
          <w:trHeight w:val="310"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84623</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4"/>
              <w:rPr>
                <w:sz w:val="22"/>
              </w:rPr>
            </w:pPr>
            <w:r>
              <w:rPr>
                <w:sz w:val="22"/>
              </w:rPr>
              <w:t>29</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1557821</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5432.1</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1.9</w:t>
            </w:r>
          </w:p>
        </w:tc>
      </w:tr>
      <w:tr>
        <w:trPr>
          <w:trHeight w:val="310" w:hRule="exact"/>
        </w:trPr>
        <w:tc>
          <w:tcPr>
            <w:tcW w:w="725" w:type="dxa"/>
            <w:vMerge w:val="restart"/>
            <w:tcBorders>
              <w:top w:val="single" w:sz="4" w:space="0" w:color="000000"/>
              <w:left w:val="single" w:sz="4" w:space="0" w:color="000000"/>
              <w:right w:val="single" w:sz="4" w:space="0" w:color="000000"/>
            </w:tcBorders>
          </w:tcPr>
          <w:p>
            <w:pPr>
              <w:pStyle w:val="TableParagraph"/>
              <w:spacing w:before="171"/>
              <w:ind w:left="133"/>
              <w:jc w:val="left"/>
              <w:rPr>
                <w:sz w:val="22"/>
              </w:rPr>
            </w:pPr>
            <w:r>
              <w:rPr>
                <w:sz w:val="22"/>
              </w:rPr>
              <w:t>2002</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387670</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5"/>
              <w:rPr>
                <w:sz w:val="22"/>
              </w:rPr>
            </w:pPr>
            <w:r>
              <w:rPr>
                <w:sz w:val="22"/>
              </w:rPr>
              <w:t>355</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7918110</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4896.0</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4.5</w:t>
            </w:r>
          </w:p>
        </w:tc>
      </w:tr>
      <w:tr>
        <w:trPr>
          <w:trHeight w:val="311"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6"/>
              <w:ind w:left="151" w:right="151"/>
              <w:rPr>
                <w:sz w:val="22"/>
              </w:rPr>
            </w:pPr>
            <w:r>
              <w:rPr>
                <w:sz w:val="22"/>
              </w:rPr>
              <w:t>80043</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spacing w:before="16"/>
              <w:ind w:left="63" w:right="54"/>
              <w:rPr>
                <w:sz w:val="22"/>
              </w:rPr>
            </w:pPr>
            <w:r>
              <w:rPr>
                <w:sz w:val="22"/>
              </w:rPr>
              <w:t>71</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spacing w:before="16"/>
              <w:ind w:left="61" w:right="71"/>
              <w:rPr>
                <w:sz w:val="22"/>
              </w:rPr>
            </w:pPr>
            <w:r>
              <w:rPr>
                <w:sz w:val="22"/>
              </w:rPr>
              <w:t>1579823</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spacing w:before="16"/>
              <w:ind w:left="83" w:right="83"/>
              <w:rPr>
                <w:sz w:val="22"/>
              </w:rPr>
            </w:pPr>
            <w:r>
              <w:rPr>
                <w:sz w:val="22"/>
              </w:rPr>
              <w:t>5066.6</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spacing w:before="16"/>
              <w:ind w:left="770" w:right="770"/>
              <w:rPr>
                <w:sz w:val="22"/>
              </w:rPr>
            </w:pPr>
            <w:r>
              <w:rPr>
                <w:sz w:val="22"/>
              </w:rPr>
              <w:t>4.5</w:t>
            </w:r>
          </w:p>
        </w:tc>
      </w:tr>
      <w:tr>
        <w:trPr>
          <w:trHeight w:val="310" w:hRule="exact"/>
        </w:trPr>
        <w:tc>
          <w:tcPr>
            <w:tcW w:w="725" w:type="dxa"/>
            <w:vMerge w:val="restart"/>
            <w:tcBorders>
              <w:top w:val="single" w:sz="4" w:space="0" w:color="000000"/>
              <w:left w:val="single" w:sz="4" w:space="0" w:color="000000"/>
              <w:right w:val="single" w:sz="4" w:space="0" w:color="000000"/>
            </w:tcBorders>
          </w:tcPr>
          <w:p>
            <w:pPr>
              <w:pStyle w:val="TableParagraph"/>
              <w:spacing w:before="169"/>
              <w:ind w:left="133"/>
              <w:jc w:val="left"/>
              <w:rPr>
                <w:sz w:val="22"/>
              </w:rPr>
            </w:pPr>
            <w:r>
              <w:rPr>
                <w:sz w:val="22"/>
              </w:rPr>
              <w:t>2003</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380229</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5"/>
              <w:rPr>
                <w:sz w:val="22"/>
              </w:rPr>
            </w:pPr>
            <w:r>
              <w:rPr>
                <w:sz w:val="22"/>
              </w:rPr>
              <w:t>347</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7983307</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4762.8</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4.3</w:t>
            </w:r>
          </w:p>
        </w:tc>
      </w:tr>
      <w:tr>
        <w:trPr>
          <w:trHeight w:val="310"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80930</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4"/>
              <w:rPr>
                <w:sz w:val="22"/>
              </w:rPr>
            </w:pPr>
            <w:r>
              <w:rPr>
                <w:sz w:val="22"/>
              </w:rPr>
              <w:t>59</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1604038</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5045.4</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3.7</w:t>
            </w:r>
          </w:p>
        </w:tc>
      </w:tr>
      <w:tr>
        <w:trPr>
          <w:trHeight w:val="311" w:hRule="exact"/>
        </w:trPr>
        <w:tc>
          <w:tcPr>
            <w:tcW w:w="725" w:type="dxa"/>
            <w:vMerge w:val="restart"/>
            <w:tcBorders>
              <w:top w:val="single" w:sz="4" w:space="0" w:color="000000"/>
              <w:left w:val="single" w:sz="4" w:space="0" w:color="000000"/>
              <w:right w:val="single" w:sz="4" w:space="0" w:color="000000"/>
            </w:tcBorders>
          </w:tcPr>
          <w:p>
            <w:pPr>
              <w:pStyle w:val="TableParagraph"/>
              <w:spacing w:before="171"/>
              <w:ind w:left="133"/>
              <w:jc w:val="left"/>
              <w:rPr>
                <w:sz w:val="22"/>
              </w:rPr>
            </w:pPr>
            <w:r>
              <w:rPr>
                <w:sz w:val="22"/>
              </w:rPr>
              <w:t>2004</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6"/>
              <w:ind w:left="151" w:right="151"/>
              <w:rPr>
                <w:sz w:val="22"/>
              </w:rPr>
            </w:pPr>
            <w:r>
              <w:rPr>
                <w:sz w:val="22"/>
              </w:rPr>
              <w:t>369764</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spacing w:before="16"/>
              <w:ind w:left="63" w:right="54"/>
              <w:rPr>
                <w:sz w:val="22"/>
              </w:rPr>
            </w:pPr>
            <w:r>
              <w:rPr>
                <w:sz w:val="22"/>
              </w:rPr>
              <w:t>27</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spacing w:before="16"/>
              <w:ind w:left="61" w:right="71"/>
              <w:rPr>
                <w:sz w:val="22"/>
              </w:rPr>
            </w:pPr>
            <w:r>
              <w:rPr>
                <w:sz w:val="22"/>
              </w:rPr>
              <w:t>8060713</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spacing w:before="16"/>
              <w:ind w:left="83" w:right="83"/>
              <w:rPr>
                <w:sz w:val="22"/>
              </w:rPr>
            </w:pPr>
            <w:r>
              <w:rPr>
                <w:sz w:val="22"/>
              </w:rPr>
              <w:t>4587.2</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spacing w:before="16"/>
              <w:ind w:left="770" w:right="770"/>
              <w:rPr>
                <w:sz w:val="22"/>
              </w:rPr>
            </w:pPr>
            <w:r>
              <w:rPr>
                <w:sz w:val="22"/>
              </w:rPr>
              <w:t>0.3</w:t>
            </w:r>
          </w:p>
        </w:tc>
      </w:tr>
      <w:tr>
        <w:trPr>
          <w:trHeight w:val="310"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76946</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8"/>
              <w:rPr>
                <w:sz w:val="22"/>
              </w:rPr>
            </w:pPr>
            <w:r>
              <w:rPr>
                <w:w w:val="99"/>
                <w:sz w:val="22"/>
              </w:rPr>
              <w:t>5</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1630760</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4718.4</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0.3</w:t>
            </w:r>
          </w:p>
        </w:tc>
      </w:tr>
      <w:tr>
        <w:trPr>
          <w:trHeight w:val="310" w:hRule="exact"/>
        </w:trPr>
        <w:tc>
          <w:tcPr>
            <w:tcW w:w="725" w:type="dxa"/>
            <w:vMerge w:val="restart"/>
            <w:tcBorders>
              <w:top w:val="single" w:sz="4" w:space="0" w:color="000000"/>
              <w:left w:val="single" w:sz="4" w:space="0" w:color="000000"/>
              <w:right w:val="single" w:sz="4" w:space="0" w:color="000000"/>
            </w:tcBorders>
          </w:tcPr>
          <w:p>
            <w:pPr>
              <w:pStyle w:val="TableParagraph"/>
              <w:spacing w:before="171"/>
              <w:ind w:left="133"/>
              <w:jc w:val="left"/>
              <w:rPr>
                <w:sz w:val="22"/>
              </w:rPr>
            </w:pPr>
            <w:r>
              <w:rPr>
                <w:sz w:val="22"/>
              </w:rPr>
              <w:t>2005</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360260</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5"/>
              <w:rPr>
                <w:sz w:val="22"/>
              </w:rPr>
            </w:pPr>
            <w:r>
              <w:rPr>
                <w:sz w:val="22"/>
              </w:rPr>
              <w:t>321</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8128646</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4432.0</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3.9</w:t>
            </w:r>
          </w:p>
        </w:tc>
      </w:tr>
      <w:tr>
        <w:trPr>
          <w:trHeight w:val="311"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6"/>
              <w:ind w:left="151" w:right="151"/>
              <w:rPr>
                <w:sz w:val="22"/>
              </w:rPr>
            </w:pPr>
            <w:r>
              <w:rPr>
                <w:sz w:val="22"/>
              </w:rPr>
              <w:t>85362</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spacing w:before="16"/>
              <w:ind w:left="63" w:right="54"/>
              <w:rPr>
                <w:sz w:val="22"/>
              </w:rPr>
            </w:pPr>
            <w:r>
              <w:rPr>
                <w:sz w:val="22"/>
              </w:rPr>
              <w:t>74</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spacing w:before="16"/>
              <w:ind w:left="61" w:right="71"/>
              <w:rPr>
                <w:sz w:val="22"/>
              </w:rPr>
            </w:pPr>
            <w:r>
              <w:rPr>
                <w:sz w:val="22"/>
              </w:rPr>
              <w:t>1660395</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spacing w:before="16"/>
              <w:ind w:left="83" w:right="83"/>
              <w:rPr>
                <w:sz w:val="22"/>
              </w:rPr>
            </w:pPr>
            <w:r>
              <w:rPr>
                <w:sz w:val="22"/>
              </w:rPr>
              <w:t>5141.0</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spacing w:before="16"/>
              <w:ind w:left="770" w:right="770"/>
              <w:rPr>
                <w:sz w:val="22"/>
              </w:rPr>
            </w:pPr>
            <w:r>
              <w:rPr>
                <w:sz w:val="22"/>
              </w:rPr>
              <w:t>4.5</w:t>
            </w:r>
          </w:p>
        </w:tc>
      </w:tr>
      <w:tr>
        <w:trPr>
          <w:trHeight w:val="310" w:hRule="exact"/>
        </w:trPr>
        <w:tc>
          <w:tcPr>
            <w:tcW w:w="725" w:type="dxa"/>
            <w:vMerge w:val="restart"/>
            <w:tcBorders>
              <w:top w:val="single" w:sz="4" w:space="0" w:color="000000"/>
              <w:left w:val="single" w:sz="4" w:space="0" w:color="000000"/>
              <w:right w:val="single" w:sz="4" w:space="0" w:color="000000"/>
            </w:tcBorders>
          </w:tcPr>
          <w:p>
            <w:pPr>
              <w:pStyle w:val="TableParagraph"/>
              <w:spacing w:before="169"/>
              <w:ind w:left="133"/>
              <w:jc w:val="left"/>
              <w:rPr>
                <w:sz w:val="22"/>
              </w:rPr>
            </w:pPr>
            <w:r>
              <w:rPr>
                <w:sz w:val="22"/>
              </w:rPr>
              <w:t>2006</w:t>
            </w: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jc w:val="right"/>
              <w:rPr>
                <w:sz w:val="22"/>
              </w:rPr>
            </w:pPr>
            <w:r>
              <w:rPr>
                <w:w w:val="99"/>
                <w:sz w:val="22"/>
              </w:rPr>
              <w:t>1</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332551</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5"/>
              <w:rPr>
                <w:sz w:val="22"/>
              </w:rPr>
            </w:pPr>
            <w:r>
              <w:rPr>
                <w:sz w:val="22"/>
              </w:rPr>
              <w:t>263</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8258874</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4026.6</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3.2</w:t>
            </w:r>
          </w:p>
        </w:tc>
      </w:tr>
      <w:tr>
        <w:trPr>
          <w:trHeight w:val="311" w:hRule="exact"/>
        </w:trPr>
        <w:tc>
          <w:tcPr>
            <w:tcW w:w="725" w:type="dxa"/>
            <w:vMerge/>
            <w:tcBorders>
              <w:left w:val="single" w:sz="4" w:space="0" w:color="000000"/>
              <w:bottom w:val="single" w:sz="4" w:space="0" w:color="000000"/>
              <w:right w:val="single" w:sz="4" w:space="0" w:color="000000"/>
            </w:tcBorders>
          </w:tcPr>
          <w:p>
            <w:pPr/>
          </w:p>
        </w:tc>
        <w:tc>
          <w:tcPr>
            <w:tcW w:w="620" w:type="dxa"/>
            <w:tcBorders>
              <w:top w:val="single" w:sz="4" w:space="0" w:color="000000"/>
              <w:left w:val="single" w:sz="4" w:space="0" w:color="000000"/>
              <w:bottom w:val="single" w:sz="4" w:space="0" w:color="000000"/>
              <w:right w:val="single" w:sz="4" w:space="0" w:color="000000"/>
            </w:tcBorders>
          </w:tcPr>
          <w:p>
            <w:pPr>
              <w:pStyle w:val="TableParagraph"/>
              <w:spacing w:before="31"/>
              <w:ind w:right="63"/>
              <w:jc w:val="right"/>
              <w:rPr>
                <w:sz w:val="22"/>
              </w:rPr>
            </w:pPr>
            <w:r>
              <w:rPr>
                <w:w w:val="99"/>
                <w:sz w:val="22"/>
              </w:rPr>
              <w:t>2</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151" w:right="151"/>
              <w:rPr>
                <w:sz w:val="22"/>
              </w:rPr>
            </w:pPr>
            <w:r>
              <w:rPr>
                <w:sz w:val="22"/>
              </w:rPr>
              <w:t>82787</w:t>
            </w:r>
          </w:p>
        </w:tc>
        <w:tc>
          <w:tcPr>
            <w:tcW w:w="1316" w:type="dxa"/>
            <w:tcBorders>
              <w:top w:val="single" w:sz="4" w:space="0" w:color="000000"/>
              <w:left w:val="single" w:sz="4" w:space="0" w:color="000000"/>
              <w:bottom w:val="single" w:sz="4" w:space="0" w:color="000000"/>
              <w:right w:val="single" w:sz="12" w:space="0" w:color="000000"/>
            </w:tcBorders>
          </w:tcPr>
          <w:p>
            <w:pPr>
              <w:pStyle w:val="TableParagraph"/>
              <w:ind w:left="63" w:right="54"/>
              <w:rPr>
                <w:sz w:val="22"/>
              </w:rPr>
            </w:pPr>
            <w:r>
              <w:rPr>
                <w:sz w:val="22"/>
              </w:rPr>
              <w:t>44</w:t>
            </w:r>
          </w:p>
        </w:tc>
        <w:tc>
          <w:tcPr>
            <w:tcW w:w="1093" w:type="dxa"/>
            <w:tcBorders>
              <w:top w:val="single" w:sz="4" w:space="0" w:color="000000"/>
              <w:left w:val="single" w:sz="12" w:space="0" w:color="000000"/>
              <w:bottom w:val="single" w:sz="4" w:space="0" w:color="000000"/>
              <w:right w:val="single" w:sz="4" w:space="0" w:color="000000"/>
            </w:tcBorders>
          </w:tcPr>
          <w:p>
            <w:pPr>
              <w:pStyle w:val="TableParagraph"/>
              <w:ind w:left="61" w:right="71"/>
              <w:rPr>
                <w:sz w:val="22"/>
              </w:rPr>
            </w:pPr>
            <w:r>
              <w:rPr>
                <w:sz w:val="22"/>
              </w:rPr>
              <w:t>1693532</w:t>
            </w:r>
          </w:p>
        </w:tc>
        <w:tc>
          <w:tcPr>
            <w:tcW w:w="1734" w:type="dxa"/>
            <w:tcBorders>
              <w:top w:val="single" w:sz="4" w:space="0" w:color="000000"/>
              <w:left w:val="single" w:sz="4" w:space="0" w:color="000000"/>
              <w:bottom w:val="single" w:sz="4" w:space="0" w:color="000000"/>
              <w:right w:val="single" w:sz="4" w:space="0" w:color="000000"/>
            </w:tcBorders>
          </w:tcPr>
          <w:p>
            <w:pPr>
              <w:pStyle w:val="TableParagraph"/>
              <w:ind w:left="83" w:right="83"/>
              <w:rPr>
                <w:sz w:val="22"/>
              </w:rPr>
            </w:pPr>
            <w:r>
              <w:rPr>
                <w:sz w:val="22"/>
              </w:rPr>
              <w:t>4888.4</w:t>
            </w:r>
          </w:p>
        </w:tc>
        <w:tc>
          <w:tcPr>
            <w:tcW w:w="1870" w:type="dxa"/>
            <w:tcBorders>
              <w:top w:val="single" w:sz="4" w:space="0" w:color="000000"/>
              <w:left w:val="single" w:sz="4" w:space="0" w:color="000000"/>
              <w:bottom w:val="single" w:sz="4" w:space="0" w:color="000000"/>
              <w:right w:val="single" w:sz="4" w:space="0" w:color="000000"/>
            </w:tcBorders>
          </w:tcPr>
          <w:p>
            <w:pPr>
              <w:pStyle w:val="TableParagraph"/>
              <w:ind w:left="770" w:right="770"/>
              <w:rPr>
                <w:sz w:val="22"/>
              </w:rPr>
            </w:pPr>
            <w:r>
              <w:rPr>
                <w:sz w:val="22"/>
              </w:rPr>
              <w:t>2.6</w:t>
            </w:r>
          </w:p>
        </w:tc>
      </w:tr>
    </w:tbl>
    <w:p>
      <w:pPr>
        <w:spacing w:line="227" w:lineRule="exact" w:before="0"/>
        <w:ind w:left="101" w:right="0" w:firstLine="0"/>
        <w:jc w:val="left"/>
        <w:rPr>
          <w:sz w:val="20"/>
        </w:rPr>
      </w:pPr>
      <w:r>
        <w:rPr>
          <w:sz w:val="20"/>
        </w:rPr>
        <w:t>Zona 1=Población sin riesgo, zona 2= Población con riesgo, IA= Incidencia acumulada, PM= Probabilidad de</w:t>
      </w:r>
    </w:p>
    <w:p>
      <w:pPr>
        <w:spacing w:after="0" w:line="227" w:lineRule="exact"/>
        <w:jc w:val="left"/>
        <w:rPr>
          <w:sz w:val="20"/>
        </w:rPr>
        <w:sectPr>
          <w:footerReference w:type="default" r:id="rId28"/>
          <w:pgSz w:w="12240" w:h="15840"/>
          <w:pgMar w:footer="1184" w:header="0" w:top="1500" w:bottom="1380" w:left="1620" w:right="1600"/>
          <w:pgNumType w:start="11"/>
        </w:sectPr>
      </w:pPr>
    </w:p>
    <w:p>
      <w:pPr>
        <w:pStyle w:val="BodyText"/>
        <w:rPr>
          <w:sz w:val="20"/>
        </w:rPr>
      </w:pPr>
    </w:p>
    <w:p>
      <w:pPr>
        <w:pStyle w:val="BodyText"/>
        <w:rPr>
          <w:sz w:val="20"/>
        </w:rPr>
      </w:pPr>
    </w:p>
    <w:p>
      <w:pPr>
        <w:pStyle w:val="BodyText"/>
        <w:spacing w:before="5"/>
        <w:rPr>
          <w:sz w:val="20"/>
        </w:rPr>
      </w:pPr>
    </w:p>
    <w:p>
      <w:pPr>
        <w:pStyle w:val="Heading1"/>
        <w:spacing w:before="71" w:after="55"/>
        <w:ind w:right="305"/>
      </w:pPr>
      <w:r>
        <w:rPr/>
        <w:t>Tabla 4. Resultados de AVAD y riesgo relativo para infecciones intestinales</w:t>
      </w:r>
    </w:p>
    <w:tbl>
      <w:tblPr>
        <w:tblW w:w="0" w:type="auto"/>
        <w:jc w:val="left"/>
        <w:tblInd w:w="3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854"/>
        <w:gridCol w:w="1134"/>
        <w:gridCol w:w="1134"/>
        <w:gridCol w:w="1134"/>
        <w:gridCol w:w="1744"/>
        <w:gridCol w:w="840"/>
      </w:tblGrid>
      <w:tr>
        <w:trPr>
          <w:trHeight w:val="558" w:hRule="exact"/>
        </w:trPr>
        <w:tc>
          <w:tcPr>
            <w:tcW w:w="1200" w:type="dxa"/>
            <w:tcBorders>
              <w:right w:val="single" w:sz="4" w:space="0" w:color="000000"/>
            </w:tcBorders>
          </w:tcPr>
          <w:p>
            <w:pPr>
              <w:pStyle w:val="TableParagraph"/>
              <w:spacing w:before="7"/>
              <w:jc w:val="left"/>
              <w:rPr>
                <w:rFonts w:ascii="Times New Roman"/>
                <w:b/>
                <w:sz w:val="23"/>
              </w:rPr>
            </w:pPr>
          </w:p>
          <w:p>
            <w:pPr>
              <w:pStyle w:val="TableParagraph"/>
              <w:spacing w:before="1"/>
              <w:ind w:left="385" w:right="391"/>
              <w:rPr>
                <w:b/>
                <w:sz w:val="22"/>
              </w:rPr>
            </w:pPr>
            <w:r>
              <w:rPr>
                <w:b/>
                <w:sz w:val="22"/>
              </w:rPr>
              <w:t>Año</w:t>
            </w:r>
          </w:p>
        </w:tc>
        <w:tc>
          <w:tcPr>
            <w:tcW w:w="854" w:type="dxa"/>
            <w:tcBorders>
              <w:left w:val="single" w:sz="4" w:space="0" w:color="000000"/>
              <w:right w:val="single" w:sz="4" w:space="0" w:color="000000"/>
            </w:tcBorders>
          </w:tcPr>
          <w:p>
            <w:pPr>
              <w:pStyle w:val="TableParagraph"/>
              <w:spacing w:before="7"/>
              <w:jc w:val="left"/>
              <w:rPr>
                <w:rFonts w:ascii="Times New Roman"/>
                <w:b/>
                <w:sz w:val="23"/>
              </w:rPr>
            </w:pPr>
          </w:p>
          <w:p>
            <w:pPr>
              <w:pStyle w:val="TableParagraph"/>
              <w:spacing w:before="1"/>
              <w:ind w:left="177" w:right="177"/>
              <w:rPr>
                <w:b/>
                <w:sz w:val="22"/>
              </w:rPr>
            </w:pPr>
            <w:r>
              <w:rPr>
                <w:b/>
                <w:sz w:val="22"/>
              </w:rPr>
              <w:t>Zona</w:t>
            </w:r>
          </w:p>
        </w:tc>
        <w:tc>
          <w:tcPr>
            <w:tcW w:w="1134" w:type="dxa"/>
            <w:tcBorders>
              <w:left w:val="single" w:sz="4" w:space="0" w:color="000000"/>
              <w:right w:val="single" w:sz="4" w:space="0" w:color="000000"/>
            </w:tcBorders>
          </w:tcPr>
          <w:p>
            <w:pPr>
              <w:pStyle w:val="TableParagraph"/>
              <w:spacing w:before="7"/>
              <w:jc w:val="left"/>
              <w:rPr>
                <w:rFonts w:ascii="Times New Roman"/>
                <w:b/>
                <w:sz w:val="23"/>
              </w:rPr>
            </w:pPr>
          </w:p>
          <w:p>
            <w:pPr>
              <w:pStyle w:val="TableParagraph"/>
              <w:spacing w:before="1"/>
              <w:ind w:left="372"/>
              <w:jc w:val="left"/>
              <w:rPr>
                <w:b/>
                <w:sz w:val="22"/>
              </w:rPr>
            </w:pPr>
            <w:r>
              <w:rPr>
                <w:b/>
                <w:sz w:val="22"/>
              </w:rPr>
              <w:t>AVP</w:t>
            </w:r>
          </w:p>
        </w:tc>
        <w:tc>
          <w:tcPr>
            <w:tcW w:w="1134" w:type="dxa"/>
            <w:tcBorders>
              <w:left w:val="single" w:sz="4" w:space="0" w:color="000000"/>
              <w:right w:val="single" w:sz="4" w:space="0" w:color="000000"/>
            </w:tcBorders>
          </w:tcPr>
          <w:p>
            <w:pPr>
              <w:pStyle w:val="TableParagraph"/>
              <w:spacing w:before="7"/>
              <w:jc w:val="left"/>
              <w:rPr>
                <w:rFonts w:ascii="Times New Roman"/>
                <w:b/>
                <w:sz w:val="23"/>
              </w:rPr>
            </w:pPr>
          </w:p>
          <w:p>
            <w:pPr>
              <w:pStyle w:val="TableParagraph"/>
              <w:spacing w:before="1"/>
              <w:ind w:left="263" w:right="263"/>
              <w:rPr>
                <w:b/>
                <w:sz w:val="22"/>
              </w:rPr>
            </w:pPr>
            <w:r>
              <w:rPr>
                <w:b/>
                <w:sz w:val="22"/>
              </w:rPr>
              <w:t>AVD</w:t>
            </w:r>
          </w:p>
        </w:tc>
        <w:tc>
          <w:tcPr>
            <w:tcW w:w="1134" w:type="dxa"/>
            <w:tcBorders>
              <w:left w:val="single" w:sz="4" w:space="0" w:color="000000"/>
              <w:right w:val="single" w:sz="4" w:space="0" w:color="000000"/>
            </w:tcBorders>
          </w:tcPr>
          <w:p>
            <w:pPr>
              <w:pStyle w:val="TableParagraph"/>
              <w:spacing w:before="7"/>
              <w:jc w:val="left"/>
              <w:rPr>
                <w:rFonts w:ascii="Times New Roman"/>
                <w:b/>
                <w:sz w:val="23"/>
              </w:rPr>
            </w:pPr>
          </w:p>
          <w:p>
            <w:pPr>
              <w:pStyle w:val="TableParagraph"/>
              <w:spacing w:before="1"/>
              <w:ind w:left="263" w:right="263"/>
              <w:rPr>
                <w:b/>
                <w:sz w:val="22"/>
              </w:rPr>
            </w:pPr>
            <w:r>
              <w:rPr>
                <w:b/>
                <w:sz w:val="22"/>
              </w:rPr>
              <w:t>AVAD</w:t>
            </w:r>
          </w:p>
        </w:tc>
        <w:tc>
          <w:tcPr>
            <w:tcW w:w="1744" w:type="dxa"/>
            <w:tcBorders>
              <w:left w:val="single" w:sz="4" w:space="0" w:color="000000"/>
              <w:right w:val="single" w:sz="4" w:space="0" w:color="000000"/>
            </w:tcBorders>
          </w:tcPr>
          <w:p>
            <w:pPr>
              <w:pStyle w:val="TableParagraph"/>
              <w:spacing w:before="3"/>
              <w:ind w:left="305" w:right="273" w:hanging="14"/>
              <w:jc w:val="left"/>
              <w:rPr>
                <w:b/>
                <w:sz w:val="22"/>
              </w:rPr>
            </w:pPr>
            <w:r>
              <w:rPr>
                <w:b/>
                <w:sz w:val="22"/>
              </w:rPr>
              <w:t>Tasa AVAD x 100000 hab.</w:t>
            </w:r>
          </w:p>
        </w:tc>
        <w:tc>
          <w:tcPr>
            <w:tcW w:w="840" w:type="dxa"/>
            <w:tcBorders>
              <w:left w:val="single" w:sz="4" w:space="0" w:color="000000"/>
            </w:tcBorders>
          </w:tcPr>
          <w:p>
            <w:pPr>
              <w:pStyle w:val="TableParagraph"/>
              <w:spacing w:before="7"/>
              <w:jc w:val="left"/>
              <w:rPr>
                <w:rFonts w:ascii="Times New Roman"/>
                <w:b/>
                <w:sz w:val="23"/>
              </w:rPr>
            </w:pPr>
          </w:p>
          <w:p>
            <w:pPr>
              <w:pStyle w:val="TableParagraph"/>
              <w:spacing w:before="1"/>
              <w:ind w:left="269" w:right="267"/>
              <w:rPr>
                <w:b/>
                <w:sz w:val="22"/>
              </w:rPr>
            </w:pPr>
            <w:r>
              <w:rPr>
                <w:b/>
                <w:sz w:val="22"/>
              </w:rPr>
              <w:t>RR</w:t>
            </w:r>
          </w:p>
        </w:tc>
      </w:tr>
      <w:tr>
        <w:trPr>
          <w:trHeight w:val="314" w:hRule="exact"/>
        </w:trPr>
        <w:tc>
          <w:tcPr>
            <w:tcW w:w="1200" w:type="dxa"/>
            <w:vMerge w:val="restart"/>
            <w:tcBorders>
              <w:right w:val="single" w:sz="4" w:space="0" w:color="000000"/>
            </w:tcBorders>
          </w:tcPr>
          <w:p>
            <w:pPr>
              <w:pStyle w:val="TableParagraph"/>
              <w:spacing w:before="186"/>
              <w:ind w:left="365"/>
              <w:jc w:val="left"/>
              <w:rPr>
                <w:sz w:val="22"/>
              </w:rPr>
            </w:pPr>
            <w:r>
              <w:rPr>
                <w:sz w:val="22"/>
              </w:rPr>
              <w:t>2000</w:t>
            </w:r>
          </w:p>
        </w:tc>
        <w:tc>
          <w:tcPr>
            <w:tcW w:w="854" w:type="dxa"/>
            <w:tcBorders>
              <w:left w:val="single" w:sz="4" w:space="0" w:color="000000"/>
              <w:bottom w:val="single" w:sz="4" w:space="0" w:color="000000"/>
              <w:right w:val="single" w:sz="4" w:space="0" w:color="000000"/>
            </w:tcBorders>
          </w:tcPr>
          <w:p>
            <w:pPr>
              <w:pStyle w:val="TableParagraph"/>
              <w:spacing w:before="18"/>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8"/>
              <w:ind w:left="339"/>
              <w:jc w:val="left"/>
              <w:rPr>
                <w:sz w:val="22"/>
              </w:rPr>
            </w:pPr>
            <w:r>
              <w:rPr>
                <w:sz w:val="22"/>
              </w:rPr>
              <w:t>6918</w:t>
            </w:r>
          </w:p>
        </w:tc>
        <w:tc>
          <w:tcPr>
            <w:tcW w:w="1134" w:type="dxa"/>
            <w:tcBorders>
              <w:left w:val="single" w:sz="4" w:space="0" w:color="000000"/>
              <w:bottom w:val="single" w:sz="4" w:space="0" w:color="000000"/>
              <w:right w:val="single" w:sz="4" w:space="0" w:color="000000"/>
            </w:tcBorders>
          </w:tcPr>
          <w:p>
            <w:pPr>
              <w:pStyle w:val="TableParagraph"/>
              <w:spacing w:before="18"/>
              <w:ind w:left="263" w:right="263"/>
              <w:rPr>
                <w:sz w:val="22"/>
              </w:rPr>
            </w:pPr>
            <w:r>
              <w:rPr>
                <w:sz w:val="22"/>
              </w:rPr>
              <w:t>63004</w:t>
            </w:r>
          </w:p>
        </w:tc>
        <w:tc>
          <w:tcPr>
            <w:tcW w:w="1134" w:type="dxa"/>
            <w:tcBorders>
              <w:left w:val="single" w:sz="4" w:space="0" w:color="000000"/>
              <w:bottom w:val="single" w:sz="4" w:space="0" w:color="000000"/>
              <w:right w:val="single" w:sz="4" w:space="0" w:color="000000"/>
            </w:tcBorders>
          </w:tcPr>
          <w:p>
            <w:pPr>
              <w:pStyle w:val="TableParagraph"/>
              <w:spacing w:before="18"/>
              <w:ind w:left="263" w:right="263"/>
              <w:rPr>
                <w:sz w:val="22"/>
              </w:rPr>
            </w:pPr>
            <w:r>
              <w:rPr>
                <w:sz w:val="22"/>
              </w:rPr>
              <w:t>69922</w:t>
            </w:r>
          </w:p>
        </w:tc>
        <w:tc>
          <w:tcPr>
            <w:tcW w:w="1744" w:type="dxa"/>
            <w:tcBorders>
              <w:left w:val="single" w:sz="4" w:space="0" w:color="000000"/>
              <w:bottom w:val="single" w:sz="4" w:space="0" w:color="000000"/>
              <w:right w:val="single" w:sz="4" w:space="0" w:color="000000"/>
            </w:tcBorders>
          </w:tcPr>
          <w:p>
            <w:pPr>
              <w:pStyle w:val="TableParagraph"/>
              <w:spacing w:before="18"/>
              <w:ind w:right="613"/>
              <w:jc w:val="right"/>
              <w:rPr>
                <w:sz w:val="22"/>
              </w:rPr>
            </w:pPr>
            <w:r>
              <w:rPr>
                <w:sz w:val="22"/>
              </w:rPr>
              <w:t>898.4</w:t>
            </w:r>
          </w:p>
        </w:tc>
        <w:tc>
          <w:tcPr>
            <w:tcW w:w="840" w:type="dxa"/>
            <w:vMerge w:val="restart"/>
            <w:tcBorders>
              <w:left w:val="single" w:sz="4" w:space="0" w:color="000000"/>
            </w:tcBorders>
          </w:tcPr>
          <w:p>
            <w:pPr>
              <w:pStyle w:val="TableParagraph"/>
              <w:spacing w:before="186"/>
              <w:ind w:left="219"/>
              <w:jc w:val="left"/>
              <w:rPr>
                <w:sz w:val="22"/>
              </w:rPr>
            </w:pPr>
            <w:r>
              <w:rPr>
                <w:sz w:val="22"/>
              </w:rPr>
              <w:t>1.12</w:t>
            </w:r>
          </w:p>
        </w:tc>
      </w:tr>
      <w:tr>
        <w:trPr>
          <w:trHeight w:val="340"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94"/>
              <w:jc w:val="left"/>
              <w:rPr>
                <w:sz w:val="22"/>
              </w:rPr>
            </w:pPr>
            <w:r>
              <w:rPr>
                <w:sz w:val="22"/>
              </w:rPr>
              <w:t>668</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14973</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15641</w:t>
            </w:r>
          </w:p>
        </w:tc>
        <w:tc>
          <w:tcPr>
            <w:tcW w:w="1744" w:type="dxa"/>
            <w:tcBorders>
              <w:top w:val="single" w:sz="4" w:space="0" w:color="000000"/>
              <w:left w:val="single" w:sz="4" w:space="0" w:color="000000"/>
              <w:right w:val="single" w:sz="4" w:space="0" w:color="000000"/>
            </w:tcBorders>
          </w:tcPr>
          <w:p>
            <w:pPr>
              <w:pStyle w:val="TableParagraph"/>
              <w:spacing w:before="36"/>
              <w:ind w:right="558"/>
              <w:jc w:val="right"/>
              <w:rPr>
                <w:sz w:val="22"/>
              </w:rPr>
            </w:pPr>
            <w:r>
              <w:rPr>
                <w:w w:val="95"/>
                <w:sz w:val="22"/>
              </w:rPr>
              <w:t>1010.0</w:t>
            </w:r>
          </w:p>
        </w:tc>
        <w:tc>
          <w:tcPr>
            <w:tcW w:w="840" w:type="dxa"/>
            <w:vMerge/>
            <w:tcBorders>
              <w:left w:val="single" w:sz="4" w:space="0" w:color="000000"/>
            </w:tcBorders>
          </w:tcPr>
          <w:p>
            <w:pPr/>
          </w:p>
        </w:tc>
      </w:tr>
      <w:tr>
        <w:trPr>
          <w:trHeight w:val="316" w:hRule="exact"/>
        </w:trPr>
        <w:tc>
          <w:tcPr>
            <w:tcW w:w="1200" w:type="dxa"/>
            <w:vMerge w:val="restart"/>
            <w:tcBorders>
              <w:right w:val="single" w:sz="4" w:space="0" w:color="000000"/>
            </w:tcBorders>
          </w:tcPr>
          <w:p>
            <w:pPr>
              <w:pStyle w:val="TableParagraph"/>
              <w:spacing w:before="187"/>
              <w:ind w:left="365"/>
              <w:jc w:val="left"/>
              <w:rPr>
                <w:sz w:val="22"/>
              </w:rPr>
            </w:pPr>
            <w:r>
              <w:rPr>
                <w:sz w:val="22"/>
              </w:rPr>
              <w:t>2001</w:t>
            </w:r>
          </w:p>
        </w:tc>
        <w:tc>
          <w:tcPr>
            <w:tcW w:w="854" w:type="dxa"/>
            <w:tcBorders>
              <w:left w:val="single" w:sz="4" w:space="0" w:color="000000"/>
              <w:bottom w:val="single" w:sz="4" w:space="0" w:color="000000"/>
              <w:right w:val="single" w:sz="4" w:space="0" w:color="000000"/>
            </w:tcBorders>
          </w:tcPr>
          <w:p>
            <w:pPr>
              <w:pStyle w:val="TableParagraph"/>
              <w:spacing w:before="19"/>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9"/>
              <w:ind w:left="339"/>
              <w:jc w:val="left"/>
              <w:rPr>
                <w:sz w:val="22"/>
              </w:rPr>
            </w:pPr>
            <w:r>
              <w:rPr>
                <w:sz w:val="22"/>
              </w:rPr>
              <w:t>5996</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63286</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69282</w:t>
            </w:r>
          </w:p>
        </w:tc>
        <w:tc>
          <w:tcPr>
            <w:tcW w:w="1744" w:type="dxa"/>
            <w:tcBorders>
              <w:left w:val="single" w:sz="4" w:space="0" w:color="000000"/>
              <w:bottom w:val="single" w:sz="4" w:space="0" w:color="000000"/>
              <w:right w:val="single" w:sz="4" w:space="0" w:color="000000"/>
            </w:tcBorders>
          </w:tcPr>
          <w:p>
            <w:pPr>
              <w:pStyle w:val="TableParagraph"/>
              <w:spacing w:before="19"/>
              <w:ind w:right="613"/>
              <w:jc w:val="right"/>
              <w:rPr>
                <w:sz w:val="22"/>
              </w:rPr>
            </w:pPr>
            <w:r>
              <w:rPr>
                <w:w w:val="95"/>
                <w:sz w:val="22"/>
              </w:rPr>
              <w:t>880.9</w:t>
            </w:r>
          </w:p>
        </w:tc>
        <w:tc>
          <w:tcPr>
            <w:tcW w:w="840" w:type="dxa"/>
            <w:vMerge w:val="restart"/>
            <w:tcBorders>
              <w:left w:val="single" w:sz="4" w:space="0" w:color="000000"/>
            </w:tcBorders>
          </w:tcPr>
          <w:p>
            <w:pPr>
              <w:pStyle w:val="TableParagraph"/>
              <w:spacing w:before="187"/>
              <w:ind w:left="219"/>
              <w:jc w:val="left"/>
              <w:rPr>
                <w:sz w:val="22"/>
              </w:rPr>
            </w:pPr>
            <w:r>
              <w:rPr>
                <w:sz w:val="22"/>
              </w:rPr>
              <w:t>1.14</w:t>
            </w:r>
          </w:p>
        </w:tc>
      </w:tr>
      <w:tr>
        <w:trPr>
          <w:trHeight w:val="340"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94"/>
              <w:jc w:val="left"/>
              <w:rPr>
                <w:sz w:val="22"/>
              </w:rPr>
            </w:pPr>
            <w:r>
              <w:rPr>
                <w:sz w:val="22"/>
              </w:rPr>
              <w:t>609</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15008</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15617</w:t>
            </w:r>
          </w:p>
        </w:tc>
        <w:tc>
          <w:tcPr>
            <w:tcW w:w="1744" w:type="dxa"/>
            <w:tcBorders>
              <w:top w:val="single" w:sz="4" w:space="0" w:color="000000"/>
              <w:left w:val="single" w:sz="4" w:space="0" w:color="000000"/>
              <w:right w:val="single" w:sz="4" w:space="0" w:color="000000"/>
            </w:tcBorders>
          </w:tcPr>
          <w:p>
            <w:pPr>
              <w:pStyle w:val="TableParagraph"/>
              <w:spacing w:before="36"/>
              <w:ind w:right="558"/>
              <w:jc w:val="right"/>
              <w:rPr>
                <w:sz w:val="22"/>
              </w:rPr>
            </w:pPr>
            <w:r>
              <w:rPr>
                <w:sz w:val="22"/>
              </w:rPr>
              <w:t>1002.5</w:t>
            </w:r>
          </w:p>
        </w:tc>
        <w:tc>
          <w:tcPr>
            <w:tcW w:w="840" w:type="dxa"/>
            <w:vMerge/>
            <w:tcBorders>
              <w:left w:val="single" w:sz="4" w:space="0" w:color="000000"/>
            </w:tcBorders>
          </w:tcPr>
          <w:p>
            <w:pPr/>
          </w:p>
        </w:tc>
      </w:tr>
      <w:tr>
        <w:trPr>
          <w:trHeight w:val="316" w:hRule="exact"/>
        </w:trPr>
        <w:tc>
          <w:tcPr>
            <w:tcW w:w="1200" w:type="dxa"/>
            <w:vMerge w:val="restart"/>
            <w:tcBorders>
              <w:right w:val="single" w:sz="4" w:space="0" w:color="000000"/>
            </w:tcBorders>
          </w:tcPr>
          <w:p>
            <w:pPr>
              <w:pStyle w:val="TableParagraph"/>
              <w:spacing w:before="187"/>
              <w:ind w:left="365"/>
              <w:jc w:val="left"/>
              <w:rPr>
                <w:sz w:val="22"/>
              </w:rPr>
            </w:pPr>
            <w:r>
              <w:rPr>
                <w:sz w:val="22"/>
              </w:rPr>
              <w:t>2002</w:t>
            </w:r>
          </w:p>
        </w:tc>
        <w:tc>
          <w:tcPr>
            <w:tcW w:w="854" w:type="dxa"/>
            <w:tcBorders>
              <w:left w:val="single" w:sz="4" w:space="0" w:color="000000"/>
              <w:bottom w:val="single" w:sz="4" w:space="0" w:color="000000"/>
              <w:right w:val="single" w:sz="4" w:space="0" w:color="000000"/>
            </w:tcBorders>
          </w:tcPr>
          <w:p>
            <w:pPr>
              <w:pStyle w:val="TableParagraph"/>
              <w:spacing w:before="19"/>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9"/>
              <w:ind w:left="339"/>
              <w:jc w:val="left"/>
              <w:rPr>
                <w:sz w:val="22"/>
              </w:rPr>
            </w:pPr>
            <w:r>
              <w:rPr>
                <w:sz w:val="22"/>
              </w:rPr>
              <w:t>4629</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64366</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68995</w:t>
            </w:r>
          </w:p>
        </w:tc>
        <w:tc>
          <w:tcPr>
            <w:tcW w:w="1744" w:type="dxa"/>
            <w:tcBorders>
              <w:left w:val="single" w:sz="4" w:space="0" w:color="000000"/>
              <w:bottom w:val="single" w:sz="4" w:space="0" w:color="000000"/>
              <w:right w:val="single" w:sz="4" w:space="0" w:color="000000"/>
            </w:tcBorders>
          </w:tcPr>
          <w:p>
            <w:pPr>
              <w:pStyle w:val="TableParagraph"/>
              <w:spacing w:before="19"/>
              <w:ind w:right="613"/>
              <w:jc w:val="right"/>
              <w:rPr>
                <w:sz w:val="22"/>
              </w:rPr>
            </w:pPr>
            <w:r>
              <w:rPr>
                <w:w w:val="95"/>
                <w:sz w:val="22"/>
              </w:rPr>
              <w:t>871.4</w:t>
            </w:r>
          </w:p>
        </w:tc>
        <w:tc>
          <w:tcPr>
            <w:tcW w:w="840" w:type="dxa"/>
            <w:vMerge w:val="restart"/>
            <w:tcBorders>
              <w:left w:val="single" w:sz="4" w:space="0" w:color="000000"/>
            </w:tcBorders>
          </w:tcPr>
          <w:p>
            <w:pPr>
              <w:pStyle w:val="TableParagraph"/>
              <w:spacing w:before="187"/>
              <w:ind w:left="219"/>
              <w:jc w:val="left"/>
              <w:rPr>
                <w:sz w:val="22"/>
              </w:rPr>
            </w:pPr>
            <w:r>
              <w:rPr>
                <w:sz w:val="22"/>
              </w:rPr>
              <w:t>1.13</w:t>
            </w:r>
          </w:p>
        </w:tc>
      </w:tr>
      <w:tr>
        <w:trPr>
          <w:trHeight w:val="340"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94"/>
              <w:jc w:val="left"/>
              <w:rPr>
                <w:sz w:val="22"/>
              </w:rPr>
            </w:pPr>
            <w:r>
              <w:rPr>
                <w:sz w:val="22"/>
              </w:rPr>
              <w:t>299</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15240</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15539</w:t>
            </w:r>
          </w:p>
        </w:tc>
        <w:tc>
          <w:tcPr>
            <w:tcW w:w="1744" w:type="dxa"/>
            <w:tcBorders>
              <w:top w:val="single" w:sz="4" w:space="0" w:color="000000"/>
              <w:left w:val="single" w:sz="4" w:space="0" w:color="000000"/>
              <w:right w:val="single" w:sz="4" w:space="0" w:color="000000"/>
            </w:tcBorders>
          </w:tcPr>
          <w:p>
            <w:pPr>
              <w:pStyle w:val="TableParagraph"/>
              <w:spacing w:before="36"/>
              <w:ind w:right="613"/>
              <w:jc w:val="right"/>
              <w:rPr>
                <w:sz w:val="22"/>
              </w:rPr>
            </w:pPr>
            <w:r>
              <w:rPr>
                <w:w w:val="95"/>
                <w:sz w:val="22"/>
              </w:rPr>
              <w:t>983.6</w:t>
            </w:r>
          </w:p>
        </w:tc>
        <w:tc>
          <w:tcPr>
            <w:tcW w:w="840" w:type="dxa"/>
            <w:vMerge/>
            <w:tcBorders>
              <w:left w:val="single" w:sz="4" w:space="0" w:color="000000"/>
            </w:tcBorders>
          </w:tcPr>
          <w:p>
            <w:pPr/>
          </w:p>
        </w:tc>
      </w:tr>
      <w:tr>
        <w:trPr>
          <w:trHeight w:val="316" w:hRule="exact"/>
        </w:trPr>
        <w:tc>
          <w:tcPr>
            <w:tcW w:w="1200" w:type="dxa"/>
            <w:vMerge w:val="restart"/>
            <w:tcBorders>
              <w:right w:val="single" w:sz="4" w:space="0" w:color="000000"/>
            </w:tcBorders>
          </w:tcPr>
          <w:p>
            <w:pPr>
              <w:pStyle w:val="TableParagraph"/>
              <w:spacing w:before="186"/>
              <w:ind w:left="365"/>
              <w:jc w:val="left"/>
              <w:rPr>
                <w:sz w:val="22"/>
              </w:rPr>
            </w:pPr>
            <w:r>
              <w:rPr>
                <w:sz w:val="22"/>
              </w:rPr>
              <w:t>2003</w:t>
            </w:r>
          </w:p>
        </w:tc>
        <w:tc>
          <w:tcPr>
            <w:tcW w:w="854" w:type="dxa"/>
            <w:tcBorders>
              <w:left w:val="single" w:sz="4" w:space="0" w:color="000000"/>
              <w:bottom w:val="single" w:sz="4" w:space="0" w:color="000000"/>
              <w:right w:val="single" w:sz="4" w:space="0" w:color="000000"/>
            </w:tcBorders>
          </w:tcPr>
          <w:p>
            <w:pPr>
              <w:pStyle w:val="TableParagraph"/>
              <w:spacing w:before="19"/>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9"/>
              <w:ind w:left="339"/>
              <w:jc w:val="left"/>
              <w:rPr>
                <w:sz w:val="22"/>
              </w:rPr>
            </w:pPr>
            <w:r>
              <w:rPr>
                <w:sz w:val="22"/>
              </w:rPr>
              <w:t>4233</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30536</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34768</w:t>
            </w:r>
          </w:p>
        </w:tc>
        <w:tc>
          <w:tcPr>
            <w:tcW w:w="1744" w:type="dxa"/>
            <w:tcBorders>
              <w:left w:val="single" w:sz="4" w:space="0" w:color="000000"/>
              <w:bottom w:val="single" w:sz="4" w:space="0" w:color="000000"/>
              <w:right w:val="single" w:sz="4" w:space="0" w:color="000000"/>
            </w:tcBorders>
          </w:tcPr>
          <w:p>
            <w:pPr>
              <w:pStyle w:val="TableParagraph"/>
              <w:spacing w:before="19"/>
              <w:ind w:right="613"/>
              <w:jc w:val="right"/>
              <w:rPr>
                <w:sz w:val="22"/>
              </w:rPr>
            </w:pPr>
            <w:r>
              <w:rPr>
                <w:w w:val="95"/>
                <w:sz w:val="22"/>
              </w:rPr>
              <w:t>435.5</w:t>
            </w:r>
          </w:p>
        </w:tc>
        <w:tc>
          <w:tcPr>
            <w:tcW w:w="840" w:type="dxa"/>
            <w:vMerge w:val="restart"/>
            <w:tcBorders>
              <w:left w:val="single" w:sz="4" w:space="0" w:color="000000"/>
            </w:tcBorders>
          </w:tcPr>
          <w:p>
            <w:pPr>
              <w:pStyle w:val="TableParagraph"/>
              <w:spacing w:before="186"/>
              <w:ind w:left="219"/>
              <w:jc w:val="left"/>
              <w:rPr>
                <w:sz w:val="22"/>
              </w:rPr>
            </w:pPr>
            <w:r>
              <w:rPr>
                <w:sz w:val="22"/>
              </w:rPr>
              <w:t>0.98</w:t>
            </w:r>
          </w:p>
        </w:tc>
      </w:tr>
      <w:tr>
        <w:trPr>
          <w:trHeight w:val="340"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94"/>
              <w:jc w:val="left"/>
              <w:rPr>
                <w:sz w:val="22"/>
              </w:rPr>
            </w:pPr>
            <w:r>
              <w:rPr>
                <w:sz w:val="22"/>
              </w:rPr>
              <w:t>554</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6299</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6853</w:t>
            </w:r>
          </w:p>
        </w:tc>
        <w:tc>
          <w:tcPr>
            <w:tcW w:w="1744" w:type="dxa"/>
            <w:tcBorders>
              <w:top w:val="single" w:sz="4" w:space="0" w:color="000000"/>
              <w:left w:val="single" w:sz="4" w:space="0" w:color="000000"/>
              <w:right w:val="single" w:sz="4" w:space="0" w:color="000000"/>
            </w:tcBorders>
          </w:tcPr>
          <w:p>
            <w:pPr>
              <w:pStyle w:val="TableParagraph"/>
              <w:spacing w:before="36"/>
              <w:ind w:right="613"/>
              <w:jc w:val="right"/>
              <w:rPr>
                <w:sz w:val="22"/>
              </w:rPr>
            </w:pPr>
            <w:r>
              <w:rPr>
                <w:w w:val="95"/>
                <w:sz w:val="22"/>
              </w:rPr>
              <w:t>427.2</w:t>
            </w:r>
          </w:p>
        </w:tc>
        <w:tc>
          <w:tcPr>
            <w:tcW w:w="840" w:type="dxa"/>
            <w:vMerge/>
            <w:tcBorders>
              <w:left w:val="single" w:sz="4" w:space="0" w:color="000000"/>
            </w:tcBorders>
          </w:tcPr>
          <w:p>
            <w:pPr/>
          </w:p>
        </w:tc>
      </w:tr>
      <w:tr>
        <w:trPr>
          <w:trHeight w:val="316" w:hRule="exact"/>
        </w:trPr>
        <w:tc>
          <w:tcPr>
            <w:tcW w:w="1200" w:type="dxa"/>
            <w:vMerge w:val="restart"/>
            <w:tcBorders>
              <w:right w:val="single" w:sz="4" w:space="0" w:color="000000"/>
            </w:tcBorders>
          </w:tcPr>
          <w:p>
            <w:pPr>
              <w:pStyle w:val="TableParagraph"/>
              <w:spacing w:before="186"/>
              <w:ind w:left="365"/>
              <w:jc w:val="left"/>
              <w:rPr>
                <w:sz w:val="22"/>
              </w:rPr>
            </w:pPr>
            <w:r>
              <w:rPr>
                <w:sz w:val="22"/>
              </w:rPr>
              <w:t>2004</w:t>
            </w:r>
          </w:p>
        </w:tc>
        <w:tc>
          <w:tcPr>
            <w:tcW w:w="854" w:type="dxa"/>
            <w:tcBorders>
              <w:left w:val="single" w:sz="4" w:space="0" w:color="000000"/>
              <w:bottom w:val="single" w:sz="4" w:space="0" w:color="000000"/>
              <w:right w:val="single" w:sz="4" w:space="0" w:color="000000"/>
            </w:tcBorders>
          </w:tcPr>
          <w:p>
            <w:pPr>
              <w:pStyle w:val="TableParagraph"/>
              <w:spacing w:before="19"/>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9"/>
              <w:ind w:left="339"/>
              <w:jc w:val="left"/>
              <w:rPr>
                <w:sz w:val="22"/>
              </w:rPr>
            </w:pPr>
            <w:r>
              <w:rPr>
                <w:sz w:val="22"/>
              </w:rPr>
              <w:t>9022</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29149</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38170</w:t>
            </w:r>
          </w:p>
        </w:tc>
        <w:tc>
          <w:tcPr>
            <w:tcW w:w="1744" w:type="dxa"/>
            <w:tcBorders>
              <w:left w:val="single" w:sz="4" w:space="0" w:color="000000"/>
              <w:bottom w:val="single" w:sz="4" w:space="0" w:color="000000"/>
              <w:right w:val="single" w:sz="4" w:space="0" w:color="000000"/>
            </w:tcBorders>
          </w:tcPr>
          <w:p>
            <w:pPr>
              <w:pStyle w:val="TableParagraph"/>
              <w:spacing w:before="19"/>
              <w:ind w:right="613"/>
              <w:jc w:val="right"/>
              <w:rPr>
                <w:sz w:val="22"/>
              </w:rPr>
            </w:pPr>
            <w:r>
              <w:rPr>
                <w:w w:val="95"/>
                <w:sz w:val="22"/>
              </w:rPr>
              <w:t>473.5</w:t>
            </w:r>
          </w:p>
        </w:tc>
        <w:tc>
          <w:tcPr>
            <w:tcW w:w="840" w:type="dxa"/>
            <w:vMerge w:val="restart"/>
            <w:tcBorders>
              <w:left w:val="single" w:sz="4" w:space="0" w:color="000000"/>
            </w:tcBorders>
          </w:tcPr>
          <w:p>
            <w:pPr>
              <w:pStyle w:val="TableParagraph"/>
              <w:spacing w:before="186"/>
              <w:ind w:left="219"/>
              <w:jc w:val="left"/>
              <w:rPr>
                <w:sz w:val="22"/>
              </w:rPr>
            </w:pPr>
            <w:r>
              <w:rPr>
                <w:sz w:val="22"/>
              </w:rPr>
              <w:t>0.96</w:t>
            </w:r>
          </w:p>
        </w:tc>
      </w:tr>
      <w:tr>
        <w:trPr>
          <w:trHeight w:val="340"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39"/>
              <w:jc w:val="left"/>
              <w:rPr>
                <w:sz w:val="22"/>
              </w:rPr>
            </w:pPr>
            <w:r>
              <w:rPr>
                <w:sz w:val="22"/>
              </w:rPr>
              <w:t>1558</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5862</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7420</w:t>
            </w:r>
          </w:p>
        </w:tc>
        <w:tc>
          <w:tcPr>
            <w:tcW w:w="1744" w:type="dxa"/>
            <w:tcBorders>
              <w:top w:val="single" w:sz="4" w:space="0" w:color="000000"/>
              <w:left w:val="single" w:sz="4" w:space="0" w:color="000000"/>
              <w:right w:val="single" w:sz="4" w:space="0" w:color="000000"/>
            </w:tcBorders>
          </w:tcPr>
          <w:p>
            <w:pPr>
              <w:pStyle w:val="TableParagraph"/>
              <w:spacing w:before="36"/>
              <w:ind w:right="613"/>
              <w:jc w:val="right"/>
              <w:rPr>
                <w:sz w:val="22"/>
              </w:rPr>
            </w:pPr>
            <w:r>
              <w:rPr>
                <w:w w:val="95"/>
                <w:sz w:val="22"/>
              </w:rPr>
              <w:t>455.0</w:t>
            </w:r>
          </w:p>
        </w:tc>
        <w:tc>
          <w:tcPr>
            <w:tcW w:w="840" w:type="dxa"/>
            <w:vMerge/>
            <w:tcBorders>
              <w:left w:val="single" w:sz="4" w:space="0" w:color="000000"/>
            </w:tcBorders>
          </w:tcPr>
          <w:p>
            <w:pPr/>
          </w:p>
        </w:tc>
      </w:tr>
      <w:tr>
        <w:trPr>
          <w:trHeight w:val="314" w:hRule="exact"/>
        </w:trPr>
        <w:tc>
          <w:tcPr>
            <w:tcW w:w="1200" w:type="dxa"/>
            <w:vMerge w:val="restart"/>
            <w:tcBorders>
              <w:right w:val="single" w:sz="4" w:space="0" w:color="000000"/>
            </w:tcBorders>
          </w:tcPr>
          <w:p>
            <w:pPr>
              <w:pStyle w:val="TableParagraph"/>
              <w:spacing w:before="186"/>
              <w:ind w:left="365"/>
              <w:jc w:val="left"/>
              <w:rPr>
                <w:sz w:val="22"/>
              </w:rPr>
            </w:pPr>
            <w:r>
              <w:rPr>
                <w:sz w:val="22"/>
              </w:rPr>
              <w:t>2005</w:t>
            </w:r>
          </w:p>
        </w:tc>
        <w:tc>
          <w:tcPr>
            <w:tcW w:w="854" w:type="dxa"/>
            <w:tcBorders>
              <w:left w:val="single" w:sz="4" w:space="0" w:color="000000"/>
              <w:bottom w:val="single" w:sz="4" w:space="0" w:color="000000"/>
              <w:right w:val="single" w:sz="4" w:space="0" w:color="000000"/>
            </w:tcBorders>
          </w:tcPr>
          <w:p>
            <w:pPr>
              <w:pStyle w:val="TableParagraph"/>
              <w:spacing w:before="19"/>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9"/>
              <w:ind w:left="339"/>
              <w:jc w:val="left"/>
              <w:rPr>
                <w:sz w:val="22"/>
              </w:rPr>
            </w:pPr>
            <w:r>
              <w:rPr>
                <w:sz w:val="22"/>
              </w:rPr>
              <w:t>5413</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28585</w:t>
            </w:r>
          </w:p>
        </w:tc>
        <w:tc>
          <w:tcPr>
            <w:tcW w:w="1134" w:type="dxa"/>
            <w:tcBorders>
              <w:left w:val="single" w:sz="4" w:space="0" w:color="000000"/>
              <w:bottom w:val="single" w:sz="4" w:space="0" w:color="000000"/>
              <w:right w:val="single" w:sz="4" w:space="0" w:color="000000"/>
            </w:tcBorders>
          </w:tcPr>
          <w:p>
            <w:pPr>
              <w:pStyle w:val="TableParagraph"/>
              <w:spacing w:before="19"/>
              <w:ind w:left="263" w:right="263"/>
              <w:rPr>
                <w:sz w:val="22"/>
              </w:rPr>
            </w:pPr>
            <w:r>
              <w:rPr>
                <w:sz w:val="22"/>
              </w:rPr>
              <w:t>33998</w:t>
            </w:r>
          </w:p>
        </w:tc>
        <w:tc>
          <w:tcPr>
            <w:tcW w:w="1744" w:type="dxa"/>
            <w:tcBorders>
              <w:left w:val="single" w:sz="4" w:space="0" w:color="000000"/>
              <w:bottom w:val="single" w:sz="4" w:space="0" w:color="000000"/>
              <w:right w:val="single" w:sz="4" w:space="0" w:color="000000"/>
            </w:tcBorders>
          </w:tcPr>
          <w:p>
            <w:pPr>
              <w:pStyle w:val="TableParagraph"/>
              <w:spacing w:before="19"/>
              <w:ind w:right="613"/>
              <w:jc w:val="right"/>
              <w:rPr>
                <w:sz w:val="22"/>
              </w:rPr>
            </w:pPr>
            <w:r>
              <w:rPr>
                <w:w w:val="95"/>
                <w:sz w:val="22"/>
              </w:rPr>
              <w:t>372.4</w:t>
            </w:r>
          </w:p>
        </w:tc>
        <w:tc>
          <w:tcPr>
            <w:tcW w:w="840" w:type="dxa"/>
            <w:vMerge w:val="restart"/>
            <w:tcBorders>
              <w:left w:val="single" w:sz="4" w:space="0" w:color="000000"/>
            </w:tcBorders>
          </w:tcPr>
          <w:p>
            <w:pPr>
              <w:pStyle w:val="TableParagraph"/>
              <w:spacing w:before="186"/>
              <w:ind w:left="219"/>
              <w:jc w:val="left"/>
              <w:rPr>
                <w:sz w:val="22"/>
              </w:rPr>
            </w:pPr>
            <w:r>
              <w:rPr>
                <w:sz w:val="22"/>
              </w:rPr>
              <w:t>1.23</w:t>
            </w:r>
          </w:p>
        </w:tc>
      </w:tr>
      <w:tr>
        <w:trPr>
          <w:trHeight w:val="341"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39"/>
              <w:jc w:val="left"/>
              <w:rPr>
                <w:sz w:val="22"/>
              </w:rPr>
            </w:pPr>
            <w:r>
              <w:rPr>
                <w:sz w:val="22"/>
              </w:rPr>
              <w:t>1141</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6486</w:t>
            </w:r>
          </w:p>
        </w:tc>
        <w:tc>
          <w:tcPr>
            <w:tcW w:w="1134" w:type="dxa"/>
            <w:tcBorders>
              <w:top w:val="single" w:sz="4" w:space="0" w:color="000000"/>
              <w:left w:val="single" w:sz="4" w:space="0" w:color="000000"/>
              <w:right w:val="single" w:sz="4" w:space="0" w:color="000000"/>
            </w:tcBorders>
          </w:tcPr>
          <w:p>
            <w:pPr>
              <w:pStyle w:val="TableParagraph"/>
              <w:spacing w:before="36"/>
              <w:ind w:left="263" w:right="262"/>
              <w:rPr>
                <w:sz w:val="22"/>
              </w:rPr>
            </w:pPr>
            <w:r>
              <w:rPr>
                <w:sz w:val="22"/>
              </w:rPr>
              <w:t>7627</w:t>
            </w:r>
          </w:p>
        </w:tc>
        <w:tc>
          <w:tcPr>
            <w:tcW w:w="1744" w:type="dxa"/>
            <w:tcBorders>
              <w:top w:val="single" w:sz="4" w:space="0" w:color="000000"/>
              <w:left w:val="single" w:sz="4" w:space="0" w:color="000000"/>
              <w:right w:val="single" w:sz="4" w:space="0" w:color="000000"/>
            </w:tcBorders>
          </w:tcPr>
          <w:p>
            <w:pPr>
              <w:pStyle w:val="TableParagraph"/>
              <w:spacing w:before="36"/>
              <w:ind w:right="613"/>
              <w:jc w:val="right"/>
              <w:rPr>
                <w:sz w:val="22"/>
              </w:rPr>
            </w:pPr>
            <w:r>
              <w:rPr>
                <w:w w:val="95"/>
                <w:sz w:val="22"/>
              </w:rPr>
              <w:t>459.3</w:t>
            </w:r>
          </w:p>
        </w:tc>
        <w:tc>
          <w:tcPr>
            <w:tcW w:w="840" w:type="dxa"/>
            <w:vMerge/>
            <w:tcBorders>
              <w:left w:val="single" w:sz="4" w:space="0" w:color="000000"/>
            </w:tcBorders>
          </w:tcPr>
          <w:p>
            <w:pPr/>
          </w:p>
        </w:tc>
      </w:tr>
      <w:tr>
        <w:trPr>
          <w:trHeight w:val="314" w:hRule="exact"/>
        </w:trPr>
        <w:tc>
          <w:tcPr>
            <w:tcW w:w="1200" w:type="dxa"/>
            <w:vMerge w:val="restart"/>
            <w:tcBorders>
              <w:right w:val="single" w:sz="4" w:space="0" w:color="000000"/>
            </w:tcBorders>
          </w:tcPr>
          <w:p>
            <w:pPr>
              <w:pStyle w:val="TableParagraph"/>
              <w:spacing w:before="186"/>
              <w:ind w:left="365"/>
              <w:jc w:val="left"/>
              <w:rPr>
                <w:sz w:val="22"/>
              </w:rPr>
            </w:pPr>
            <w:r>
              <w:rPr>
                <w:sz w:val="22"/>
              </w:rPr>
              <w:t>2006</w:t>
            </w:r>
          </w:p>
        </w:tc>
        <w:tc>
          <w:tcPr>
            <w:tcW w:w="854" w:type="dxa"/>
            <w:tcBorders>
              <w:left w:val="single" w:sz="4" w:space="0" w:color="000000"/>
              <w:bottom w:val="single" w:sz="4" w:space="0" w:color="000000"/>
              <w:right w:val="single" w:sz="4" w:space="0" w:color="000000"/>
            </w:tcBorders>
          </w:tcPr>
          <w:p>
            <w:pPr>
              <w:pStyle w:val="TableParagraph"/>
              <w:spacing w:before="18"/>
              <w:ind w:right="1"/>
              <w:rPr>
                <w:sz w:val="22"/>
              </w:rPr>
            </w:pPr>
            <w:r>
              <w:rPr>
                <w:w w:val="99"/>
                <w:sz w:val="22"/>
              </w:rPr>
              <w:t>1</w:t>
            </w:r>
          </w:p>
        </w:tc>
        <w:tc>
          <w:tcPr>
            <w:tcW w:w="1134" w:type="dxa"/>
            <w:tcBorders>
              <w:left w:val="single" w:sz="4" w:space="0" w:color="000000"/>
              <w:bottom w:val="single" w:sz="4" w:space="0" w:color="000000"/>
              <w:right w:val="single" w:sz="4" w:space="0" w:color="000000"/>
            </w:tcBorders>
          </w:tcPr>
          <w:p>
            <w:pPr>
              <w:pStyle w:val="TableParagraph"/>
              <w:spacing w:before="18"/>
              <w:ind w:left="339"/>
              <w:jc w:val="left"/>
              <w:rPr>
                <w:sz w:val="22"/>
              </w:rPr>
            </w:pPr>
            <w:r>
              <w:rPr>
                <w:sz w:val="22"/>
              </w:rPr>
              <w:t>5926</w:t>
            </w:r>
          </w:p>
        </w:tc>
        <w:tc>
          <w:tcPr>
            <w:tcW w:w="1134" w:type="dxa"/>
            <w:tcBorders>
              <w:left w:val="single" w:sz="4" w:space="0" w:color="000000"/>
              <w:bottom w:val="single" w:sz="4" w:space="0" w:color="000000"/>
              <w:right w:val="single" w:sz="4" w:space="0" w:color="000000"/>
            </w:tcBorders>
          </w:tcPr>
          <w:p>
            <w:pPr>
              <w:pStyle w:val="TableParagraph"/>
              <w:spacing w:before="18"/>
              <w:ind w:left="263" w:right="263"/>
              <w:rPr>
                <w:sz w:val="22"/>
              </w:rPr>
            </w:pPr>
            <w:r>
              <w:rPr>
                <w:sz w:val="22"/>
              </w:rPr>
              <w:t>61566</w:t>
            </w:r>
          </w:p>
        </w:tc>
        <w:tc>
          <w:tcPr>
            <w:tcW w:w="1134" w:type="dxa"/>
            <w:tcBorders>
              <w:left w:val="single" w:sz="4" w:space="0" w:color="000000"/>
              <w:bottom w:val="single" w:sz="4" w:space="0" w:color="000000"/>
              <w:right w:val="single" w:sz="4" w:space="0" w:color="000000"/>
            </w:tcBorders>
          </w:tcPr>
          <w:p>
            <w:pPr>
              <w:pStyle w:val="TableParagraph"/>
              <w:spacing w:before="18"/>
              <w:ind w:left="263" w:right="263"/>
              <w:rPr>
                <w:sz w:val="22"/>
              </w:rPr>
            </w:pPr>
            <w:r>
              <w:rPr>
                <w:sz w:val="22"/>
              </w:rPr>
              <w:t>67493</w:t>
            </w:r>
          </w:p>
        </w:tc>
        <w:tc>
          <w:tcPr>
            <w:tcW w:w="1744" w:type="dxa"/>
            <w:tcBorders>
              <w:left w:val="single" w:sz="4" w:space="0" w:color="000000"/>
              <w:bottom w:val="single" w:sz="4" w:space="0" w:color="000000"/>
              <w:right w:val="single" w:sz="4" w:space="0" w:color="000000"/>
            </w:tcBorders>
          </w:tcPr>
          <w:p>
            <w:pPr>
              <w:pStyle w:val="TableParagraph"/>
              <w:spacing w:before="18"/>
              <w:ind w:right="613"/>
              <w:jc w:val="right"/>
              <w:rPr>
                <w:sz w:val="22"/>
              </w:rPr>
            </w:pPr>
            <w:r>
              <w:rPr>
                <w:w w:val="95"/>
                <w:sz w:val="22"/>
              </w:rPr>
              <w:t>817.2</w:t>
            </w:r>
          </w:p>
        </w:tc>
        <w:tc>
          <w:tcPr>
            <w:tcW w:w="840" w:type="dxa"/>
            <w:vMerge w:val="restart"/>
            <w:tcBorders>
              <w:left w:val="single" w:sz="4" w:space="0" w:color="000000"/>
            </w:tcBorders>
          </w:tcPr>
          <w:p>
            <w:pPr>
              <w:pStyle w:val="TableParagraph"/>
              <w:spacing w:before="186"/>
              <w:ind w:left="219"/>
              <w:jc w:val="left"/>
              <w:rPr>
                <w:sz w:val="22"/>
              </w:rPr>
            </w:pPr>
            <w:r>
              <w:rPr>
                <w:sz w:val="22"/>
              </w:rPr>
              <w:t>1.14</w:t>
            </w:r>
          </w:p>
        </w:tc>
      </w:tr>
      <w:tr>
        <w:trPr>
          <w:trHeight w:val="341" w:hRule="exact"/>
        </w:trPr>
        <w:tc>
          <w:tcPr>
            <w:tcW w:w="1200" w:type="dxa"/>
            <w:vMerge/>
            <w:tcBorders>
              <w:right w:val="single" w:sz="4" w:space="0" w:color="000000"/>
            </w:tcBorders>
          </w:tcPr>
          <w:p>
            <w:pPr/>
          </w:p>
        </w:tc>
        <w:tc>
          <w:tcPr>
            <w:tcW w:w="854" w:type="dxa"/>
            <w:tcBorders>
              <w:top w:val="single" w:sz="4" w:space="0" w:color="000000"/>
              <w:left w:val="single" w:sz="4" w:space="0" w:color="000000"/>
              <w:right w:val="single" w:sz="4" w:space="0" w:color="000000"/>
            </w:tcBorders>
          </w:tcPr>
          <w:p>
            <w:pPr>
              <w:pStyle w:val="TableParagraph"/>
              <w:spacing w:before="36"/>
              <w:ind w:right="1"/>
              <w:rPr>
                <w:sz w:val="22"/>
              </w:rPr>
            </w:pPr>
            <w:r>
              <w:rPr>
                <w:w w:val="99"/>
                <w:sz w:val="22"/>
              </w:rPr>
              <w:t>2</w:t>
            </w:r>
          </w:p>
        </w:tc>
        <w:tc>
          <w:tcPr>
            <w:tcW w:w="1134" w:type="dxa"/>
            <w:tcBorders>
              <w:top w:val="single" w:sz="4" w:space="0" w:color="000000"/>
              <w:left w:val="single" w:sz="4" w:space="0" w:color="000000"/>
              <w:right w:val="single" w:sz="4" w:space="0" w:color="000000"/>
            </w:tcBorders>
          </w:tcPr>
          <w:p>
            <w:pPr>
              <w:pStyle w:val="TableParagraph"/>
              <w:spacing w:before="36"/>
              <w:ind w:left="394"/>
              <w:jc w:val="left"/>
              <w:rPr>
                <w:sz w:val="22"/>
              </w:rPr>
            </w:pPr>
            <w:r>
              <w:rPr>
                <w:sz w:val="22"/>
              </w:rPr>
              <w:t>988</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14845</w:t>
            </w:r>
          </w:p>
        </w:tc>
        <w:tc>
          <w:tcPr>
            <w:tcW w:w="1134" w:type="dxa"/>
            <w:tcBorders>
              <w:top w:val="single" w:sz="4" w:space="0" w:color="000000"/>
              <w:left w:val="single" w:sz="4" w:space="0" w:color="000000"/>
              <w:right w:val="single" w:sz="4" w:space="0" w:color="000000"/>
            </w:tcBorders>
          </w:tcPr>
          <w:p>
            <w:pPr>
              <w:pStyle w:val="TableParagraph"/>
              <w:spacing w:before="36"/>
              <w:ind w:left="263" w:right="263"/>
              <w:rPr>
                <w:sz w:val="22"/>
              </w:rPr>
            </w:pPr>
            <w:r>
              <w:rPr>
                <w:sz w:val="22"/>
              </w:rPr>
              <w:t>15833</w:t>
            </w:r>
          </w:p>
        </w:tc>
        <w:tc>
          <w:tcPr>
            <w:tcW w:w="1744" w:type="dxa"/>
            <w:tcBorders>
              <w:top w:val="single" w:sz="4" w:space="0" w:color="000000"/>
              <w:left w:val="single" w:sz="4" w:space="0" w:color="000000"/>
              <w:right w:val="single" w:sz="4" w:space="0" w:color="000000"/>
            </w:tcBorders>
          </w:tcPr>
          <w:p>
            <w:pPr>
              <w:pStyle w:val="TableParagraph"/>
              <w:spacing w:before="36"/>
              <w:ind w:right="613"/>
              <w:jc w:val="right"/>
              <w:rPr>
                <w:sz w:val="22"/>
              </w:rPr>
            </w:pPr>
            <w:r>
              <w:rPr>
                <w:w w:val="95"/>
                <w:sz w:val="22"/>
              </w:rPr>
              <w:t>934.9</w:t>
            </w:r>
          </w:p>
        </w:tc>
        <w:tc>
          <w:tcPr>
            <w:tcW w:w="840" w:type="dxa"/>
            <w:vMerge/>
            <w:tcBorders>
              <w:left w:val="single" w:sz="4" w:space="0" w:color="000000"/>
            </w:tcBorders>
          </w:tcPr>
          <w:p>
            <w:pPr/>
          </w:p>
        </w:tc>
      </w:tr>
    </w:tbl>
    <w:p>
      <w:pPr>
        <w:spacing w:before="0"/>
        <w:ind w:left="1679" w:right="1124" w:hanging="533"/>
        <w:jc w:val="left"/>
        <w:rPr>
          <w:sz w:val="20"/>
        </w:rPr>
      </w:pPr>
      <w:r>
        <w:rPr>
          <w:sz w:val="20"/>
        </w:rPr>
        <w:t>Zona 1=Población sin riesgo, zona 2= Población con riesgo, RR= Riesgo relativo Elaboración propia a partir de datos de la SSA, 2007 e INEGI, 2010</w:t>
      </w:r>
    </w:p>
    <w:p>
      <w:pPr>
        <w:pStyle w:val="BodyText"/>
        <w:spacing w:before="1"/>
      </w:pPr>
    </w:p>
    <w:p>
      <w:pPr>
        <w:pStyle w:val="Heading1"/>
        <w:ind w:right="305"/>
      </w:pPr>
      <w:r>
        <w:rPr/>
        <w:t>Tabla 5. Cálculo de medidas de frecuencia para hepatitis</w:t>
      </w: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60"/>
        <w:gridCol w:w="709"/>
        <w:gridCol w:w="708"/>
        <w:gridCol w:w="1277"/>
        <w:gridCol w:w="1133"/>
        <w:gridCol w:w="1702"/>
        <w:gridCol w:w="2030"/>
      </w:tblGrid>
      <w:tr>
        <w:trPr>
          <w:trHeight w:val="335" w:hRule="exact"/>
        </w:trPr>
        <w:tc>
          <w:tcPr>
            <w:tcW w:w="860" w:type="dxa"/>
            <w:tcBorders>
              <w:right w:val="single" w:sz="4" w:space="0" w:color="000000"/>
            </w:tcBorders>
          </w:tcPr>
          <w:p>
            <w:pPr>
              <w:pStyle w:val="TableParagraph"/>
              <w:spacing w:before="23"/>
              <w:ind w:left="235"/>
              <w:jc w:val="left"/>
              <w:rPr>
                <w:b/>
                <w:sz w:val="22"/>
              </w:rPr>
            </w:pPr>
            <w:r>
              <w:rPr>
                <w:b/>
                <w:sz w:val="22"/>
              </w:rPr>
              <w:t>Año</w:t>
            </w:r>
          </w:p>
        </w:tc>
        <w:tc>
          <w:tcPr>
            <w:tcW w:w="709" w:type="dxa"/>
            <w:tcBorders>
              <w:left w:val="single" w:sz="4" w:space="0" w:color="000000"/>
              <w:bottom w:val="single" w:sz="4" w:space="0" w:color="000000"/>
              <w:right w:val="single" w:sz="4" w:space="0" w:color="000000"/>
            </w:tcBorders>
          </w:tcPr>
          <w:p>
            <w:pPr>
              <w:pStyle w:val="TableParagraph"/>
              <w:spacing w:before="23"/>
              <w:ind w:left="104" w:right="105"/>
              <w:rPr>
                <w:b/>
                <w:sz w:val="22"/>
              </w:rPr>
            </w:pPr>
            <w:r>
              <w:rPr>
                <w:b/>
                <w:sz w:val="22"/>
              </w:rPr>
              <w:t>Zona</w:t>
            </w:r>
          </w:p>
        </w:tc>
        <w:tc>
          <w:tcPr>
            <w:tcW w:w="708" w:type="dxa"/>
            <w:tcBorders>
              <w:left w:val="single" w:sz="4" w:space="0" w:color="000000"/>
              <w:bottom w:val="single" w:sz="4" w:space="0" w:color="000000"/>
              <w:right w:val="single" w:sz="4" w:space="0" w:color="000000"/>
            </w:tcBorders>
          </w:tcPr>
          <w:p>
            <w:pPr>
              <w:pStyle w:val="TableParagraph"/>
              <w:spacing w:before="23"/>
              <w:ind w:left="68" w:right="70"/>
              <w:rPr>
                <w:b/>
                <w:sz w:val="22"/>
              </w:rPr>
            </w:pPr>
            <w:r>
              <w:rPr>
                <w:b/>
                <w:sz w:val="22"/>
              </w:rPr>
              <w:t>Casos</w:t>
            </w:r>
          </w:p>
        </w:tc>
        <w:tc>
          <w:tcPr>
            <w:tcW w:w="1277" w:type="dxa"/>
            <w:tcBorders>
              <w:left w:val="single" w:sz="4" w:space="0" w:color="000000"/>
              <w:bottom w:val="single" w:sz="4" w:space="0" w:color="000000"/>
              <w:right w:val="single" w:sz="4" w:space="0" w:color="000000"/>
            </w:tcBorders>
          </w:tcPr>
          <w:p>
            <w:pPr>
              <w:pStyle w:val="TableParagraph"/>
              <w:spacing w:before="23"/>
              <w:ind w:left="45" w:right="45"/>
              <w:rPr>
                <w:b/>
                <w:sz w:val="22"/>
              </w:rPr>
            </w:pPr>
            <w:r>
              <w:rPr>
                <w:b/>
                <w:sz w:val="22"/>
              </w:rPr>
              <w:t>Defunciones</w:t>
            </w:r>
          </w:p>
        </w:tc>
        <w:tc>
          <w:tcPr>
            <w:tcW w:w="1133" w:type="dxa"/>
            <w:tcBorders>
              <w:left w:val="single" w:sz="4" w:space="0" w:color="000000"/>
              <w:bottom w:val="single" w:sz="4" w:space="0" w:color="000000"/>
              <w:right w:val="single" w:sz="4" w:space="0" w:color="000000"/>
            </w:tcBorders>
          </w:tcPr>
          <w:p>
            <w:pPr>
              <w:pStyle w:val="TableParagraph"/>
              <w:spacing w:before="23"/>
              <w:ind w:left="91" w:right="92"/>
              <w:rPr>
                <w:b/>
                <w:sz w:val="22"/>
              </w:rPr>
            </w:pPr>
            <w:r>
              <w:rPr>
                <w:b/>
                <w:sz w:val="22"/>
              </w:rPr>
              <w:t>Población</w:t>
            </w:r>
          </w:p>
        </w:tc>
        <w:tc>
          <w:tcPr>
            <w:tcW w:w="1702" w:type="dxa"/>
            <w:tcBorders>
              <w:left w:val="single" w:sz="4" w:space="0" w:color="000000"/>
              <w:bottom w:val="single" w:sz="4" w:space="0" w:color="000000"/>
              <w:right w:val="single" w:sz="4" w:space="0" w:color="000000"/>
            </w:tcBorders>
          </w:tcPr>
          <w:p>
            <w:pPr>
              <w:pStyle w:val="TableParagraph"/>
              <w:spacing w:before="23"/>
              <w:ind w:left="68" w:right="69"/>
              <w:rPr>
                <w:b/>
                <w:sz w:val="22"/>
              </w:rPr>
            </w:pPr>
            <w:r>
              <w:rPr>
                <w:b/>
                <w:sz w:val="22"/>
              </w:rPr>
              <w:t>IA x 100000 hab.</w:t>
            </w:r>
          </w:p>
        </w:tc>
        <w:tc>
          <w:tcPr>
            <w:tcW w:w="2030" w:type="dxa"/>
            <w:tcBorders>
              <w:left w:val="single" w:sz="4" w:space="0" w:color="000000"/>
              <w:bottom w:val="single" w:sz="4" w:space="0" w:color="000000"/>
            </w:tcBorders>
          </w:tcPr>
          <w:p>
            <w:pPr>
              <w:pStyle w:val="TableParagraph"/>
              <w:spacing w:before="23"/>
              <w:ind w:left="148" w:right="145"/>
              <w:rPr>
                <w:b/>
                <w:sz w:val="22"/>
              </w:rPr>
            </w:pPr>
            <w:r>
              <w:rPr>
                <w:b/>
                <w:sz w:val="22"/>
              </w:rPr>
              <w:t>PM  x 100000 hab.</w:t>
            </w:r>
          </w:p>
        </w:tc>
      </w:tr>
      <w:tr>
        <w:trPr>
          <w:trHeight w:val="316" w:hRule="exact"/>
        </w:trPr>
        <w:tc>
          <w:tcPr>
            <w:tcW w:w="860" w:type="dxa"/>
            <w:vMerge w:val="restart"/>
            <w:tcBorders>
              <w:left w:val="single" w:sz="4" w:space="0" w:color="000000"/>
              <w:right w:val="single" w:sz="4" w:space="0" w:color="000000"/>
            </w:tcBorders>
          </w:tcPr>
          <w:p>
            <w:pPr>
              <w:pStyle w:val="TableParagraph"/>
              <w:spacing w:before="171"/>
              <w:ind w:left="201"/>
              <w:jc w:val="left"/>
              <w:rPr>
                <w:sz w:val="22"/>
              </w:rPr>
            </w:pPr>
            <w:r>
              <w:rPr>
                <w:sz w:val="22"/>
              </w:rPr>
              <w:t>2000</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before="21"/>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21"/>
              <w:ind w:left="68" w:right="68"/>
              <w:rPr>
                <w:sz w:val="22"/>
              </w:rPr>
            </w:pPr>
            <w:r>
              <w:rPr>
                <w:sz w:val="22"/>
              </w:rPr>
              <w:t>1744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21"/>
              <w:ind w:right="1"/>
              <w:rPr>
                <w:sz w:val="22"/>
              </w:rPr>
            </w:pPr>
            <w:r>
              <w:rPr>
                <w:w w:val="99"/>
                <w:sz w:val="22"/>
              </w:rPr>
              <w:t>7</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21"/>
              <w:ind w:left="91" w:right="91"/>
              <w:rPr>
                <w:sz w:val="22"/>
              </w:rPr>
            </w:pPr>
            <w:r>
              <w:rPr>
                <w:sz w:val="22"/>
              </w:rPr>
              <w:t>7782601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21"/>
              <w:ind w:left="68" w:right="69"/>
              <w:rPr>
                <w:sz w:val="22"/>
              </w:rPr>
            </w:pPr>
            <w:r>
              <w:rPr>
                <w:sz w:val="22"/>
              </w:rPr>
              <w:t>22.4</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spacing w:before="21"/>
              <w:ind w:left="851" w:right="851"/>
              <w:rPr>
                <w:sz w:val="22"/>
              </w:rPr>
            </w:pPr>
            <w:r>
              <w:rPr>
                <w:sz w:val="22"/>
              </w:rPr>
              <w:t>0.1</w:t>
            </w:r>
          </w:p>
        </w:tc>
      </w:tr>
      <w:tr>
        <w:trPr>
          <w:trHeight w:val="310"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414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1548543</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26.8</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0.0</w:t>
            </w:r>
          </w:p>
        </w:tc>
      </w:tr>
      <w:tr>
        <w:trPr>
          <w:trHeight w:val="311" w:hRule="exact"/>
        </w:trPr>
        <w:tc>
          <w:tcPr>
            <w:tcW w:w="860" w:type="dxa"/>
            <w:vMerge w:val="restart"/>
            <w:tcBorders>
              <w:top w:val="single" w:sz="4" w:space="0" w:color="000000"/>
              <w:left w:val="single" w:sz="4" w:space="0" w:color="000000"/>
              <w:right w:val="single" w:sz="4" w:space="0" w:color="000000"/>
            </w:tcBorders>
          </w:tcPr>
          <w:p>
            <w:pPr>
              <w:pStyle w:val="TableParagraph"/>
              <w:spacing w:before="171"/>
              <w:ind w:left="201"/>
              <w:jc w:val="left"/>
              <w:rPr>
                <w:sz w:val="22"/>
              </w:rPr>
            </w:pPr>
            <w:r>
              <w:rPr>
                <w:sz w:val="22"/>
              </w:rPr>
              <w:t>2001</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before="16"/>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8"/>
              <w:rPr>
                <w:sz w:val="22"/>
              </w:rPr>
            </w:pPr>
            <w:r>
              <w:rPr>
                <w:sz w:val="22"/>
              </w:rPr>
              <w:t>1694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6"/>
              <w:ind w:right="1"/>
              <w:rPr>
                <w:sz w:val="22"/>
              </w:rPr>
            </w:pPr>
            <w:r>
              <w:rPr>
                <w:w w:val="99"/>
                <w:sz w:val="22"/>
              </w:rPr>
              <w:t>3</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6"/>
              <w:ind w:left="91" w:right="91"/>
              <w:rPr>
                <w:sz w:val="22"/>
              </w:rPr>
            </w:pPr>
            <w:r>
              <w:rPr>
                <w:sz w:val="22"/>
              </w:rPr>
              <w:t>7864795</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9"/>
              <w:rPr>
                <w:sz w:val="22"/>
              </w:rPr>
            </w:pPr>
            <w:r>
              <w:rPr>
                <w:sz w:val="22"/>
              </w:rPr>
              <w:t>21.5</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spacing w:before="16"/>
              <w:ind w:left="851" w:right="851"/>
              <w:rPr>
                <w:sz w:val="22"/>
              </w:rPr>
            </w:pPr>
            <w:r>
              <w:rPr>
                <w:sz w:val="22"/>
              </w:rPr>
              <w:t>0.0</w:t>
            </w:r>
          </w:p>
        </w:tc>
      </w:tr>
      <w:tr>
        <w:trPr>
          <w:trHeight w:val="310"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366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1557821</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23.5</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0.0</w:t>
            </w:r>
          </w:p>
        </w:tc>
      </w:tr>
      <w:tr>
        <w:trPr>
          <w:trHeight w:val="310" w:hRule="exact"/>
        </w:trPr>
        <w:tc>
          <w:tcPr>
            <w:tcW w:w="860" w:type="dxa"/>
            <w:vMerge w:val="restart"/>
            <w:tcBorders>
              <w:top w:val="single" w:sz="4" w:space="0" w:color="000000"/>
              <w:left w:val="single" w:sz="4" w:space="0" w:color="000000"/>
              <w:right w:val="single" w:sz="4" w:space="0" w:color="000000"/>
            </w:tcBorders>
          </w:tcPr>
          <w:p>
            <w:pPr>
              <w:pStyle w:val="TableParagraph"/>
              <w:spacing w:before="169"/>
              <w:ind w:left="201"/>
              <w:jc w:val="left"/>
              <w:rPr>
                <w:sz w:val="22"/>
              </w:rPr>
            </w:pPr>
            <w:r>
              <w:rPr>
                <w:sz w:val="22"/>
              </w:rPr>
              <w:t>2002</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614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45" w:right="45"/>
              <w:rPr>
                <w:sz w:val="22"/>
              </w:rPr>
            </w:pPr>
            <w:r>
              <w:rPr>
                <w:sz w:val="22"/>
              </w:rPr>
              <w:t>11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7918110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8"/>
              <w:rPr>
                <w:sz w:val="22"/>
              </w:rPr>
            </w:pPr>
            <w:r>
              <w:rPr>
                <w:sz w:val="22"/>
              </w:rPr>
              <w:t>7.8</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r>
        <w:trPr>
          <w:trHeight w:val="311"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before="16"/>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9"/>
              <w:rPr>
                <w:sz w:val="22"/>
              </w:rPr>
            </w:pPr>
            <w:r>
              <w:rPr>
                <w:sz w:val="22"/>
              </w:rPr>
              <w:t>119</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6"/>
              <w:ind w:right="1"/>
              <w:rPr>
                <w:sz w:val="22"/>
              </w:rPr>
            </w:pPr>
            <w:r>
              <w:rPr>
                <w:w w:val="99"/>
                <w:sz w:val="22"/>
              </w:rPr>
              <w:t>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6"/>
              <w:ind w:left="91" w:right="91"/>
              <w:rPr>
                <w:sz w:val="22"/>
              </w:rPr>
            </w:pPr>
            <w:r>
              <w:rPr>
                <w:sz w:val="22"/>
              </w:rPr>
              <w:t>1579823</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8"/>
              <w:rPr>
                <w:sz w:val="22"/>
              </w:rPr>
            </w:pPr>
            <w:r>
              <w:rPr>
                <w:sz w:val="22"/>
              </w:rPr>
              <w:t>7.6</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spacing w:before="16"/>
              <w:ind w:left="851" w:right="851"/>
              <w:rPr>
                <w:sz w:val="22"/>
              </w:rPr>
            </w:pPr>
            <w:r>
              <w:rPr>
                <w:sz w:val="22"/>
              </w:rPr>
              <w:t>0.0</w:t>
            </w:r>
          </w:p>
        </w:tc>
      </w:tr>
      <w:tr>
        <w:trPr>
          <w:trHeight w:val="310" w:hRule="exact"/>
        </w:trPr>
        <w:tc>
          <w:tcPr>
            <w:tcW w:w="860" w:type="dxa"/>
            <w:vMerge w:val="restart"/>
            <w:tcBorders>
              <w:top w:val="single" w:sz="4" w:space="0" w:color="000000"/>
              <w:left w:val="single" w:sz="4" w:space="0" w:color="000000"/>
              <w:right w:val="single" w:sz="4" w:space="0" w:color="000000"/>
            </w:tcBorders>
          </w:tcPr>
          <w:p>
            <w:pPr>
              <w:pStyle w:val="TableParagraph"/>
              <w:spacing w:before="169"/>
              <w:ind w:left="201"/>
              <w:jc w:val="left"/>
              <w:rPr>
                <w:sz w:val="22"/>
              </w:rPr>
            </w:pPr>
            <w:r>
              <w:rPr>
                <w:sz w:val="22"/>
              </w:rPr>
              <w:t>2003</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641</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45" w:right="45"/>
              <w:rPr>
                <w:sz w:val="22"/>
              </w:rPr>
            </w:pPr>
            <w:r>
              <w:rPr>
                <w:sz w:val="22"/>
              </w:rPr>
              <w:t>12</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7983307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8"/>
              <w:rPr>
                <w:sz w:val="22"/>
              </w:rPr>
            </w:pPr>
            <w:r>
              <w:rPr>
                <w:sz w:val="22"/>
              </w:rPr>
              <w:t>8.0</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0.2</w:t>
            </w:r>
          </w:p>
        </w:tc>
      </w:tr>
      <w:tr>
        <w:trPr>
          <w:trHeight w:val="310"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298</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1604038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18.6</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r>
        <w:trPr>
          <w:trHeight w:val="311" w:hRule="exact"/>
        </w:trPr>
        <w:tc>
          <w:tcPr>
            <w:tcW w:w="860" w:type="dxa"/>
            <w:vMerge w:val="restart"/>
            <w:tcBorders>
              <w:top w:val="single" w:sz="4" w:space="0" w:color="000000"/>
              <w:left w:val="single" w:sz="4" w:space="0" w:color="000000"/>
              <w:right w:val="single" w:sz="4" w:space="0" w:color="000000"/>
            </w:tcBorders>
          </w:tcPr>
          <w:p>
            <w:pPr>
              <w:pStyle w:val="TableParagraph"/>
              <w:spacing w:before="171"/>
              <w:ind w:left="201"/>
              <w:jc w:val="left"/>
              <w:rPr>
                <w:sz w:val="22"/>
              </w:rPr>
            </w:pPr>
            <w:r>
              <w:rPr>
                <w:sz w:val="22"/>
              </w:rPr>
              <w:t>2004</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before="16"/>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8"/>
              <w:rPr>
                <w:sz w:val="22"/>
              </w:rPr>
            </w:pPr>
            <w:r>
              <w:rPr>
                <w:sz w:val="22"/>
              </w:rPr>
              <w:t>1097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6"/>
              <w:ind w:right="1"/>
              <w:rPr>
                <w:sz w:val="22"/>
              </w:rPr>
            </w:pPr>
            <w:r>
              <w:rPr>
                <w:w w:val="99"/>
                <w:sz w:val="22"/>
              </w:rPr>
              <w:t>8</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6"/>
              <w:ind w:left="91" w:right="91"/>
              <w:rPr>
                <w:sz w:val="22"/>
              </w:rPr>
            </w:pPr>
            <w:r>
              <w:rPr>
                <w:sz w:val="22"/>
              </w:rPr>
              <w:t>8060713</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9"/>
              <w:rPr>
                <w:sz w:val="22"/>
              </w:rPr>
            </w:pPr>
            <w:r>
              <w:rPr>
                <w:sz w:val="22"/>
              </w:rPr>
              <w:t>13.6</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spacing w:before="16"/>
              <w:ind w:left="851" w:right="851"/>
              <w:rPr>
                <w:sz w:val="22"/>
              </w:rPr>
            </w:pPr>
            <w:r>
              <w:rPr>
                <w:sz w:val="22"/>
              </w:rPr>
              <w:t>0.1</w:t>
            </w:r>
          </w:p>
        </w:tc>
      </w:tr>
      <w:tr>
        <w:trPr>
          <w:trHeight w:val="310"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375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2</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1630760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23.0</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r>
        <w:trPr>
          <w:trHeight w:val="310" w:hRule="exact"/>
        </w:trPr>
        <w:tc>
          <w:tcPr>
            <w:tcW w:w="860" w:type="dxa"/>
            <w:vMerge w:val="restart"/>
            <w:tcBorders>
              <w:top w:val="single" w:sz="4" w:space="0" w:color="000000"/>
              <w:left w:val="single" w:sz="4" w:space="0" w:color="000000"/>
              <w:right w:val="single" w:sz="4" w:space="0" w:color="000000"/>
            </w:tcBorders>
          </w:tcPr>
          <w:p>
            <w:pPr>
              <w:pStyle w:val="TableParagraph"/>
              <w:spacing w:before="169"/>
              <w:ind w:left="201"/>
              <w:jc w:val="left"/>
              <w:rPr>
                <w:sz w:val="22"/>
              </w:rPr>
            </w:pPr>
            <w:r>
              <w:rPr>
                <w:sz w:val="22"/>
              </w:rPr>
              <w:t>2005</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8"/>
              <w:rPr>
                <w:sz w:val="22"/>
              </w:rPr>
            </w:pPr>
            <w:r>
              <w:rPr>
                <w:sz w:val="22"/>
              </w:rPr>
              <w:t>1743</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left="45" w:right="45"/>
              <w:rPr>
                <w:sz w:val="22"/>
              </w:rPr>
            </w:pPr>
            <w:r>
              <w:rPr>
                <w:sz w:val="22"/>
              </w:rPr>
              <w:t>11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8128646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21.4</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r>
        <w:trPr>
          <w:trHeight w:val="311"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before="16"/>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9"/>
              <w:rPr>
                <w:sz w:val="22"/>
              </w:rPr>
            </w:pPr>
            <w:r>
              <w:rPr>
                <w:sz w:val="22"/>
              </w:rPr>
              <w:t>433</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6"/>
              <w:ind w:right="1"/>
              <w:rPr>
                <w:sz w:val="22"/>
              </w:rPr>
            </w:pPr>
            <w:r>
              <w:rPr>
                <w:w w:val="99"/>
                <w:sz w:val="22"/>
              </w:rPr>
              <w:t>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6"/>
              <w:ind w:left="91" w:right="91"/>
              <w:rPr>
                <w:sz w:val="22"/>
              </w:rPr>
            </w:pPr>
            <w:r>
              <w:rPr>
                <w:sz w:val="22"/>
              </w:rPr>
              <w:t>1660395</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6"/>
              <w:ind w:left="68" w:right="69"/>
              <w:rPr>
                <w:sz w:val="22"/>
              </w:rPr>
            </w:pPr>
            <w:r>
              <w:rPr>
                <w:sz w:val="22"/>
              </w:rPr>
              <w:t>26.1</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spacing w:before="16"/>
              <w:ind w:left="851" w:right="851"/>
              <w:rPr>
                <w:sz w:val="22"/>
              </w:rPr>
            </w:pPr>
            <w:r>
              <w:rPr>
                <w:sz w:val="22"/>
              </w:rPr>
              <w:t>0.0</w:t>
            </w:r>
          </w:p>
        </w:tc>
      </w:tr>
      <w:tr>
        <w:trPr>
          <w:trHeight w:val="310" w:hRule="exact"/>
        </w:trPr>
        <w:tc>
          <w:tcPr>
            <w:tcW w:w="860" w:type="dxa"/>
            <w:vMerge w:val="restart"/>
            <w:tcBorders>
              <w:top w:val="single" w:sz="4" w:space="0" w:color="000000"/>
              <w:left w:val="single" w:sz="4" w:space="0" w:color="000000"/>
              <w:right w:val="single" w:sz="4" w:space="0" w:color="000000"/>
            </w:tcBorders>
          </w:tcPr>
          <w:p>
            <w:pPr>
              <w:pStyle w:val="TableParagraph"/>
              <w:spacing w:before="169"/>
              <w:ind w:left="201"/>
              <w:jc w:val="left"/>
              <w:rPr>
                <w:sz w:val="22"/>
              </w:rPr>
            </w:pPr>
            <w:r>
              <w:rPr>
                <w:sz w:val="22"/>
              </w:rPr>
              <w:t>2006</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1</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8"/>
              <w:rPr>
                <w:sz w:val="22"/>
              </w:rPr>
            </w:pPr>
            <w:r>
              <w:rPr>
                <w:sz w:val="22"/>
              </w:rPr>
              <w:t>1584</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9</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8258874</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19.2</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r>
        <w:trPr>
          <w:trHeight w:val="311" w:hRule="exact"/>
        </w:trPr>
        <w:tc>
          <w:tcPr>
            <w:tcW w:w="860" w:type="dxa"/>
            <w:vMerge/>
            <w:tcBorders>
              <w:left w:val="single" w:sz="4" w:space="0" w:color="000000"/>
              <w:bottom w:val="single" w:sz="4" w:space="0" w:color="000000"/>
              <w:right w:val="single" w:sz="4" w:space="0" w:color="000000"/>
            </w:tcBorders>
          </w:tcPr>
          <w:p>
            <w:pPr/>
          </w:p>
        </w:tc>
        <w:tc>
          <w:tcPr>
            <w:tcW w:w="709"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w w:val="99"/>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580</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1"/>
              <w:rPr>
                <w:sz w:val="22"/>
              </w:rPr>
            </w:pPr>
            <w:r>
              <w:rPr>
                <w:w w:val="99"/>
                <w:sz w:val="22"/>
              </w:rPr>
              <w:t>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ind w:left="91" w:right="91"/>
              <w:rPr>
                <w:sz w:val="22"/>
              </w:rPr>
            </w:pPr>
            <w:r>
              <w:rPr>
                <w:sz w:val="22"/>
              </w:rPr>
              <w:t>1693532</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ind w:left="68" w:right="69"/>
              <w:rPr>
                <w:sz w:val="22"/>
              </w:rPr>
            </w:pPr>
            <w:r>
              <w:rPr>
                <w:sz w:val="22"/>
              </w:rPr>
              <w:t>34.3</w:t>
            </w:r>
          </w:p>
        </w:tc>
        <w:tc>
          <w:tcPr>
            <w:tcW w:w="2030" w:type="dxa"/>
            <w:tcBorders>
              <w:top w:val="single" w:sz="4" w:space="0" w:color="000000"/>
              <w:left w:val="single" w:sz="4" w:space="0" w:color="000000"/>
              <w:bottom w:val="single" w:sz="4" w:space="0" w:color="000000"/>
              <w:right w:val="single" w:sz="4" w:space="0" w:color="000000"/>
            </w:tcBorders>
          </w:tcPr>
          <w:p>
            <w:pPr>
              <w:pStyle w:val="TableParagraph"/>
              <w:ind w:left="851" w:right="851"/>
              <w:rPr>
                <w:sz w:val="22"/>
              </w:rPr>
            </w:pPr>
            <w:r>
              <w:rPr>
                <w:sz w:val="22"/>
              </w:rPr>
              <w:t>0.1</w:t>
            </w:r>
          </w:p>
        </w:tc>
      </w:tr>
    </w:tbl>
    <w:p>
      <w:pPr>
        <w:spacing w:line="227" w:lineRule="exact" w:before="0"/>
        <w:ind w:left="132" w:right="0" w:firstLine="0"/>
        <w:jc w:val="left"/>
        <w:rPr>
          <w:sz w:val="20"/>
        </w:rPr>
      </w:pPr>
      <w:r>
        <w:rPr>
          <w:sz w:val="20"/>
        </w:rPr>
        <w:t>Zona 1=Población sin riesgo, zona 2= Con riesgo, IA= Incidencia acumulada, PM= Probabilidad de morir.</w:t>
      </w:r>
    </w:p>
    <w:p>
      <w:pPr>
        <w:spacing w:after="0" w:line="227" w:lineRule="exact"/>
        <w:jc w:val="left"/>
        <w:rPr>
          <w:sz w:val="20"/>
        </w:rPr>
        <w:sectPr>
          <w:pgSz w:w="12240" w:h="15840"/>
          <w:pgMar w:header="0" w:footer="1184" w:top="1500" w:bottom="1380" w:left="1720" w:right="1720"/>
        </w:sectPr>
      </w:pPr>
    </w:p>
    <w:p>
      <w:pPr>
        <w:pStyle w:val="BodyText"/>
        <w:rPr>
          <w:sz w:val="20"/>
        </w:rPr>
      </w:pPr>
    </w:p>
    <w:p>
      <w:pPr>
        <w:pStyle w:val="BodyText"/>
        <w:rPr>
          <w:sz w:val="20"/>
        </w:rPr>
      </w:pPr>
    </w:p>
    <w:p>
      <w:pPr>
        <w:pStyle w:val="BodyText"/>
        <w:spacing w:before="5"/>
        <w:rPr>
          <w:sz w:val="20"/>
        </w:rPr>
      </w:pPr>
    </w:p>
    <w:p>
      <w:pPr>
        <w:pStyle w:val="Heading1"/>
        <w:spacing w:before="71"/>
        <w:ind w:left="1772"/>
        <w:jc w:val="left"/>
      </w:pPr>
      <w:r>
        <w:rPr/>
        <w:t>Tabla 6. Resultados AVAD y riesgo relativo para hepatitis</w:t>
      </w:r>
    </w:p>
    <w:tbl>
      <w:tblPr>
        <w:tblW w:w="0" w:type="auto"/>
        <w:jc w:val="left"/>
        <w:tblInd w:w="2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52"/>
        <w:gridCol w:w="1388"/>
        <w:gridCol w:w="1200"/>
        <w:gridCol w:w="1200"/>
        <w:gridCol w:w="1200"/>
        <w:gridCol w:w="1200"/>
        <w:gridCol w:w="898"/>
      </w:tblGrid>
      <w:tr>
        <w:trPr>
          <w:trHeight w:val="335" w:hRule="exact"/>
        </w:trPr>
        <w:tc>
          <w:tcPr>
            <w:tcW w:w="852" w:type="dxa"/>
            <w:tcBorders>
              <w:right w:val="single" w:sz="4" w:space="0" w:color="000000"/>
            </w:tcBorders>
          </w:tcPr>
          <w:p>
            <w:pPr>
              <w:pStyle w:val="TableParagraph"/>
              <w:spacing w:before="46"/>
              <w:ind w:left="230"/>
              <w:jc w:val="left"/>
              <w:rPr>
                <w:b/>
                <w:sz w:val="22"/>
              </w:rPr>
            </w:pPr>
            <w:r>
              <w:rPr>
                <w:b/>
                <w:sz w:val="22"/>
              </w:rPr>
              <w:t>Año</w:t>
            </w:r>
          </w:p>
        </w:tc>
        <w:tc>
          <w:tcPr>
            <w:tcW w:w="1388" w:type="dxa"/>
            <w:tcBorders>
              <w:left w:val="single" w:sz="4" w:space="0" w:color="000000"/>
              <w:right w:val="single" w:sz="4" w:space="0" w:color="000000"/>
            </w:tcBorders>
          </w:tcPr>
          <w:p>
            <w:pPr>
              <w:pStyle w:val="TableParagraph"/>
              <w:spacing w:before="46"/>
              <w:ind w:left="443" w:right="444"/>
              <w:rPr>
                <w:b/>
                <w:sz w:val="22"/>
              </w:rPr>
            </w:pPr>
            <w:r>
              <w:rPr>
                <w:b/>
                <w:sz w:val="22"/>
              </w:rPr>
              <w:t>Zona</w:t>
            </w:r>
          </w:p>
        </w:tc>
        <w:tc>
          <w:tcPr>
            <w:tcW w:w="1200" w:type="dxa"/>
            <w:tcBorders>
              <w:left w:val="single" w:sz="4" w:space="0" w:color="000000"/>
              <w:right w:val="single" w:sz="4" w:space="0" w:color="000000"/>
            </w:tcBorders>
          </w:tcPr>
          <w:p>
            <w:pPr>
              <w:pStyle w:val="TableParagraph"/>
              <w:spacing w:before="46"/>
              <w:ind w:left="384" w:right="385"/>
              <w:rPr>
                <w:b/>
                <w:sz w:val="22"/>
              </w:rPr>
            </w:pPr>
            <w:r>
              <w:rPr>
                <w:b/>
                <w:sz w:val="22"/>
              </w:rPr>
              <w:t>AVP</w:t>
            </w:r>
          </w:p>
        </w:tc>
        <w:tc>
          <w:tcPr>
            <w:tcW w:w="1200" w:type="dxa"/>
            <w:tcBorders>
              <w:left w:val="single" w:sz="4" w:space="0" w:color="000000"/>
              <w:right w:val="single" w:sz="4" w:space="0" w:color="000000"/>
            </w:tcBorders>
          </w:tcPr>
          <w:p>
            <w:pPr>
              <w:pStyle w:val="TableParagraph"/>
              <w:spacing w:before="46"/>
              <w:ind w:left="393"/>
              <w:jc w:val="left"/>
              <w:rPr>
                <w:b/>
                <w:sz w:val="22"/>
              </w:rPr>
            </w:pPr>
            <w:r>
              <w:rPr>
                <w:b/>
                <w:sz w:val="22"/>
              </w:rPr>
              <w:t>AVD</w:t>
            </w:r>
          </w:p>
        </w:tc>
        <w:tc>
          <w:tcPr>
            <w:tcW w:w="1200" w:type="dxa"/>
            <w:tcBorders>
              <w:left w:val="single" w:sz="4" w:space="0" w:color="000000"/>
              <w:right w:val="single" w:sz="4" w:space="0" w:color="000000"/>
            </w:tcBorders>
          </w:tcPr>
          <w:p>
            <w:pPr>
              <w:pStyle w:val="TableParagraph"/>
              <w:spacing w:before="46"/>
              <w:ind w:left="326"/>
              <w:jc w:val="left"/>
              <w:rPr>
                <w:b/>
                <w:sz w:val="22"/>
              </w:rPr>
            </w:pPr>
            <w:r>
              <w:rPr>
                <w:b/>
                <w:sz w:val="22"/>
              </w:rPr>
              <w:t>AVAD</w:t>
            </w:r>
          </w:p>
        </w:tc>
        <w:tc>
          <w:tcPr>
            <w:tcW w:w="1200" w:type="dxa"/>
            <w:tcBorders>
              <w:left w:val="single" w:sz="4" w:space="0" w:color="000000"/>
              <w:right w:val="single" w:sz="4" w:space="0" w:color="000000"/>
            </w:tcBorders>
          </w:tcPr>
          <w:p>
            <w:pPr>
              <w:pStyle w:val="TableParagraph"/>
              <w:spacing w:before="46"/>
              <w:ind w:right="95"/>
              <w:jc w:val="right"/>
              <w:rPr>
                <w:b/>
                <w:sz w:val="22"/>
              </w:rPr>
            </w:pPr>
            <w:r>
              <w:rPr>
                <w:b/>
                <w:sz w:val="22"/>
              </w:rPr>
              <w:t>Tasa AVAD</w:t>
            </w:r>
          </w:p>
        </w:tc>
        <w:tc>
          <w:tcPr>
            <w:tcW w:w="898" w:type="dxa"/>
            <w:tcBorders>
              <w:left w:val="single" w:sz="4" w:space="0" w:color="000000"/>
            </w:tcBorders>
          </w:tcPr>
          <w:p>
            <w:pPr>
              <w:pStyle w:val="TableParagraph"/>
              <w:spacing w:before="46"/>
              <w:ind w:left="299" w:right="295"/>
              <w:rPr>
                <w:b/>
                <w:sz w:val="22"/>
              </w:rPr>
            </w:pPr>
            <w:r>
              <w:rPr>
                <w:b/>
                <w:sz w:val="22"/>
              </w:rPr>
              <w:t>RR</w:t>
            </w:r>
          </w:p>
        </w:tc>
      </w:tr>
      <w:tr>
        <w:trPr>
          <w:trHeight w:val="330" w:hRule="exact"/>
        </w:trPr>
        <w:tc>
          <w:tcPr>
            <w:tcW w:w="852" w:type="dxa"/>
            <w:vMerge w:val="restart"/>
            <w:tcBorders>
              <w:right w:val="single" w:sz="4" w:space="0" w:color="000000"/>
            </w:tcBorders>
          </w:tcPr>
          <w:p>
            <w:pPr>
              <w:pStyle w:val="TableParagraph"/>
              <w:spacing w:before="191"/>
              <w:ind w:left="192"/>
              <w:jc w:val="left"/>
              <w:rPr>
                <w:sz w:val="22"/>
              </w:rPr>
            </w:pPr>
            <w:r>
              <w:rPr>
                <w:sz w:val="22"/>
              </w:rPr>
              <w:t>2000</w:t>
            </w:r>
          </w:p>
        </w:tc>
        <w:tc>
          <w:tcPr>
            <w:tcW w:w="1388" w:type="dxa"/>
            <w:tcBorders>
              <w:left w:val="single" w:sz="4" w:space="0" w:color="000000"/>
              <w:bottom w:val="single" w:sz="4" w:space="0" w:color="000000"/>
              <w:right w:val="single" w:sz="4" w:space="0" w:color="000000"/>
            </w:tcBorders>
          </w:tcPr>
          <w:p>
            <w:pPr>
              <w:pStyle w:val="TableParagraph"/>
              <w:spacing w:before="46"/>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sz w:val="22"/>
              </w:rPr>
              <w:t>108.88</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3904</w:t>
            </w:r>
          </w:p>
        </w:tc>
        <w:tc>
          <w:tcPr>
            <w:tcW w:w="1200" w:type="dxa"/>
            <w:tcBorders>
              <w:left w:val="single" w:sz="4" w:space="0" w:color="000000"/>
              <w:right w:val="single" w:sz="4" w:space="0" w:color="000000"/>
            </w:tcBorders>
          </w:tcPr>
          <w:p>
            <w:pPr>
              <w:pStyle w:val="TableParagraph"/>
              <w:spacing w:before="46"/>
              <w:ind w:right="63"/>
              <w:jc w:val="right"/>
              <w:rPr>
                <w:sz w:val="22"/>
              </w:rPr>
            </w:pPr>
            <w:r>
              <w:rPr>
                <w:w w:val="95"/>
                <w:sz w:val="22"/>
              </w:rPr>
              <w:t>4013</w:t>
            </w:r>
          </w:p>
        </w:tc>
        <w:tc>
          <w:tcPr>
            <w:tcW w:w="1200" w:type="dxa"/>
            <w:tcBorders>
              <w:left w:val="single" w:sz="4" w:space="0" w:color="000000"/>
              <w:right w:val="single" w:sz="4" w:space="0" w:color="000000"/>
            </w:tcBorders>
          </w:tcPr>
          <w:p>
            <w:pPr>
              <w:pStyle w:val="TableParagraph"/>
              <w:spacing w:before="46"/>
              <w:ind w:right="65"/>
              <w:jc w:val="right"/>
              <w:rPr>
                <w:sz w:val="22"/>
              </w:rPr>
            </w:pPr>
            <w:r>
              <w:rPr>
                <w:w w:val="95"/>
                <w:sz w:val="22"/>
              </w:rPr>
              <w:t>51.6</w:t>
            </w:r>
          </w:p>
        </w:tc>
        <w:tc>
          <w:tcPr>
            <w:tcW w:w="898" w:type="dxa"/>
            <w:tcBorders>
              <w:left w:val="single" w:sz="4" w:space="0" w:color="000000"/>
              <w:bottom w:val="single" w:sz="4" w:space="0" w:color="000000"/>
            </w:tcBorders>
          </w:tcPr>
          <w:p>
            <w:pPr>
              <w:pStyle w:val="TableParagraph"/>
              <w:spacing w:before="46"/>
              <w:ind w:right="57"/>
              <w:jc w:val="right"/>
              <w:rPr>
                <w:sz w:val="22"/>
              </w:rPr>
            </w:pPr>
            <w:r>
              <w:rPr>
                <w:w w:val="95"/>
                <w:sz w:val="22"/>
              </w:rPr>
              <w:t>1.13</w:t>
            </w:r>
          </w:p>
        </w:tc>
      </w:tr>
      <w:tr>
        <w:trPr>
          <w:trHeight w:val="340"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0</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906</w:t>
            </w:r>
          </w:p>
        </w:tc>
        <w:tc>
          <w:tcPr>
            <w:tcW w:w="1200" w:type="dxa"/>
            <w:tcBorders>
              <w:left w:val="single" w:sz="4" w:space="0" w:color="000000"/>
              <w:right w:val="single" w:sz="4" w:space="0" w:color="000000"/>
            </w:tcBorders>
          </w:tcPr>
          <w:p>
            <w:pPr>
              <w:pStyle w:val="TableParagraph"/>
              <w:spacing w:before="52"/>
              <w:ind w:right="63"/>
              <w:jc w:val="right"/>
              <w:rPr>
                <w:sz w:val="22"/>
              </w:rPr>
            </w:pPr>
            <w:r>
              <w:rPr>
                <w:w w:val="95"/>
                <w:sz w:val="22"/>
              </w:rPr>
              <w:t>906</w:t>
            </w:r>
          </w:p>
        </w:tc>
        <w:tc>
          <w:tcPr>
            <w:tcW w:w="1200" w:type="dxa"/>
            <w:tcBorders>
              <w:left w:val="single" w:sz="4" w:space="0" w:color="000000"/>
              <w:right w:val="single" w:sz="4" w:space="0" w:color="000000"/>
            </w:tcBorders>
          </w:tcPr>
          <w:p>
            <w:pPr>
              <w:pStyle w:val="TableParagraph"/>
              <w:spacing w:before="52"/>
              <w:ind w:right="65"/>
              <w:jc w:val="right"/>
              <w:rPr>
                <w:sz w:val="22"/>
              </w:rPr>
            </w:pPr>
            <w:r>
              <w:rPr>
                <w:w w:val="95"/>
                <w:sz w:val="22"/>
              </w:rPr>
              <w:t>58.5</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1"/>
              <w:ind w:left="192"/>
              <w:jc w:val="left"/>
              <w:rPr>
                <w:sz w:val="22"/>
              </w:rPr>
            </w:pPr>
            <w:r>
              <w:rPr>
                <w:sz w:val="22"/>
              </w:rPr>
              <w:t>2001</w:t>
            </w:r>
          </w:p>
        </w:tc>
        <w:tc>
          <w:tcPr>
            <w:tcW w:w="1388" w:type="dxa"/>
            <w:tcBorders>
              <w:left w:val="single" w:sz="4" w:space="0" w:color="000000"/>
              <w:bottom w:val="single" w:sz="4" w:space="0" w:color="000000"/>
              <w:right w:val="single" w:sz="4" w:space="0" w:color="000000"/>
            </w:tcBorders>
          </w:tcPr>
          <w:p>
            <w:pPr>
              <w:pStyle w:val="TableParagraph"/>
              <w:spacing w:before="47"/>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22"/>
              </w:rPr>
            </w:pPr>
            <w:r>
              <w:rPr>
                <w:w w:val="95"/>
                <w:sz w:val="22"/>
              </w:rPr>
              <w:t>219.73</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22"/>
              </w:rPr>
            </w:pPr>
            <w:r>
              <w:rPr>
                <w:w w:val="95"/>
                <w:sz w:val="22"/>
              </w:rPr>
              <w:t>3836</w:t>
            </w:r>
          </w:p>
        </w:tc>
        <w:tc>
          <w:tcPr>
            <w:tcW w:w="1200" w:type="dxa"/>
            <w:tcBorders>
              <w:left w:val="single" w:sz="4" w:space="0" w:color="000000"/>
              <w:right w:val="single" w:sz="4" w:space="0" w:color="000000"/>
            </w:tcBorders>
          </w:tcPr>
          <w:p>
            <w:pPr>
              <w:pStyle w:val="TableParagraph"/>
              <w:spacing w:before="47"/>
              <w:ind w:right="63"/>
              <w:jc w:val="right"/>
              <w:rPr>
                <w:sz w:val="22"/>
              </w:rPr>
            </w:pPr>
            <w:r>
              <w:rPr>
                <w:w w:val="95"/>
                <w:sz w:val="22"/>
              </w:rPr>
              <w:t>4055</w:t>
            </w:r>
          </w:p>
        </w:tc>
        <w:tc>
          <w:tcPr>
            <w:tcW w:w="1200" w:type="dxa"/>
            <w:tcBorders>
              <w:left w:val="single" w:sz="4" w:space="0" w:color="000000"/>
              <w:right w:val="single" w:sz="4" w:space="0" w:color="000000"/>
            </w:tcBorders>
          </w:tcPr>
          <w:p>
            <w:pPr>
              <w:pStyle w:val="TableParagraph"/>
              <w:spacing w:before="47"/>
              <w:ind w:right="65"/>
              <w:jc w:val="right"/>
              <w:rPr>
                <w:sz w:val="22"/>
              </w:rPr>
            </w:pPr>
            <w:r>
              <w:rPr>
                <w:w w:val="95"/>
                <w:sz w:val="22"/>
              </w:rPr>
              <w:t>51.6</w:t>
            </w:r>
          </w:p>
        </w:tc>
        <w:tc>
          <w:tcPr>
            <w:tcW w:w="898" w:type="dxa"/>
            <w:tcBorders>
              <w:left w:val="single" w:sz="4" w:space="0" w:color="000000"/>
              <w:bottom w:val="single" w:sz="4" w:space="0" w:color="000000"/>
            </w:tcBorders>
          </w:tcPr>
          <w:p>
            <w:pPr>
              <w:pStyle w:val="TableParagraph"/>
              <w:spacing w:before="47"/>
              <w:ind w:right="57"/>
              <w:jc w:val="right"/>
              <w:rPr>
                <w:sz w:val="22"/>
              </w:rPr>
            </w:pPr>
            <w:r>
              <w:rPr>
                <w:w w:val="95"/>
                <w:sz w:val="22"/>
              </w:rPr>
              <w:t>1.00</w:t>
            </w:r>
          </w:p>
        </w:tc>
      </w:tr>
      <w:tr>
        <w:trPr>
          <w:trHeight w:val="341"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0</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807</w:t>
            </w:r>
          </w:p>
        </w:tc>
        <w:tc>
          <w:tcPr>
            <w:tcW w:w="1200" w:type="dxa"/>
            <w:tcBorders>
              <w:left w:val="single" w:sz="4" w:space="0" w:color="000000"/>
              <w:right w:val="single" w:sz="4" w:space="0" w:color="000000"/>
            </w:tcBorders>
          </w:tcPr>
          <w:p>
            <w:pPr>
              <w:pStyle w:val="TableParagraph"/>
              <w:spacing w:before="52"/>
              <w:ind w:right="63"/>
              <w:jc w:val="right"/>
              <w:rPr>
                <w:sz w:val="22"/>
              </w:rPr>
            </w:pPr>
            <w:r>
              <w:rPr>
                <w:w w:val="95"/>
                <w:sz w:val="22"/>
              </w:rPr>
              <w:t>807</w:t>
            </w:r>
          </w:p>
        </w:tc>
        <w:tc>
          <w:tcPr>
            <w:tcW w:w="1200" w:type="dxa"/>
            <w:tcBorders>
              <w:left w:val="single" w:sz="4" w:space="0" w:color="000000"/>
              <w:right w:val="single" w:sz="4" w:space="0" w:color="000000"/>
            </w:tcBorders>
          </w:tcPr>
          <w:p>
            <w:pPr>
              <w:pStyle w:val="TableParagraph"/>
              <w:spacing w:before="52"/>
              <w:ind w:right="65"/>
              <w:jc w:val="right"/>
              <w:rPr>
                <w:sz w:val="22"/>
              </w:rPr>
            </w:pPr>
            <w:r>
              <w:rPr>
                <w:w w:val="95"/>
                <w:sz w:val="22"/>
              </w:rPr>
              <w:t>51.8</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0"/>
              <w:ind w:left="192"/>
              <w:jc w:val="left"/>
              <w:rPr>
                <w:sz w:val="22"/>
              </w:rPr>
            </w:pPr>
            <w:r>
              <w:rPr>
                <w:sz w:val="22"/>
              </w:rPr>
              <w:t>2002</w:t>
            </w:r>
          </w:p>
        </w:tc>
        <w:tc>
          <w:tcPr>
            <w:tcW w:w="1388" w:type="dxa"/>
            <w:tcBorders>
              <w:left w:val="single" w:sz="4" w:space="0" w:color="000000"/>
              <w:bottom w:val="single" w:sz="4" w:space="0" w:color="000000"/>
              <w:right w:val="single" w:sz="4" w:space="0" w:color="000000"/>
            </w:tcBorders>
          </w:tcPr>
          <w:p>
            <w:pPr>
              <w:pStyle w:val="TableParagraph"/>
              <w:spacing w:before="46"/>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sz w:val="22"/>
              </w:rPr>
              <w:t>162.23</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3933</w:t>
            </w:r>
          </w:p>
        </w:tc>
        <w:tc>
          <w:tcPr>
            <w:tcW w:w="1200" w:type="dxa"/>
            <w:tcBorders>
              <w:left w:val="single" w:sz="4" w:space="0" w:color="000000"/>
              <w:right w:val="single" w:sz="4" w:space="0" w:color="000000"/>
            </w:tcBorders>
          </w:tcPr>
          <w:p>
            <w:pPr>
              <w:pStyle w:val="TableParagraph"/>
              <w:spacing w:before="46"/>
              <w:ind w:right="63"/>
              <w:jc w:val="right"/>
              <w:rPr>
                <w:sz w:val="22"/>
              </w:rPr>
            </w:pPr>
            <w:r>
              <w:rPr>
                <w:w w:val="95"/>
                <w:sz w:val="22"/>
              </w:rPr>
              <w:t>4095</w:t>
            </w:r>
          </w:p>
        </w:tc>
        <w:tc>
          <w:tcPr>
            <w:tcW w:w="1200" w:type="dxa"/>
            <w:tcBorders>
              <w:left w:val="single" w:sz="4" w:space="0" w:color="000000"/>
              <w:right w:val="single" w:sz="4" w:space="0" w:color="000000"/>
            </w:tcBorders>
          </w:tcPr>
          <w:p>
            <w:pPr>
              <w:pStyle w:val="TableParagraph"/>
              <w:spacing w:before="46"/>
              <w:ind w:right="65"/>
              <w:jc w:val="right"/>
              <w:rPr>
                <w:sz w:val="22"/>
              </w:rPr>
            </w:pPr>
            <w:r>
              <w:rPr>
                <w:w w:val="95"/>
                <w:sz w:val="22"/>
              </w:rPr>
              <w:t>51.7</w:t>
            </w:r>
          </w:p>
        </w:tc>
        <w:tc>
          <w:tcPr>
            <w:tcW w:w="898" w:type="dxa"/>
            <w:tcBorders>
              <w:left w:val="single" w:sz="4" w:space="0" w:color="000000"/>
              <w:bottom w:val="single" w:sz="4" w:space="0" w:color="000000"/>
            </w:tcBorders>
          </w:tcPr>
          <w:p>
            <w:pPr>
              <w:pStyle w:val="TableParagraph"/>
              <w:spacing w:before="46"/>
              <w:ind w:right="57"/>
              <w:jc w:val="right"/>
              <w:rPr>
                <w:sz w:val="22"/>
              </w:rPr>
            </w:pPr>
            <w:r>
              <w:rPr>
                <w:w w:val="95"/>
                <w:sz w:val="22"/>
              </w:rPr>
              <w:t>1.03</w:t>
            </w:r>
          </w:p>
        </w:tc>
      </w:tr>
      <w:tr>
        <w:trPr>
          <w:trHeight w:val="340"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5"/>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5"/>
              <w:ind w:right="64"/>
              <w:jc w:val="right"/>
              <w:rPr>
                <w:sz w:val="22"/>
              </w:rPr>
            </w:pPr>
            <w:r>
              <w:rPr>
                <w:w w:val="99"/>
                <w:sz w:val="22"/>
              </w:rPr>
              <w:t>0</w:t>
            </w:r>
          </w:p>
        </w:tc>
        <w:tc>
          <w:tcPr>
            <w:tcW w:w="1200" w:type="dxa"/>
            <w:tcBorders>
              <w:top w:val="single" w:sz="4" w:space="0" w:color="000000"/>
              <w:left w:val="single" w:sz="4" w:space="0" w:color="000000"/>
              <w:right w:val="single" w:sz="4" w:space="0" w:color="000000"/>
            </w:tcBorders>
          </w:tcPr>
          <w:p>
            <w:pPr>
              <w:pStyle w:val="TableParagraph"/>
              <w:spacing w:before="55"/>
              <w:ind w:right="63"/>
              <w:jc w:val="right"/>
              <w:rPr>
                <w:sz w:val="22"/>
              </w:rPr>
            </w:pPr>
            <w:r>
              <w:rPr>
                <w:w w:val="95"/>
                <w:sz w:val="22"/>
              </w:rPr>
              <w:t>839</w:t>
            </w:r>
          </w:p>
        </w:tc>
        <w:tc>
          <w:tcPr>
            <w:tcW w:w="1200" w:type="dxa"/>
            <w:tcBorders>
              <w:left w:val="single" w:sz="4" w:space="0" w:color="000000"/>
              <w:right w:val="single" w:sz="4" w:space="0" w:color="000000"/>
            </w:tcBorders>
          </w:tcPr>
          <w:p>
            <w:pPr>
              <w:pStyle w:val="TableParagraph"/>
              <w:spacing w:before="51"/>
              <w:ind w:right="63"/>
              <w:jc w:val="right"/>
              <w:rPr>
                <w:sz w:val="22"/>
              </w:rPr>
            </w:pPr>
            <w:r>
              <w:rPr>
                <w:w w:val="95"/>
                <w:sz w:val="22"/>
              </w:rPr>
              <w:t>839</w:t>
            </w:r>
          </w:p>
        </w:tc>
        <w:tc>
          <w:tcPr>
            <w:tcW w:w="1200" w:type="dxa"/>
            <w:tcBorders>
              <w:left w:val="single" w:sz="4" w:space="0" w:color="000000"/>
              <w:right w:val="single" w:sz="4" w:space="0" w:color="000000"/>
            </w:tcBorders>
          </w:tcPr>
          <w:p>
            <w:pPr>
              <w:pStyle w:val="TableParagraph"/>
              <w:spacing w:before="51"/>
              <w:ind w:right="65"/>
              <w:jc w:val="right"/>
              <w:rPr>
                <w:sz w:val="22"/>
              </w:rPr>
            </w:pPr>
            <w:r>
              <w:rPr>
                <w:w w:val="95"/>
                <w:sz w:val="22"/>
              </w:rPr>
              <w:t>53.1</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1"/>
              <w:ind w:left="192"/>
              <w:jc w:val="left"/>
              <w:rPr>
                <w:sz w:val="22"/>
              </w:rPr>
            </w:pPr>
            <w:r>
              <w:rPr>
                <w:sz w:val="22"/>
              </w:rPr>
              <w:t>2003</w:t>
            </w:r>
          </w:p>
        </w:tc>
        <w:tc>
          <w:tcPr>
            <w:tcW w:w="1388" w:type="dxa"/>
            <w:tcBorders>
              <w:left w:val="single" w:sz="4" w:space="0" w:color="000000"/>
              <w:bottom w:val="single" w:sz="4" w:space="0" w:color="000000"/>
              <w:right w:val="single" w:sz="4" w:space="0" w:color="000000"/>
            </w:tcBorders>
          </w:tcPr>
          <w:p>
            <w:pPr>
              <w:pStyle w:val="TableParagraph"/>
              <w:spacing w:before="46"/>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47.46</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720</w:t>
            </w:r>
          </w:p>
        </w:tc>
        <w:tc>
          <w:tcPr>
            <w:tcW w:w="1200" w:type="dxa"/>
            <w:tcBorders>
              <w:left w:val="single" w:sz="4" w:space="0" w:color="000000"/>
              <w:right w:val="single" w:sz="4" w:space="0" w:color="000000"/>
            </w:tcBorders>
          </w:tcPr>
          <w:p>
            <w:pPr>
              <w:pStyle w:val="TableParagraph"/>
              <w:spacing w:before="46"/>
              <w:ind w:right="63"/>
              <w:jc w:val="right"/>
              <w:rPr>
                <w:sz w:val="22"/>
              </w:rPr>
            </w:pPr>
            <w:r>
              <w:rPr>
                <w:w w:val="95"/>
                <w:sz w:val="22"/>
              </w:rPr>
              <w:t>767</w:t>
            </w:r>
          </w:p>
        </w:tc>
        <w:tc>
          <w:tcPr>
            <w:tcW w:w="1200" w:type="dxa"/>
            <w:tcBorders>
              <w:left w:val="single" w:sz="4" w:space="0" w:color="000000"/>
              <w:right w:val="single" w:sz="4" w:space="0" w:color="000000"/>
            </w:tcBorders>
          </w:tcPr>
          <w:p>
            <w:pPr>
              <w:pStyle w:val="TableParagraph"/>
              <w:spacing w:before="46"/>
              <w:ind w:right="64"/>
              <w:jc w:val="right"/>
              <w:rPr>
                <w:sz w:val="22"/>
              </w:rPr>
            </w:pPr>
            <w:r>
              <w:rPr>
                <w:w w:val="95"/>
                <w:sz w:val="22"/>
              </w:rPr>
              <w:t>9.6</w:t>
            </w:r>
          </w:p>
        </w:tc>
        <w:tc>
          <w:tcPr>
            <w:tcW w:w="898" w:type="dxa"/>
            <w:tcBorders>
              <w:left w:val="single" w:sz="4" w:space="0" w:color="000000"/>
              <w:bottom w:val="single" w:sz="4" w:space="0" w:color="000000"/>
            </w:tcBorders>
          </w:tcPr>
          <w:p>
            <w:pPr>
              <w:pStyle w:val="TableParagraph"/>
              <w:spacing w:before="46"/>
              <w:ind w:right="57"/>
              <w:jc w:val="right"/>
              <w:rPr>
                <w:sz w:val="22"/>
              </w:rPr>
            </w:pPr>
            <w:r>
              <w:rPr>
                <w:w w:val="95"/>
                <w:sz w:val="22"/>
              </w:rPr>
              <w:t>2.25</w:t>
            </w:r>
          </w:p>
        </w:tc>
      </w:tr>
      <w:tr>
        <w:trPr>
          <w:trHeight w:val="340"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0</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347</w:t>
            </w:r>
          </w:p>
        </w:tc>
        <w:tc>
          <w:tcPr>
            <w:tcW w:w="1200" w:type="dxa"/>
            <w:tcBorders>
              <w:left w:val="single" w:sz="4" w:space="0" w:color="000000"/>
              <w:right w:val="single" w:sz="4" w:space="0" w:color="000000"/>
            </w:tcBorders>
          </w:tcPr>
          <w:p>
            <w:pPr>
              <w:pStyle w:val="TableParagraph"/>
              <w:spacing w:before="52"/>
              <w:ind w:right="63"/>
              <w:jc w:val="right"/>
              <w:rPr>
                <w:sz w:val="22"/>
              </w:rPr>
            </w:pPr>
            <w:r>
              <w:rPr>
                <w:w w:val="95"/>
                <w:sz w:val="22"/>
              </w:rPr>
              <w:t>347</w:t>
            </w:r>
          </w:p>
        </w:tc>
        <w:tc>
          <w:tcPr>
            <w:tcW w:w="1200" w:type="dxa"/>
            <w:tcBorders>
              <w:left w:val="single" w:sz="4" w:space="0" w:color="000000"/>
              <w:right w:val="single" w:sz="4" w:space="0" w:color="000000"/>
            </w:tcBorders>
          </w:tcPr>
          <w:p>
            <w:pPr>
              <w:pStyle w:val="TableParagraph"/>
              <w:spacing w:before="52"/>
              <w:ind w:right="65"/>
              <w:jc w:val="right"/>
              <w:rPr>
                <w:sz w:val="22"/>
              </w:rPr>
            </w:pPr>
            <w:r>
              <w:rPr>
                <w:w w:val="95"/>
                <w:sz w:val="22"/>
              </w:rPr>
              <w:t>21.6</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1"/>
              <w:ind w:left="192"/>
              <w:jc w:val="left"/>
              <w:rPr>
                <w:sz w:val="22"/>
              </w:rPr>
            </w:pPr>
            <w:r>
              <w:rPr>
                <w:sz w:val="22"/>
              </w:rPr>
              <w:t>2004</w:t>
            </w:r>
          </w:p>
        </w:tc>
        <w:tc>
          <w:tcPr>
            <w:tcW w:w="1388" w:type="dxa"/>
            <w:tcBorders>
              <w:left w:val="single" w:sz="4" w:space="0" w:color="000000"/>
              <w:bottom w:val="single" w:sz="4" w:space="0" w:color="000000"/>
              <w:right w:val="single" w:sz="4" w:space="0" w:color="000000"/>
            </w:tcBorders>
          </w:tcPr>
          <w:p>
            <w:pPr>
              <w:pStyle w:val="TableParagraph"/>
              <w:spacing w:before="47"/>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22"/>
              </w:rPr>
            </w:pPr>
            <w:r>
              <w:rPr>
                <w:sz w:val="22"/>
              </w:rPr>
              <w:t>559.76</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22"/>
              </w:rPr>
            </w:pPr>
            <w:r>
              <w:rPr>
                <w:w w:val="95"/>
                <w:sz w:val="22"/>
              </w:rPr>
              <w:t>1353</w:t>
            </w:r>
          </w:p>
        </w:tc>
        <w:tc>
          <w:tcPr>
            <w:tcW w:w="1200" w:type="dxa"/>
            <w:tcBorders>
              <w:left w:val="single" w:sz="4" w:space="0" w:color="000000"/>
              <w:right w:val="single" w:sz="4" w:space="0" w:color="000000"/>
            </w:tcBorders>
          </w:tcPr>
          <w:p>
            <w:pPr>
              <w:pStyle w:val="TableParagraph"/>
              <w:spacing w:before="47"/>
              <w:ind w:right="63"/>
              <w:jc w:val="right"/>
              <w:rPr>
                <w:sz w:val="22"/>
              </w:rPr>
            </w:pPr>
            <w:r>
              <w:rPr>
                <w:w w:val="95"/>
                <w:sz w:val="22"/>
              </w:rPr>
              <w:t>1913</w:t>
            </w:r>
          </w:p>
        </w:tc>
        <w:tc>
          <w:tcPr>
            <w:tcW w:w="1200" w:type="dxa"/>
            <w:tcBorders>
              <w:left w:val="single" w:sz="4" w:space="0" w:color="000000"/>
              <w:right w:val="single" w:sz="4" w:space="0" w:color="000000"/>
            </w:tcBorders>
          </w:tcPr>
          <w:p>
            <w:pPr>
              <w:pStyle w:val="TableParagraph"/>
              <w:spacing w:before="47"/>
              <w:ind w:right="65"/>
              <w:jc w:val="right"/>
              <w:rPr>
                <w:sz w:val="22"/>
              </w:rPr>
            </w:pPr>
            <w:r>
              <w:rPr>
                <w:w w:val="95"/>
                <w:sz w:val="22"/>
              </w:rPr>
              <w:t>23.7</w:t>
            </w:r>
          </w:p>
        </w:tc>
        <w:tc>
          <w:tcPr>
            <w:tcW w:w="898" w:type="dxa"/>
            <w:tcBorders>
              <w:left w:val="single" w:sz="4" w:space="0" w:color="000000"/>
              <w:bottom w:val="single" w:sz="4" w:space="0" w:color="000000"/>
            </w:tcBorders>
          </w:tcPr>
          <w:p>
            <w:pPr>
              <w:pStyle w:val="TableParagraph"/>
              <w:spacing w:before="47"/>
              <w:ind w:right="57"/>
              <w:jc w:val="right"/>
              <w:rPr>
                <w:sz w:val="22"/>
              </w:rPr>
            </w:pPr>
            <w:r>
              <w:rPr>
                <w:w w:val="95"/>
                <w:sz w:val="22"/>
              </w:rPr>
              <w:t>1.43</w:t>
            </w:r>
          </w:p>
        </w:tc>
      </w:tr>
      <w:tr>
        <w:trPr>
          <w:trHeight w:val="341"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94.12</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458</w:t>
            </w:r>
          </w:p>
        </w:tc>
        <w:tc>
          <w:tcPr>
            <w:tcW w:w="1200" w:type="dxa"/>
            <w:tcBorders>
              <w:left w:val="single" w:sz="4" w:space="0" w:color="000000"/>
              <w:right w:val="single" w:sz="4" w:space="0" w:color="000000"/>
            </w:tcBorders>
          </w:tcPr>
          <w:p>
            <w:pPr>
              <w:pStyle w:val="TableParagraph"/>
              <w:spacing w:before="52"/>
              <w:ind w:right="63"/>
              <w:jc w:val="right"/>
              <w:rPr>
                <w:sz w:val="22"/>
              </w:rPr>
            </w:pPr>
            <w:r>
              <w:rPr>
                <w:w w:val="95"/>
                <w:sz w:val="22"/>
              </w:rPr>
              <w:t>553</w:t>
            </w:r>
          </w:p>
        </w:tc>
        <w:tc>
          <w:tcPr>
            <w:tcW w:w="1200" w:type="dxa"/>
            <w:tcBorders>
              <w:left w:val="single" w:sz="4" w:space="0" w:color="000000"/>
              <w:right w:val="single" w:sz="4" w:space="0" w:color="000000"/>
            </w:tcBorders>
          </w:tcPr>
          <w:p>
            <w:pPr>
              <w:pStyle w:val="TableParagraph"/>
              <w:spacing w:before="52"/>
              <w:ind w:right="64"/>
              <w:jc w:val="right"/>
              <w:rPr>
                <w:sz w:val="22"/>
              </w:rPr>
            </w:pPr>
            <w:r>
              <w:rPr>
                <w:w w:val="95"/>
                <w:sz w:val="22"/>
              </w:rPr>
              <w:t>33.9</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0"/>
              <w:ind w:left="192"/>
              <w:jc w:val="left"/>
              <w:rPr>
                <w:sz w:val="22"/>
              </w:rPr>
            </w:pPr>
            <w:r>
              <w:rPr>
                <w:sz w:val="22"/>
              </w:rPr>
              <w:t>2005</w:t>
            </w:r>
          </w:p>
        </w:tc>
        <w:tc>
          <w:tcPr>
            <w:tcW w:w="1388" w:type="dxa"/>
            <w:tcBorders>
              <w:left w:val="single" w:sz="4" w:space="0" w:color="000000"/>
              <w:bottom w:val="single" w:sz="4" w:space="0" w:color="000000"/>
              <w:right w:val="single" w:sz="4" w:space="0" w:color="000000"/>
            </w:tcBorders>
          </w:tcPr>
          <w:p>
            <w:pPr>
              <w:pStyle w:val="TableParagraph"/>
              <w:spacing w:before="46"/>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sz w:val="22"/>
              </w:rPr>
              <w:t>310.26</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2017</w:t>
            </w:r>
          </w:p>
        </w:tc>
        <w:tc>
          <w:tcPr>
            <w:tcW w:w="1200" w:type="dxa"/>
            <w:tcBorders>
              <w:left w:val="single" w:sz="4" w:space="0" w:color="000000"/>
              <w:right w:val="single" w:sz="4" w:space="0" w:color="000000"/>
            </w:tcBorders>
          </w:tcPr>
          <w:p>
            <w:pPr>
              <w:pStyle w:val="TableParagraph"/>
              <w:spacing w:before="46"/>
              <w:ind w:right="63"/>
              <w:jc w:val="right"/>
              <w:rPr>
                <w:sz w:val="22"/>
              </w:rPr>
            </w:pPr>
            <w:r>
              <w:rPr>
                <w:w w:val="95"/>
                <w:sz w:val="22"/>
              </w:rPr>
              <w:t>2328</w:t>
            </w:r>
          </w:p>
        </w:tc>
        <w:tc>
          <w:tcPr>
            <w:tcW w:w="1200" w:type="dxa"/>
            <w:tcBorders>
              <w:left w:val="single" w:sz="4" w:space="0" w:color="000000"/>
              <w:right w:val="single" w:sz="4" w:space="0" w:color="000000"/>
            </w:tcBorders>
          </w:tcPr>
          <w:p>
            <w:pPr>
              <w:pStyle w:val="TableParagraph"/>
              <w:spacing w:before="46"/>
              <w:ind w:right="65"/>
              <w:jc w:val="right"/>
              <w:rPr>
                <w:sz w:val="22"/>
              </w:rPr>
            </w:pPr>
            <w:r>
              <w:rPr>
                <w:w w:val="95"/>
                <w:sz w:val="22"/>
              </w:rPr>
              <w:t>28.6</w:t>
            </w:r>
          </w:p>
        </w:tc>
        <w:tc>
          <w:tcPr>
            <w:tcW w:w="898" w:type="dxa"/>
            <w:tcBorders>
              <w:left w:val="single" w:sz="4" w:space="0" w:color="000000"/>
              <w:bottom w:val="single" w:sz="4" w:space="0" w:color="000000"/>
            </w:tcBorders>
          </w:tcPr>
          <w:p>
            <w:pPr>
              <w:pStyle w:val="TableParagraph"/>
              <w:spacing w:before="46"/>
              <w:ind w:right="57"/>
              <w:jc w:val="right"/>
              <w:rPr>
                <w:sz w:val="22"/>
              </w:rPr>
            </w:pPr>
            <w:r>
              <w:rPr>
                <w:w w:val="95"/>
                <w:sz w:val="22"/>
              </w:rPr>
              <w:t>1.03</w:t>
            </w:r>
          </w:p>
        </w:tc>
      </w:tr>
      <w:tr>
        <w:trPr>
          <w:trHeight w:val="340"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5"/>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5"/>
              <w:ind w:right="64"/>
              <w:jc w:val="right"/>
              <w:rPr>
                <w:sz w:val="22"/>
              </w:rPr>
            </w:pPr>
            <w:r>
              <w:rPr>
                <w:w w:val="99"/>
                <w:sz w:val="22"/>
              </w:rPr>
              <w:t>0</w:t>
            </w:r>
          </w:p>
        </w:tc>
        <w:tc>
          <w:tcPr>
            <w:tcW w:w="1200" w:type="dxa"/>
            <w:tcBorders>
              <w:top w:val="single" w:sz="4" w:space="0" w:color="000000"/>
              <w:left w:val="single" w:sz="4" w:space="0" w:color="000000"/>
              <w:right w:val="single" w:sz="4" w:space="0" w:color="000000"/>
            </w:tcBorders>
          </w:tcPr>
          <w:p>
            <w:pPr>
              <w:pStyle w:val="TableParagraph"/>
              <w:spacing w:before="55"/>
              <w:ind w:right="63"/>
              <w:jc w:val="right"/>
              <w:rPr>
                <w:sz w:val="22"/>
              </w:rPr>
            </w:pPr>
            <w:r>
              <w:rPr>
                <w:w w:val="95"/>
                <w:sz w:val="22"/>
              </w:rPr>
              <w:t>491</w:t>
            </w:r>
          </w:p>
        </w:tc>
        <w:tc>
          <w:tcPr>
            <w:tcW w:w="1200" w:type="dxa"/>
            <w:tcBorders>
              <w:left w:val="single" w:sz="4" w:space="0" w:color="000000"/>
              <w:right w:val="single" w:sz="4" w:space="0" w:color="000000"/>
            </w:tcBorders>
          </w:tcPr>
          <w:p>
            <w:pPr>
              <w:pStyle w:val="TableParagraph"/>
              <w:spacing w:before="51"/>
              <w:ind w:right="63"/>
              <w:jc w:val="right"/>
              <w:rPr>
                <w:sz w:val="22"/>
              </w:rPr>
            </w:pPr>
            <w:r>
              <w:rPr>
                <w:w w:val="95"/>
                <w:sz w:val="22"/>
              </w:rPr>
              <w:t>491</w:t>
            </w:r>
          </w:p>
        </w:tc>
        <w:tc>
          <w:tcPr>
            <w:tcW w:w="1200" w:type="dxa"/>
            <w:tcBorders>
              <w:left w:val="single" w:sz="4" w:space="0" w:color="000000"/>
              <w:right w:val="single" w:sz="4" w:space="0" w:color="000000"/>
            </w:tcBorders>
          </w:tcPr>
          <w:p>
            <w:pPr>
              <w:pStyle w:val="TableParagraph"/>
              <w:spacing w:before="51"/>
              <w:ind w:right="65"/>
              <w:jc w:val="right"/>
              <w:rPr>
                <w:sz w:val="22"/>
              </w:rPr>
            </w:pPr>
            <w:r>
              <w:rPr>
                <w:w w:val="95"/>
                <w:sz w:val="22"/>
              </w:rPr>
              <w:t>29.6</w:t>
            </w:r>
          </w:p>
        </w:tc>
        <w:tc>
          <w:tcPr>
            <w:tcW w:w="898" w:type="dxa"/>
            <w:tcBorders>
              <w:top w:val="single" w:sz="4" w:space="0" w:color="000000"/>
              <w:left w:val="single" w:sz="4" w:space="0" w:color="000000"/>
            </w:tcBorders>
          </w:tcPr>
          <w:p>
            <w:pPr/>
          </w:p>
        </w:tc>
      </w:tr>
      <w:tr>
        <w:trPr>
          <w:trHeight w:val="330" w:hRule="exact"/>
        </w:trPr>
        <w:tc>
          <w:tcPr>
            <w:tcW w:w="852" w:type="dxa"/>
            <w:vMerge w:val="restart"/>
            <w:tcBorders>
              <w:right w:val="single" w:sz="4" w:space="0" w:color="000000"/>
            </w:tcBorders>
          </w:tcPr>
          <w:p>
            <w:pPr>
              <w:pStyle w:val="TableParagraph"/>
              <w:spacing w:before="191"/>
              <w:ind w:left="192"/>
              <w:jc w:val="left"/>
              <w:rPr>
                <w:sz w:val="22"/>
              </w:rPr>
            </w:pPr>
            <w:r>
              <w:rPr>
                <w:sz w:val="22"/>
              </w:rPr>
              <w:t>2006</w:t>
            </w:r>
          </w:p>
        </w:tc>
        <w:tc>
          <w:tcPr>
            <w:tcW w:w="1388" w:type="dxa"/>
            <w:tcBorders>
              <w:left w:val="single" w:sz="4" w:space="0" w:color="000000"/>
              <w:bottom w:val="single" w:sz="4" w:space="0" w:color="000000"/>
              <w:right w:val="single" w:sz="4" w:space="0" w:color="000000"/>
            </w:tcBorders>
          </w:tcPr>
          <w:p>
            <w:pPr>
              <w:pStyle w:val="TableParagraph"/>
              <w:spacing w:before="46"/>
              <w:ind w:right="64"/>
              <w:jc w:val="right"/>
              <w:rPr>
                <w:sz w:val="22"/>
              </w:rPr>
            </w:pPr>
            <w:r>
              <w:rPr>
                <w:w w:val="99"/>
                <w:sz w:val="22"/>
              </w:rPr>
              <w:t>1</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sz w:val="22"/>
              </w:rPr>
              <w:t>301.76</w:t>
            </w:r>
          </w:p>
        </w:tc>
        <w:tc>
          <w:tcPr>
            <w:tcW w:w="1200" w:type="dxa"/>
            <w:tcBorders>
              <w:left w:val="single" w:sz="4" w:space="0" w:color="000000"/>
              <w:bottom w:val="single" w:sz="4" w:space="0" w:color="000000"/>
              <w:right w:val="single" w:sz="4" w:space="0" w:color="000000"/>
            </w:tcBorders>
          </w:tcPr>
          <w:p>
            <w:pPr>
              <w:pStyle w:val="TableParagraph"/>
              <w:spacing w:before="46"/>
              <w:ind w:right="63"/>
              <w:jc w:val="right"/>
              <w:rPr>
                <w:sz w:val="22"/>
              </w:rPr>
            </w:pPr>
            <w:r>
              <w:rPr>
                <w:w w:val="95"/>
                <w:sz w:val="22"/>
              </w:rPr>
              <w:t>3595</w:t>
            </w:r>
          </w:p>
        </w:tc>
        <w:tc>
          <w:tcPr>
            <w:tcW w:w="1200" w:type="dxa"/>
            <w:tcBorders>
              <w:left w:val="single" w:sz="4" w:space="0" w:color="000000"/>
              <w:right w:val="single" w:sz="4" w:space="0" w:color="000000"/>
            </w:tcBorders>
          </w:tcPr>
          <w:p>
            <w:pPr>
              <w:pStyle w:val="TableParagraph"/>
              <w:spacing w:before="46"/>
              <w:ind w:right="63"/>
              <w:jc w:val="right"/>
              <w:rPr>
                <w:sz w:val="22"/>
              </w:rPr>
            </w:pPr>
            <w:r>
              <w:rPr>
                <w:w w:val="95"/>
                <w:sz w:val="22"/>
              </w:rPr>
              <w:t>3896</w:t>
            </w:r>
          </w:p>
        </w:tc>
        <w:tc>
          <w:tcPr>
            <w:tcW w:w="1200" w:type="dxa"/>
            <w:tcBorders>
              <w:left w:val="single" w:sz="4" w:space="0" w:color="000000"/>
              <w:right w:val="single" w:sz="4" w:space="0" w:color="000000"/>
            </w:tcBorders>
          </w:tcPr>
          <w:p>
            <w:pPr>
              <w:pStyle w:val="TableParagraph"/>
              <w:spacing w:before="46"/>
              <w:ind w:right="65"/>
              <w:jc w:val="right"/>
              <w:rPr>
                <w:sz w:val="22"/>
              </w:rPr>
            </w:pPr>
            <w:r>
              <w:rPr>
                <w:w w:val="95"/>
                <w:sz w:val="22"/>
              </w:rPr>
              <w:t>47.2</w:t>
            </w:r>
          </w:p>
        </w:tc>
        <w:tc>
          <w:tcPr>
            <w:tcW w:w="898" w:type="dxa"/>
            <w:tcBorders>
              <w:left w:val="single" w:sz="4" w:space="0" w:color="000000"/>
              <w:bottom w:val="single" w:sz="4" w:space="0" w:color="000000"/>
            </w:tcBorders>
          </w:tcPr>
          <w:p>
            <w:pPr>
              <w:pStyle w:val="TableParagraph"/>
              <w:spacing w:before="46"/>
              <w:ind w:right="57"/>
              <w:jc w:val="right"/>
              <w:rPr>
                <w:sz w:val="22"/>
              </w:rPr>
            </w:pPr>
            <w:r>
              <w:rPr>
                <w:w w:val="95"/>
                <w:sz w:val="22"/>
              </w:rPr>
              <w:t>1.66</w:t>
            </w:r>
          </w:p>
        </w:tc>
      </w:tr>
      <w:tr>
        <w:trPr>
          <w:trHeight w:val="341" w:hRule="exact"/>
        </w:trPr>
        <w:tc>
          <w:tcPr>
            <w:tcW w:w="852" w:type="dxa"/>
            <w:vMerge/>
            <w:tcBorders>
              <w:right w:val="single" w:sz="4" w:space="0" w:color="000000"/>
            </w:tcBorders>
          </w:tcPr>
          <w:p>
            <w:pPr/>
          </w:p>
        </w:tc>
        <w:tc>
          <w:tcPr>
            <w:tcW w:w="1388" w:type="dxa"/>
            <w:tcBorders>
              <w:top w:val="single" w:sz="4" w:space="0" w:color="000000"/>
              <w:left w:val="single" w:sz="4" w:space="0" w:color="000000"/>
              <w:right w:val="single" w:sz="4" w:space="0" w:color="000000"/>
            </w:tcBorders>
          </w:tcPr>
          <w:p>
            <w:pPr>
              <w:pStyle w:val="TableParagraph"/>
              <w:spacing w:before="57"/>
              <w:ind w:right="64"/>
              <w:jc w:val="right"/>
              <w:rPr>
                <w:sz w:val="22"/>
              </w:rPr>
            </w:pPr>
            <w:r>
              <w:rPr>
                <w:w w:val="99"/>
                <w:sz w:val="22"/>
              </w:rPr>
              <w:t>2</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24.91</w:t>
            </w:r>
          </w:p>
        </w:tc>
        <w:tc>
          <w:tcPr>
            <w:tcW w:w="1200" w:type="dxa"/>
            <w:tcBorders>
              <w:top w:val="single" w:sz="4" w:space="0" w:color="000000"/>
              <w:left w:val="single" w:sz="4" w:space="0" w:color="000000"/>
              <w:right w:val="single" w:sz="4" w:space="0" w:color="000000"/>
            </w:tcBorders>
          </w:tcPr>
          <w:p>
            <w:pPr>
              <w:pStyle w:val="TableParagraph"/>
              <w:spacing w:before="57"/>
              <w:ind w:right="63"/>
              <w:jc w:val="right"/>
              <w:rPr>
                <w:sz w:val="22"/>
              </w:rPr>
            </w:pPr>
            <w:r>
              <w:rPr>
                <w:w w:val="95"/>
                <w:sz w:val="22"/>
              </w:rPr>
              <w:t>1300</w:t>
            </w:r>
          </w:p>
        </w:tc>
        <w:tc>
          <w:tcPr>
            <w:tcW w:w="1200" w:type="dxa"/>
            <w:tcBorders>
              <w:left w:val="single" w:sz="4" w:space="0" w:color="000000"/>
              <w:bottom w:val="single" w:sz="4" w:space="0" w:color="000000"/>
              <w:right w:val="single" w:sz="4" w:space="0" w:color="000000"/>
            </w:tcBorders>
          </w:tcPr>
          <w:p>
            <w:pPr>
              <w:pStyle w:val="TableParagraph"/>
              <w:spacing w:before="52"/>
              <w:ind w:right="63"/>
              <w:jc w:val="right"/>
              <w:rPr>
                <w:sz w:val="22"/>
              </w:rPr>
            </w:pPr>
            <w:r>
              <w:rPr>
                <w:w w:val="95"/>
                <w:sz w:val="22"/>
              </w:rPr>
              <w:t>1325</w:t>
            </w:r>
          </w:p>
        </w:tc>
        <w:tc>
          <w:tcPr>
            <w:tcW w:w="1200" w:type="dxa"/>
            <w:tcBorders>
              <w:left w:val="single" w:sz="4" w:space="0" w:color="000000"/>
              <w:bottom w:val="single" w:sz="4" w:space="0" w:color="000000"/>
              <w:right w:val="single" w:sz="4" w:space="0" w:color="000000"/>
            </w:tcBorders>
          </w:tcPr>
          <w:p>
            <w:pPr>
              <w:pStyle w:val="TableParagraph"/>
              <w:spacing w:before="52"/>
              <w:ind w:right="64"/>
              <w:jc w:val="right"/>
              <w:rPr>
                <w:sz w:val="22"/>
              </w:rPr>
            </w:pPr>
            <w:r>
              <w:rPr>
                <w:w w:val="95"/>
                <w:sz w:val="22"/>
              </w:rPr>
              <w:t>78.2</w:t>
            </w:r>
          </w:p>
        </w:tc>
        <w:tc>
          <w:tcPr>
            <w:tcW w:w="898" w:type="dxa"/>
            <w:tcBorders>
              <w:top w:val="single" w:sz="4" w:space="0" w:color="000000"/>
              <w:left w:val="single" w:sz="4" w:space="0" w:color="000000"/>
            </w:tcBorders>
          </w:tcPr>
          <w:p>
            <w:pPr/>
          </w:p>
        </w:tc>
      </w:tr>
    </w:tbl>
    <w:p>
      <w:pPr>
        <w:spacing w:line="240" w:lineRule="auto" w:before="0"/>
        <w:ind w:left="1246" w:right="1320" w:firstLine="0"/>
        <w:jc w:val="center"/>
        <w:rPr>
          <w:sz w:val="20"/>
        </w:rPr>
      </w:pPr>
      <w:r>
        <w:rPr>
          <w:sz w:val="20"/>
        </w:rPr>
        <w:t>Zona 1=Población sin riesgo, zona 2= Población con riesgo, RR= Riesgo relativo Elaboración propia a partir de datos de la SSA, 2007 e INEGI, 2010</w:t>
      </w:r>
    </w:p>
    <w:p>
      <w:pPr>
        <w:pStyle w:val="BodyText"/>
        <w:rPr>
          <w:sz w:val="20"/>
        </w:rPr>
      </w:pPr>
    </w:p>
    <w:p>
      <w:pPr>
        <w:pStyle w:val="BodyText"/>
        <w:spacing w:before="151"/>
        <w:ind w:left="1243" w:right="1320"/>
        <w:jc w:val="center"/>
      </w:pPr>
      <w:r>
        <w:rPr/>
        <w:drawing>
          <wp:anchor distT="0" distB="0" distL="0" distR="0" allowOverlap="1" layoutInCell="1" locked="0" behindDoc="0" simplePos="0" relativeHeight="2224">
            <wp:simplePos x="0" y="0"/>
            <wp:positionH relativeFrom="page">
              <wp:posOffset>1099566</wp:posOffset>
            </wp:positionH>
            <wp:positionV relativeFrom="paragraph">
              <wp:posOffset>337559</wp:posOffset>
            </wp:positionV>
            <wp:extent cx="5619392" cy="1822608"/>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29" cstate="print"/>
                    <a:stretch>
                      <a:fillRect/>
                    </a:stretch>
                  </pic:blipFill>
                  <pic:spPr>
                    <a:xfrm>
                      <a:off x="0" y="0"/>
                      <a:ext cx="5619392" cy="1822608"/>
                    </a:xfrm>
                    <a:prstGeom prst="rect">
                      <a:avLst/>
                    </a:prstGeom>
                  </pic:spPr>
                </pic:pic>
              </a:graphicData>
            </a:graphic>
          </wp:anchor>
        </w:drawing>
      </w:r>
      <w:r>
        <w:rPr/>
        <w:t>FIGURAS</w:t>
      </w:r>
    </w:p>
    <w:p>
      <w:pPr>
        <w:spacing w:before="91"/>
        <w:ind w:left="624" w:right="698" w:firstLine="0"/>
        <w:jc w:val="center"/>
        <w:rPr>
          <w:sz w:val="22"/>
        </w:rPr>
      </w:pPr>
      <w:r>
        <w:rPr>
          <w:b/>
          <w:sz w:val="22"/>
        </w:rPr>
        <w:t>Figura 1. Consideraciones conceptuales del método a emplear. </w:t>
      </w:r>
      <w:r>
        <w:rPr>
          <w:sz w:val="22"/>
        </w:rPr>
        <w:t>(Elaboración propia)</w:t>
      </w:r>
    </w:p>
    <w:p>
      <w:pPr>
        <w:spacing w:after="0"/>
        <w:jc w:val="center"/>
        <w:rPr>
          <w:sz w:val="22"/>
        </w:rPr>
        <w:sectPr>
          <w:pgSz w:w="12240" w:h="15840"/>
          <w:pgMar w:header="0" w:footer="1184" w:top="1500" w:bottom="1380" w:left="1620" w:right="1540"/>
        </w:sectPr>
      </w:pPr>
    </w:p>
    <w:p>
      <w:pPr>
        <w:pStyle w:val="BodyText"/>
        <w:rPr>
          <w:sz w:val="20"/>
        </w:rPr>
      </w:pPr>
    </w:p>
    <w:p>
      <w:pPr>
        <w:pStyle w:val="BodyText"/>
        <w:rPr>
          <w:sz w:val="20"/>
        </w:rPr>
      </w:pPr>
    </w:p>
    <w:p>
      <w:pPr>
        <w:pStyle w:val="BodyText"/>
        <w:spacing w:before="9"/>
        <w:rPr>
          <w:sz w:val="26"/>
        </w:rPr>
      </w:pPr>
    </w:p>
    <w:p>
      <w:pPr>
        <w:tabs>
          <w:tab w:pos="930" w:val="left" w:leader="none"/>
        </w:tabs>
        <w:spacing w:line="240" w:lineRule="auto"/>
        <w:ind w:left="115" w:right="0" w:firstLine="0"/>
        <w:rPr>
          <w:sz w:val="20"/>
        </w:rPr>
      </w:pPr>
      <w:r>
        <w:rPr>
          <w:position w:val="71"/>
          <w:sz w:val="20"/>
        </w:rPr>
        <w:drawing>
          <wp:inline distT="0" distB="0" distL="0" distR="0">
            <wp:extent cx="199751" cy="188814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30" cstate="print"/>
                    <a:stretch>
                      <a:fillRect/>
                    </a:stretch>
                  </pic:blipFill>
                  <pic:spPr>
                    <a:xfrm>
                      <a:off x="0" y="0"/>
                      <a:ext cx="199751" cy="1888140"/>
                    </a:xfrm>
                    <a:prstGeom prst="rect">
                      <a:avLst/>
                    </a:prstGeom>
                  </pic:spPr>
                </pic:pic>
              </a:graphicData>
            </a:graphic>
          </wp:inline>
        </w:drawing>
      </w:r>
      <w:r>
        <w:rPr>
          <w:position w:val="71"/>
          <w:sz w:val="20"/>
        </w:rPr>
      </w:r>
      <w:r>
        <w:rPr>
          <w:position w:val="71"/>
          <w:sz w:val="20"/>
        </w:rPr>
        <w:tab/>
      </w:r>
      <w:r>
        <w:rPr>
          <w:sz w:val="20"/>
        </w:rPr>
        <w:pict>
          <v:group style="width:394.3pt;height:267.6pt;mso-position-horizontal-relative:char;mso-position-vertical-relative:line" coordorigin="0,0" coordsize="7886,5352">
            <v:shape style="position:absolute;left:84;top:1499;width:756;height:829" type="#_x0000_t75" stroked="false">
              <v:imagedata r:id="rId31" o:title=""/>
            </v:shape>
            <v:shape style="position:absolute;left:1110;top:1499;width:882;height:410" type="#_x0000_t75" stroked="false">
              <v:imagedata r:id="rId32" o:title=""/>
            </v:shape>
            <v:shape style="position:absolute;left:1974;top:1499;width:969;height:373" type="#_x0000_t75" stroked="false">
              <v:imagedata r:id="rId33" o:title=""/>
            </v:shape>
            <v:shape style="position:absolute;left:3109;top:2022;width:18;height:24" type="#_x0000_t75" stroked="false">
              <v:imagedata r:id="rId34" o:title=""/>
            </v:shape>
            <v:shape style="position:absolute;left:0;top:0;width:4271;height:4338" type="#_x0000_t75" stroked="false">
              <v:imagedata r:id="rId35" o:title=""/>
            </v:shape>
            <v:shape style="position:absolute;left:5341;top:3138;width:73;height:18" type="#_x0000_t75" stroked="false">
              <v:imagedata r:id="rId36" o:title=""/>
            </v:shape>
            <v:shape style="position:absolute;left:4266;top:3137;width:1160;height:817" type="#_x0000_t75" stroked="false">
              <v:imagedata r:id="rId37" o:title=""/>
            </v:shape>
            <v:shape style="position:absolute;left:3330;top:3935;width:2084;height:1394" type="#_x0000_t75" stroked="false">
              <v:imagedata r:id="rId38" o:title=""/>
            </v:shape>
            <v:shape style="position:absolute;left:5065;top:2850;width:96;height:18" type="#_x0000_t75" stroked="false">
              <v:imagedata r:id="rId39" o:title=""/>
            </v:shape>
            <v:shape style="position:absolute;left:4271;top:0;width:2287;height:2856" type="#_x0000_t75" stroked="false">
              <v:imagedata r:id="rId40" o:title=""/>
            </v:shape>
            <v:shape style="position:absolute;left:5406;top:3653;width:1152;height:367" type="#_x0000_t75" stroked="false">
              <v:imagedata r:id="rId41" o:title=""/>
            </v:shape>
            <v:shape style="position:absolute;left:5400;top:3677;width:2266;height:1675" type="#_x0000_t75" stroked="false">
              <v:imagedata r:id="rId42" o:title=""/>
            </v:shape>
            <v:shape style="position:absolute;left:5406;top:0;width:2479;height:3157" type="#_x0000_t75" stroked="false">
              <v:imagedata r:id="rId43" o:title=""/>
            </v:shape>
            <v:shape style="position:absolute;left:6540;top:4001;width:1177;height:1351" type="#_x0000_t75" stroked="false">
              <v:imagedata r:id="rId44" o:title=""/>
            </v:shape>
          </v:group>
        </w:pict>
      </w:r>
      <w:r>
        <w:rPr>
          <w:sz w:val="20"/>
        </w:rPr>
      </w:r>
    </w:p>
    <w:p>
      <w:pPr>
        <w:spacing w:before="122"/>
        <w:ind w:left="1136" w:right="0" w:firstLine="0"/>
        <w:jc w:val="left"/>
        <w:rPr>
          <w:sz w:val="22"/>
        </w:rPr>
      </w:pPr>
      <w:r>
        <w:rPr/>
        <w:drawing>
          <wp:anchor distT="0" distB="0" distL="0" distR="0" allowOverlap="1" layoutInCell="1" locked="0" behindDoc="1" simplePos="0" relativeHeight="268386695">
            <wp:simplePos x="0" y="0"/>
            <wp:positionH relativeFrom="page">
              <wp:posOffset>1584452</wp:posOffset>
            </wp:positionH>
            <wp:positionV relativeFrom="paragraph">
              <wp:posOffset>-353446</wp:posOffset>
            </wp:positionV>
            <wp:extent cx="537792" cy="148018"/>
            <wp:effectExtent l="0" t="0" r="0" b="0"/>
            <wp:wrapNone/>
            <wp:docPr id="7" name="image18.png" descr=""/>
            <wp:cNvGraphicFramePr>
              <a:graphicFrameLocks noChangeAspect="1"/>
            </wp:cNvGraphicFramePr>
            <a:graphic>
              <a:graphicData uri="http://schemas.openxmlformats.org/drawingml/2006/picture">
                <pic:pic>
                  <pic:nvPicPr>
                    <pic:cNvPr id="8" name="image18.png"/>
                    <pic:cNvPicPr/>
                  </pic:nvPicPr>
                  <pic:blipFill>
                    <a:blip r:embed="rId45" cstate="print"/>
                    <a:stretch>
                      <a:fillRect/>
                    </a:stretch>
                  </pic:blipFill>
                  <pic:spPr>
                    <a:xfrm>
                      <a:off x="0" y="0"/>
                      <a:ext cx="537792" cy="148018"/>
                    </a:xfrm>
                    <a:prstGeom prst="rect">
                      <a:avLst/>
                    </a:prstGeom>
                  </pic:spPr>
                </pic:pic>
              </a:graphicData>
            </a:graphic>
          </wp:anchor>
        </w:drawing>
      </w:r>
      <w:r>
        <w:rPr/>
        <w:pict>
          <v:group style="position:absolute;margin-left:180.860001pt;margin-top:-28.150454pt;width:98.2pt;height:34pt;mso-position-horizontal-relative:page;mso-position-vertical-relative:paragraph;z-index:-48736" coordorigin="3617,-563" coordsize="1964,680">
            <v:shape style="position:absolute;left:3617;top:-557;width:855;height:236" type="#_x0000_t75" stroked="false">
              <v:imagedata r:id="rId46" o:title=""/>
            </v:shape>
            <v:shape style="position:absolute;left:4386;top:-563;width:1195;height:679" type="#_x0000_t75" stroked="false">
              <v:imagedata r:id="rId47" o:title=""/>
            </v:shape>
            <w10:wrap type="none"/>
          </v:group>
        </w:pict>
      </w:r>
      <w:r>
        <w:rPr>
          <w:b/>
          <w:sz w:val="22"/>
        </w:rPr>
        <w:t>Figura 2. Zona de estudio, cuenca Lerma-Chapala</w:t>
      </w:r>
      <w:r>
        <w:rPr>
          <w:sz w:val="22"/>
        </w:rPr>
        <w:t>. (Elaboración propia)</w:t>
      </w:r>
    </w:p>
    <w:p>
      <w:pPr>
        <w:pStyle w:val="BodyText"/>
        <w:rPr>
          <w:sz w:val="20"/>
        </w:rPr>
      </w:pPr>
    </w:p>
    <w:p>
      <w:pPr>
        <w:pStyle w:val="BodyText"/>
        <w:rPr>
          <w:sz w:val="20"/>
        </w:rPr>
      </w:pPr>
    </w:p>
    <w:p>
      <w:pPr>
        <w:pStyle w:val="BodyText"/>
        <w:spacing w:before="9"/>
      </w:pPr>
      <w:r>
        <w:rPr/>
        <w:drawing>
          <wp:anchor distT="0" distB="0" distL="0" distR="0" allowOverlap="1" layoutInCell="1" locked="0" behindDoc="0" simplePos="0" relativeHeight="2272">
            <wp:simplePos x="0" y="0"/>
            <wp:positionH relativeFrom="page">
              <wp:posOffset>1429511</wp:posOffset>
            </wp:positionH>
            <wp:positionV relativeFrom="paragraph">
              <wp:posOffset>191294</wp:posOffset>
            </wp:positionV>
            <wp:extent cx="4933095" cy="2491740"/>
            <wp:effectExtent l="0" t="0" r="0" b="0"/>
            <wp:wrapTopAndBottom/>
            <wp:docPr id="9" name="image21.png" descr=""/>
            <wp:cNvGraphicFramePr>
              <a:graphicFrameLocks noChangeAspect="1"/>
            </wp:cNvGraphicFramePr>
            <a:graphic>
              <a:graphicData uri="http://schemas.openxmlformats.org/drawingml/2006/picture">
                <pic:pic>
                  <pic:nvPicPr>
                    <pic:cNvPr id="10" name="image21.png"/>
                    <pic:cNvPicPr/>
                  </pic:nvPicPr>
                  <pic:blipFill>
                    <a:blip r:embed="rId48" cstate="print"/>
                    <a:stretch>
                      <a:fillRect/>
                    </a:stretch>
                  </pic:blipFill>
                  <pic:spPr>
                    <a:xfrm>
                      <a:off x="0" y="0"/>
                      <a:ext cx="4933095" cy="2491740"/>
                    </a:xfrm>
                    <a:prstGeom prst="rect">
                      <a:avLst/>
                    </a:prstGeom>
                  </pic:spPr>
                </pic:pic>
              </a:graphicData>
            </a:graphic>
          </wp:anchor>
        </w:drawing>
      </w:r>
    </w:p>
    <w:p>
      <w:pPr>
        <w:spacing w:before="88"/>
        <w:ind w:left="1050" w:right="0" w:firstLine="0"/>
        <w:jc w:val="left"/>
        <w:rPr>
          <w:sz w:val="22"/>
        </w:rPr>
      </w:pPr>
      <w:r>
        <w:rPr>
          <w:b/>
          <w:sz w:val="22"/>
        </w:rPr>
        <w:t>Figura 3. Dimensiones permisibles en bases de datos</w:t>
      </w:r>
      <w:r>
        <w:rPr>
          <w:sz w:val="22"/>
        </w:rPr>
        <w:t>. (Elaboración propia)</w:t>
      </w:r>
    </w:p>
    <w:p>
      <w:pPr>
        <w:spacing w:after="0"/>
        <w:jc w:val="left"/>
        <w:rPr>
          <w:sz w:val="22"/>
        </w:rPr>
        <w:sectPr>
          <w:pgSz w:w="12240" w:h="15840"/>
          <w:pgMar w:header="0" w:footer="1184" w:top="1500" w:bottom="1380" w:left="1660" w:right="16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p>
    <w:p>
      <w:pPr>
        <w:pStyle w:val="BodyText"/>
        <w:ind w:left="111" w:right="-8"/>
        <w:rPr>
          <w:sz w:val="20"/>
        </w:rPr>
      </w:pPr>
      <w:r>
        <w:rPr>
          <w:sz w:val="20"/>
        </w:rPr>
        <w:drawing>
          <wp:inline distT="0" distB="0" distL="0" distR="0">
            <wp:extent cx="5661746" cy="2466975"/>
            <wp:effectExtent l="0" t="0" r="0" b="0"/>
            <wp:docPr id="11" name="image22.jpeg" descr=""/>
            <wp:cNvGraphicFramePr>
              <a:graphicFrameLocks noChangeAspect="1"/>
            </wp:cNvGraphicFramePr>
            <a:graphic>
              <a:graphicData uri="http://schemas.openxmlformats.org/drawingml/2006/picture">
                <pic:pic>
                  <pic:nvPicPr>
                    <pic:cNvPr id="12" name="image22.jpeg"/>
                    <pic:cNvPicPr/>
                  </pic:nvPicPr>
                  <pic:blipFill>
                    <a:blip r:embed="rId49" cstate="print"/>
                    <a:stretch>
                      <a:fillRect/>
                    </a:stretch>
                  </pic:blipFill>
                  <pic:spPr>
                    <a:xfrm>
                      <a:off x="0" y="0"/>
                      <a:ext cx="5661746" cy="2466975"/>
                    </a:xfrm>
                    <a:prstGeom prst="rect">
                      <a:avLst/>
                    </a:prstGeom>
                  </pic:spPr>
                </pic:pic>
              </a:graphicData>
            </a:graphic>
          </wp:inline>
        </w:drawing>
      </w:r>
      <w:r>
        <w:rPr>
          <w:sz w:val="20"/>
        </w:rPr>
      </w:r>
    </w:p>
    <w:p>
      <w:pPr>
        <w:pStyle w:val="Heading1"/>
        <w:spacing w:line="252" w:lineRule="exact" w:before="91"/>
        <w:ind w:left="97" w:right="152"/>
      </w:pPr>
      <w:r>
        <w:rPr/>
        <w:t>Figura 4 (a) Unidad espacial para la morbilidad, (b) Unidad espacial para la mortalidad.</w:t>
      </w:r>
    </w:p>
    <w:p>
      <w:pPr>
        <w:pStyle w:val="BodyText"/>
        <w:spacing w:line="252" w:lineRule="exact"/>
        <w:ind w:left="98" w:right="152"/>
        <w:jc w:val="center"/>
      </w:pPr>
      <w:r>
        <w:rPr/>
        <w:t>(Elaboración propia)</w:t>
      </w:r>
    </w:p>
    <w:p>
      <w:pPr>
        <w:pStyle w:val="BodyText"/>
        <w:spacing w:before="1"/>
        <w:rPr>
          <w:sz w:val="29"/>
        </w:rPr>
      </w:pPr>
      <w:r>
        <w:rPr/>
        <w:pict>
          <v:group style="position:absolute;margin-left:120.779999pt;margin-top:18.680609pt;width:376.5pt;height:213pt;mso-position-horizontal-relative:page;mso-position-vertical-relative:paragraph;z-index:2344;mso-wrap-distance-left:0;mso-wrap-distance-right:0" coordorigin="2416,374" coordsize="7530,4260">
            <v:shape style="position:absolute;left:2430;top:388;width:7505;height:4230" type="#_x0000_t75" stroked="false">
              <v:imagedata r:id="rId50" o:title=""/>
            </v:shape>
            <v:shape style="position:absolute;left:2416;top:374;width:7530;height:4260" coordorigin="2416,374" coordsize="7530,4260" path="m9946,374l2416,374,2416,4634,9946,4634,9946,4625,2430,4625,2423,4618,2430,4618,2430,388,2423,388,2430,381,9946,381,9946,374xm2430,4618l2423,4618,2430,4625,2430,4618xm9930,4618l2430,4618,2430,4625,9930,4625,9930,4618xm9930,381l9930,4625,9938,4618,9946,4618,9946,388,9938,388,9930,381xm9946,4618l9938,4618,9930,4625,9946,4625,9946,4618xm2430,381l2423,388,2430,388,2430,381xm9930,381l2430,381,2430,388,9930,388,9930,381xm9946,381l9930,381,9938,388,9946,388,9946,381xe" filled="true" fillcolor="#000000" stroked="false">
              <v:path arrowok="t"/>
              <v:fill type="solid"/>
            </v:shape>
            <w10:wrap type="topAndBottom"/>
          </v:group>
        </w:pict>
      </w:r>
    </w:p>
    <w:p>
      <w:pPr>
        <w:pStyle w:val="BodyText"/>
        <w:spacing w:before="4"/>
        <w:rPr>
          <w:sz w:val="21"/>
        </w:rPr>
      </w:pPr>
    </w:p>
    <w:p>
      <w:pPr>
        <w:pStyle w:val="Heading1"/>
        <w:spacing w:line="252" w:lineRule="exact"/>
        <w:ind w:left="97" w:right="152"/>
      </w:pPr>
      <w:r>
        <w:rPr/>
        <w:t>Figura 5. Nuevas opciones en el menú de Idrisi para el análisis de medidas de salud</w:t>
      </w:r>
    </w:p>
    <w:p>
      <w:pPr>
        <w:pStyle w:val="BodyText"/>
        <w:spacing w:line="252" w:lineRule="exact"/>
        <w:ind w:left="98" w:right="152"/>
        <w:jc w:val="center"/>
      </w:pPr>
      <w:r>
        <w:rPr/>
        <w:t>(Elaboración propia)</w:t>
      </w:r>
    </w:p>
    <w:p>
      <w:pPr>
        <w:spacing w:after="0" w:line="252" w:lineRule="exact"/>
        <w:jc w:val="center"/>
        <w:sectPr>
          <w:pgSz w:w="12240" w:h="15840"/>
          <w:pgMar w:header="0" w:footer="1184" w:top="1500" w:bottom="1380" w:left="1620" w:right="1560"/>
        </w:sectPr>
      </w:pPr>
    </w:p>
    <w:p>
      <w:pPr>
        <w:pStyle w:val="BodyText"/>
        <w:rPr>
          <w:sz w:val="20"/>
        </w:rPr>
      </w:pPr>
    </w:p>
    <w:p>
      <w:pPr>
        <w:pStyle w:val="BodyText"/>
        <w:rPr>
          <w:sz w:val="20"/>
        </w:rPr>
      </w:pPr>
    </w:p>
    <w:p>
      <w:pPr>
        <w:pStyle w:val="BodyText"/>
        <w:rPr>
          <w:sz w:val="20"/>
        </w:rPr>
      </w:pPr>
    </w:p>
    <w:p>
      <w:pPr>
        <w:pStyle w:val="BodyText"/>
        <w:spacing w:before="9"/>
        <w:rPr>
          <w:sz w:val="21"/>
        </w:rPr>
      </w:pPr>
    </w:p>
    <w:p>
      <w:pPr>
        <w:spacing w:line="240" w:lineRule="auto"/>
        <w:ind w:left="258" w:right="0" w:firstLine="0"/>
        <w:rPr>
          <w:sz w:val="20"/>
        </w:rPr>
      </w:pPr>
      <w:r>
        <w:rPr>
          <w:sz w:val="20"/>
        </w:rPr>
        <w:drawing>
          <wp:inline distT="0" distB="0" distL="0" distR="0">
            <wp:extent cx="2648639" cy="3064668"/>
            <wp:effectExtent l="0" t="0" r="0" b="0"/>
            <wp:docPr id="13" name="image24.png" descr=""/>
            <wp:cNvGraphicFramePr>
              <a:graphicFrameLocks noChangeAspect="1"/>
            </wp:cNvGraphicFramePr>
            <a:graphic>
              <a:graphicData uri="http://schemas.openxmlformats.org/drawingml/2006/picture">
                <pic:pic>
                  <pic:nvPicPr>
                    <pic:cNvPr id="14" name="image24.png"/>
                    <pic:cNvPicPr/>
                  </pic:nvPicPr>
                  <pic:blipFill>
                    <a:blip r:embed="rId51" cstate="print"/>
                    <a:stretch>
                      <a:fillRect/>
                    </a:stretch>
                  </pic:blipFill>
                  <pic:spPr>
                    <a:xfrm>
                      <a:off x="0" y="0"/>
                      <a:ext cx="2648639" cy="3064668"/>
                    </a:xfrm>
                    <a:prstGeom prst="rect">
                      <a:avLst/>
                    </a:prstGeom>
                  </pic:spPr>
                </pic:pic>
              </a:graphicData>
            </a:graphic>
          </wp:inline>
        </w:drawing>
      </w:r>
      <w:r>
        <w:rPr>
          <w:sz w:val="20"/>
        </w:rPr>
      </w:r>
      <w:r>
        <w:rPr>
          <w:spacing w:val="46"/>
          <w:sz w:val="20"/>
        </w:rPr>
        <w:t> </w:t>
      </w:r>
      <w:r>
        <w:rPr>
          <w:spacing w:val="46"/>
          <w:position w:val="4"/>
          <w:sz w:val="20"/>
        </w:rPr>
        <w:drawing>
          <wp:inline distT="0" distB="0" distL="0" distR="0">
            <wp:extent cx="2729593" cy="3029521"/>
            <wp:effectExtent l="0" t="0" r="0" b="0"/>
            <wp:docPr id="15" name="image25.png" descr=""/>
            <wp:cNvGraphicFramePr>
              <a:graphicFrameLocks noChangeAspect="1"/>
            </wp:cNvGraphicFramePr>
            <a:graphic>
              <a:graphicData uri="http://schemas.openxmlformats.org/drawingml/2006/picture">
                <pic:pic>
                  <pic:nvPicPr>
                    <pic:cNvPr id="16" name="image25.png"/>
                    <pic:cNvPicPr/>
                  </pic:nvPicPr>
                  <pic:blipFill>
                    <a:blip r:embed="rId52" cstate="print"/>
                    <a:stretch>
                      <a:fillRect/>
                    </a:stretch>
                  </pic:blipFill>
                  <pic:spPr>
                    <a:xfrm>
                      <a:off x="0" y="0"/>
                      <a:ext cx="2729593" cy="3029521"/>
                    </a:xfrm>
                    <a:prstGeom prst="rect">
                      <a:avLst/>
                    </a:prstGeom>
                  </pic:spPr>
                </pic:pic>
              </a:graphicData>
            </a:graphic>
          </wp:inline>
        </w:drawing>
      </w:r>
      <w:r>
        <w:rPr>
          <w:spacing w:val="46"/>
          <w:position w:val="4"/>
          <w:sz w:val="20"/>
        </w:rPr>
      </w:r>
    </w:p>
    <w:p>
      <w:pPr>
        <w:pStyle w:val="BodyText"/>
        <w:spacing w:before="8"/>
        <w:rPr>
          <w:sz w:val="9"/>
        </w:rPr>
      </w:pPr>
    </w:p>
    <w:p>
      <w:pPr>
        <w:pStyle w:val="Heading1"/>
        <w:spacing w:before="71"/>
        <w:ind w:left="2180" w:right="84" w:hanging="2072"/>
        <w:jc w:val="left"/>
        <w:rPr>
          <w:b w:val="0"/>
        </w:rPr>
      </w:pPr>
      <w:r>
        <w:rPr/>
        <w:t>Figura 6 (a) Ventanas para el cálculo de la incidencia acumulada y (b) ventana para el cálculo de la carga de la enfermedad</w:t>
      </w:r>
      <w:r>
        <w:rPr>
          <w:b w:val="0"/>
        </w:rPr>
        <w:t>. (Elaboración propia)</w:t>
      </w:r>
    </w:p>
    <w:p>
      <w:pPr>
        <w:pStyle w:val="BodyText"/>
        <w:rPr>
          <w:sz w:val="20"/>
        </w:rPr>
      </w:pPr>
    </w:p>
    <w:p>
      <w:pPr>
        <w:pStyle w:val="BodyText"/>
        <w:rPr>
          <w:sz w:val="20"/>
        </w:rPr>
      </w:pPr>
    </w:p>
    <w:p>
      <w:pPr>
        <w:pStyle w:val="BodyText"/>
        <w:rPr>
          <w:sz w:val="20"/>
        </w:rPr>
      </w:pPr>
    </w:p>
    <w:p>
      <w:pPr>
        <w:pStyle w:val="BodyText"/>
        <w:spacing w:before="9"/>
        <w:rPr>
          <w:sz w:val="11"/>
        </w:rPr>
      </w:pPr>
      <w:r>
        <w:rPr/>
        <w:pict>
          <v:group style="position:absolute;margin-left:150.600006pt;margin-top:8.723541pt;width:327pt;height:205.2pt;mso-position-horizontal-relative:page;mso-position-vertical-relative:paragraph;z-index:2368;mso-wrap-distance-left:0;mso-wrap-distance-right:0" coordorigin="3012,174" coordsize="6540,4104">
            <v:line style="position:absolute" from="4560,1500" to="4574,1500" stroked="true" strokeweight=".6pt" strokecolor="#000000"/>
            <v:shape style="position:absolute;left:3012;top:1470;width:1562;height:1536" type="#_x0000_t75" stroked="false">
              <v:imagedata r:id="rId53" o:title=""/>
            </v:shape>
            <v:line style="position:absolute" from="4574,1500" to="4644,1500" stroked="true" strokeweight=".6pt" strokecolor="#000000"/>
            <v:line style="position:absolute" from="5676,576" to="5718,576" stroked="true" strokeweight=".599980pt" strokecolor="#000000"/>
            <v:shape style="position:absolute;left:4574;top:570;width:1144;height:3024" type="#_x0000_t75" stroked="false">
              <v:imagedata r:id="rId54" o:title=""/>
            </v:shape>
            <v:line style="position:absolute" from="5718,576" to="5736,576" stroked="true" strokeweight=".599980pt" strokecolor="#000000"/>
            <v:shape style="position:absolute;left:4488;top:4110;width:92;height:60" type="#_x0000_t75" stroked="false">
              <v:imagedata r:id="rId55" o:title=""/>
            </v:shape>
            <v:shape style="position:absolute;left:4488;top:4158;width:92;height:24" type="#_x0000_t75" stroked="false">
              <v:imagedata r:id="rId56" o:title=""/>
            </v:shape>
            <v:shape style="position:absolute;left:4488;top:4170;width:92;height:24" type="#_x0000_t75" stroked="false">
              <v:imagedata r:id="rId56" o:title=""/>
            </v:shape>
            <v:shape style="position:absolute;left:4488;top:4182;width:92;height:24" type="#_x0000_t75" stroked="false">
              <v:imagedata r:id="rId57" o:title=""/>
            </v:shape>
            <v:shape style="position:absolute;left:4488;top:4194;width:92;height:24" type="#_x0000_t75" stroked="false">
              <v:imagedata r:id="rId58" o:title=""/>
            </v:shape>
            <v:line style="position:absolute" from="4560,4212" to="4574,4212" stroked="true" strokeweight=".6pt" strokecolor="#000000"/>
            <v:line style="position:absolute" from="4574,4116" to="4584,4116" stroked="true" strokeweight=".59999pt" strokecolor="#000000"/>
            <v:shape style="position:absolute;left:4560;top:4110;width:312;height:108" type="#_x0000_t75" stroked="false">
              <v:imagedata r:id="rId59" o:title=""/>
            </v:shape>
            <v:line style="position:absolute" from="4574,4164" to="4584,4164" stroked="true" strokeweight=".6pt" strokecolor="#000000"/>
            <v:line style="position:absolute" from="4574,4176" to="4584,4176" stroked="true" strokeweight=".59999pt" strokecolor="#000000"/>
            <v:line style="position:absolute" from="4574,4200" to="4584,4200" stroked="true" strokeweight=".59999pt" strokecolor="#000000"/>
            <v:line style="position:absolute" from="4574,4212" to="4584,4212" stroked="true" strokeweight=".6pt" strokecolor="#000000"/>
            <v:shape style="position:absolute;left:4574;top:4098;width:1354;height:180" type="#_x0000_t75" stroked="false">
              <v:imagedata r:id="rId60" o:title=""/>
            </v:shape>
            <v:shape style="position:absolute;left:5712;top:4134;width:240;height:120" type="#_x0000_t75" stroked="false">
              <v:imagedata r:id="rId61" o:title=""/>
            </v:shape>
            <v:shape style="position:absolute;left:4920;top:3870;width:804;height:60" type="#_x0000_t75" stroked="false">
              <v:imagedata r:id="rId62" o:title=""/>
            </v:shape>
            <v:shape style="position:absolute;left:4452;top:3870;width:1272;height:96" type="#_x0000_t75" stroked="false">
              <v:imagedata r:id="rId63" o:title=""/>
            </v:shape>
            <v:shape style="position:absolute;left:5124;top:3930;width:600;height:24" type="#_x0000_t75" stroked="false">
              <v:imagedata r:id="rId64" o:title=""/>
            </v:shape>
            <v:shape style="position:absolute;left:4908;top:3942;width:816;height:24" type="#_x0000_t75" stroked="false">
              <v:imagedata r:id="rId65" o:title=""/>
            </v:shape>
            <v:line style="position:absolute" from="5700,3960" to="5718,3960" stroked="true" strokeweight=".59999pt" strokecolor="#000000"/>
            <v:shape style="position:absolute;left:4932;top:3966;width:12;height:12" type="#_x0000_t75" stroked="false">
              <v:imagedata r:id="rId66" o:title=""/>
            </v:shape>
            <v:shape style="position:absolute;left:5040;top:3966;width:12;height:12" type="#_x0000_t75" stroked="false">
              <v:imagedata r:id="rId66" o:title=""/>
            </v:shape>
            <v:shape style="position:absolute;left:5280;top:3966;width:12;height:12" type="#_x0000_t75" stroked="false">
              <v:imagedata r:id="rId66" o:title=""/>
            </v:shape>
            <v:shape style="position:absolute;left:5472;top:3966;width:84;height:12" type="#_x0000_t75" stroked="false">
              <v:imagedata r:id="rId67" o:title=""/>
            </v:shape>
            <v:shape style="position:absolute;left:4574;top:3942;width:274;height:60" type="#_x0000_t75" stroked="false">
              <v:imagedata r:id="rId68" o:title=""/>
            </v:shape>
            <v:line style="position:absolute" from="5718,3876" to="5724,3876" stroked="true" strokeweight=".59999pt" strokecolor="#000000"/>
            <v:shape style="position:absolute;left:5652;top:3858;width:240;height:120" type="#_x0000_t75" stroked="false">
              <v:imagedata r:id="rId69" o:title=""/>
            </v:shape>
            <v:shape style="position:absolute;left:5712;top:3918;width:180;height:60" type="#_x0000_t75" stroked="false">
              <v:imagedata r:id="rId70" o:title=""/>
            </v:shape>
            <v:shape style="position:absolute;left:5718;top:174;width:3834;height:4068" type="#_x0000_t75" stroked="false">
              <v:imagedata r:id="rId71" o:title=""/>
            </v:shape>
            <w10:wrap type="topAndBottom"/>
          </v:group>
        </w:pict>
      </w:r>
    </w:p>
    <w:p>
      <w:pPr>
        <w:pStyle w:val="BodyText"/>
        <w:spacing w:before="1"/>
        <w:rPr>
          <w:sz w:val="8"/>
        </w:rPr>
      </w:pPr>
    </w:p>
    <w:p>
      <w:pPr>
        <w:spacing w:line="252" w:lineRule="exact" w:before="72"/>
        <w:ind w:left="617" w:right="613" w:firstLine="0"/>
        <w:jc w:val="center"/>
        <w:rPr>
          <w:b/>
          <w:sz w:val="22"/>
        </w:rPr>
      </w:pPr>
      <w:r>
        <w:rPr/>
        <w:drawing>
          <wp:anchor distT="0" distB="0" distL="0" distR="0" allowOverlap="1" layoutInCell="1" locked="0" behindDoc="1" simplePos="0" relativeHeight="268386791">
            <wp:simplePos x="0" y="0"/>
            <wp:positionH relativeFrom="page">
              <wp:posOffset>2103120</wp:posOffset>
            </wp:positionH>
            <wp:positionV relativeFrom="paragraph">
              <wp:posOffset>-359542</wp:posOffset>
            </wp:positionV>
            <wp:extent cx="678180" cy="106680"/>
            <wp:effectExtent l="0" t="0" r="0" b="0"/>
            <wp:wrapNone/>
            <wp:docPr id="17" name="image45.png" descr=""/>
            <wp:cNvGraphicFramePr>
              <a:graphicFrameLocks noChangeAspect="1"/>
            </wp:cNvGraphicFramePr>
            <a:graphic>
              <a:graphicData uri="http://schemas.openxmlformats.org/drawingml/2006/picture">
                <pic:pic>
                  <pic:nvPicPr>
                    <pic:cNvPr id="18" name="image45.png"/>
                    <pic:cNvPicPr/>
                  </pic:nvPicPr>
                  <pic:blipFill>
                    <a:blip r:embed="rId72" cstate="print"/>
                    <a:stretch>
                      <a:fillRect/>
                    </a:stretch>
                  </pic:blipFill>
                  <pic:spPr>
                    <a:xfrm>
                      <a:off x="0" y="0"/>
                      <a:ext cx="678180" cy="106680"/>
                    </a:xfrm>
                    <a:prstGeom prst="rect">
                      <a:avLst/>
                    </a:prstGeom>
                  </pic:spPr>
                </pic:pic>
              </a:graphicData>
            </a:graphic>
          </wp:anchor>
        </w:drawing>
      </w:r>
      <w:r>
        <w:rPr/>
        <w:drawing>
          <wp:anchor distT="0" distB="0" distL="0" distR="0" allowOverlap="1" layoutInCell="1" locked="0" behindDoc="1" simplePos="0" relativeHeight="268386815">
            <wp:simplePos x="0" y="0"/>
            <wp:positionH relativeFrom="page">
              <wp:posOffset>2103120</wp:posOffset>
            </wp:positionH>
            <wp:positionV relativeFrom="paragraph">
              <wp:posOffset>-207142</wp:posOffset>
            </wp:positionV>
            <wp:extent cx="701040" cy="114300"/>
            <wp:effectExtent l="0" t="0" r="0" b="0"/>
            <wp:wrapNone/>
            <wp:docPr id="19" name="image46.png" descr=""/>
            <wp:cNvGraphicFramePr>
              <a:graphicFrameLocks noChangeAspect="1"/>
            </wp:cNvGraphicFramePr>
            <a:graphic>
              <a:graphicData uri="http://schemas.openxmlformats.org/drawingml/2006/picture">
                <pic:pic>
                  <pic:nvPicPr>
                    <pic:cNvPr id="20" name="image46.png"/>
                    <pic:cNvPicPr/>
                  </pic:nvPicPr>
                  <pic:blipFill>
                    <a:blip r:embed="rId73" cstate="print"/>
                    <a:stretch>
                      <a:fillRect/>
                    </a:stretch>
                  </pic:blipFill>
                  <pic:spPr>
                    <a:xfrm>
                      <a:off x="0" y="0"/>
                      <a:ext cx="701040" cy="114300"/>
                    </a:xfrm>
                    <a:prstGeom prst="rect">
                      <a:avLst/>
                    </a:prstGeom>
                  </pic:spPr>
                </pic:pic>
              </a:graphicData>
            </a:graphic>
          </wp:anchor>
        </w:drawing>
      </w:r>
      <w:r>
        <w:rPr>
          <w:b/>
          <w:sz w:val="22"/>
        </w:rPr>
        <w:t>Figura 7. Representación espacial de zonas de riesgo en la cuenca Lerma-Chapala.</w:t>
      </w:r>
    </w:p>
    <w:p>
      <w:pPr>
        <w:pStyle w:val="BodyText"/>
        <w:spacing w:line="252" w:lineRule="exact"/>
        <w:ind w:left="615" w:right="613"/>
        <w:jc w:val="center"/>
      </w:pPr>
      <w:r>
        <w:rPr/>
        <w:t>(Elaboración propia)</w:t>
      </w:r>
    </w:p>
    <w:p>
      <w:pPr>
        <w:spacing w:after="0" w:line="252" w:lineRule="exact"/>
        <w:jc w:val="center"/>
        <w:sectPr>
          <w:pgSz w:w="12240" w:h="15840"/>
          <w:pgMar w:header="0" w:footer="1184" w:top="1500" w:bottom="1380" w:left="1620" w:right="1620"/>
        </w:sectPr>
      </w:pPr>
    </w:p>
    <w:p>
      <w:pPr>
        <w:pStyle w:val="BodyText"/>
        <w:rPr>
          <w:sz w:val="20"/>
        </w:rPr>
      </w:pPr>
    </w:p>
    <w:p>
      <w:pPr>
        <w:pStyle w:val="BodyText"/>
        <w:rPr>
          <w:sz w:val="20"/>
        </w:rPr>
      </w:pPr>
    </w:p>
    <w:p>
      <w:pPr>
        <w:pStyle w:val="BodyText"/>
        <w:spacing w:before="5"/>
        <w:rPr>
          <w:sz w:val="19"/>
        </w:rPr>
      </w:pPr>
    </w:p>
    <w:p>
      <w:pPr>
        <w:pStyle w:val="BodyText"/>
        <w:ind w:left="740"/>
        <w:rPr>
          <w:sz w:val="20"/>
        </w:rPr>
      </w:pPr>
      <w:r>
        <w:rPr>
          <w:sz w:val="20"/>
        </w:rPr>
        <w:drawing>
          <wp:inline distT="0" distB="0" distL="0" distR="0">
            <wp:extent cx="4653918" cy="6967537"/>
            <wp:effectExtent l="0" t="0" r="0" b="0"/>
            <wp:docPr id="21" name="image47.png" descr=""/>
            <wp:cNvGraphicFramePr>
              <a:graphicFrameLocks noChangeAspect="1"/>
            </wp:cNvGraphicFramePr>
            <a:graphic>
              <a:graphicData uri="http://schemas.openxmlformats.org/drawingml/2006/picture">
                <pic:pic>
                  <pic:nvPicPr>
                    <pic:cNvPr id="22" name="image47.png"/>
                    <pic:cNvPicPr/>
                  </pic:nvPicPr>
                  <pic:blipFill>
                    <a:blip r:embed="rId74" cstate="print"/>
                    <a:stretch>
                      <a:fillRect/>
                    </a:stretch>
                  </pic:blipFill>
                  <pic:spPr>
                    <a:xfrm>
                      <a:off x="0" y="0"/>
                      <a:ext cx="4653918" cy="6967537"/>
                    </a:xfrm>
                    <a:prstGeom prst="rect">
                      <a:avLst/>
                    </a:prstGeom>
                  </pic:spPr>
                </pic:pic>
              </a:graphicData>
            </a:graphic>
          </wp:inline>
        </w:drawing>
      </w:r>
      <w:r>
        <w:rPr>
          <w:sz w:val="20"/>
        </w:rPr>
      </w:r>
    </w:p>
    <w:p>
      <w:pPr>
        <w:pStyle w:val="Heading1"/>
        <w:spacing w:line="252" w:lineRule="exact" w:before="86"/>
        <w:ind w:right="305"/>
      </w:pPr>
      <w:r>
        <w:rPr/>
        <w:t>Figura 8. Tasa de años de vida ajustados por discapacidad para infecciones intestinales</w:t>
      </w:r>
    </w:p>
    <w:p>
      <w:pPr>
        <w:pStyle w:val="BodyText"/>
        <w:spacing w:line="252" w:lineRule="exact"/>
        <w:ind w:left="308" w:right="305"/>
        <w:jc w:val="center"/>
      </w:pPr>
      <w:r>
        <w:rPr/>
        <w:t>(Elaboración propia)</w:t>
      </w:r>
    </w:p>
    <w:p>
      <w:pPr>
        <w:spacing w:after="0" w:line="252" w:lineRule="exact"/>
        <w:jc w:val="center"/>
        <w:sectPr>
          <w:pgSz w:w="12240" w:h="15840"/>
          <w:pgMar w:header="0" w:footer="1184" w:top="1500" w:bottom="1380" w:left="1720" w:right="1720"/>
        </w:sectPr>
      </w:pPr>
    </w:p>
    <w:p>
      <w:pPr>
        <w:pStyle w:val="BodyText"/>
        <w:rPr>
          <w:sz w:val="20"/>
        </w:rPr>
      </w:pPr>
    </w:p>
    <w:p>
      <w:pPr>
        <w:pStyle w:val="BodyText"/>
        <w:rPr>
          <w:sz w:val="20"/>
        </w:rPr>
      </w:pPr>
    </w:p>
    <w:p>
      <w:pPr>
        <w:pStyle w:val="BodyText"/>
        <w:spacing w:before="9"/>
        <w:rPr>
          <w:sz w:val="26"/>
        </w:rPr>
      </w:pPr>
    </w:p>
    <w:p>
      <w:pPr>
        <w:pStyle w:val="BodyText"/>
        <w:ind w:left="704"/>
        <w:rPr>
          <w:sz w:val="20"/>
        </w:rPr>
      </w:pPr>
      <w:r>
        <w:rPr>
          <w:sz w:val="20"/>
        </w:rPr>
        <w:drawing>
          <wp:inline distT="0" distB="0" distL="0" distR="0">
            <wp:extent cx="4715512" cy="7067550"/>
            <wp:effectExtent l="0" t="0" r="0" b="0"/>
            <wp:docPr id="23" name="image48.png" descr=""/>
            <wp:cNvGraphicFramePr>
              <a:graphicFrameLocks noChangeAspect="1"/>
            </wp:cNvGraphicFramePr>
            <a:graphic>
              <a:graphicData uri="http://schemas.openxmlformats.org/drawingml/2006/picture">
                <pic:pic>
                  <pic:nvPicPr>
                    <pic:cNvPr id="24" name="image48.png"/>
                    <pic:cNvPicPr/>
                  </pic:nvPicPr>
                  <pic:blipFill>
                    <a:blip r:embed="rId75" cstate="print"/>
                    <a:stretch>
                      <a:fillRect/>
                    </a:stretch>
                  </pic:blipFill>
                  <pic:spPr>
                    <a:xfrm>
                      <a:off x="0" y="0"/>
                      <a:ext cx="4715512" cy="7067550"/>
                    </a:xfrm>
                    <a:prstGeom prst="rect">
                      <a:avLst/>
                    </a:prstGeom>
                  </pic:spPr>
                </pic:pic>
              </a:graphicData>
            </a:graphic>
          </wp:inline>
        </w:drawing>
      </w:r>
      <w:r>
        <w:rPr>
          <w:sz w:val="20"/>
        </w:rPr>
      </w:r>
    </w:p>
    <w:p>
      <w:pPr>
        <w:pStyle w:val="Heading1"/>
        <w:spacing w:line="252" w:lineRule="exact" w:before="87"/>
        <w:ind w:right="305"/>
      </w:pPr>
      <w:r>
        <w:rPr/>
        <w:t>Figura 9. Tasa de años de vida ajustados por discapacidad para infecciones intestinales</w:t>
      </w:r>
    </w:p>
    <w:p>
      <w:pPr>
        <w:pStyle w:val="BodyText"/>
        <w:spacing w:line="252" w:lineRule="exact"/>
        <w:ind w:left="307" w:right="305"/>
        <w:jc w:val="center"/>
      </w:pPr>
      <w:r>
        <w:rPr/>
        <w:t>(Elaboración propia)</w:t>
      </w:r>
    </w:p>
    <w:p>
      <w:pPr>
        <w:spacing w:after="0" w:line="252" w:lineRule="exact"/>
        <w:jc w:val="center"/>
        <w:sectPr>
          <w:pgSz w:w="12240" w:h="15840"/>
          <w:pgMar w:header="0" w:footer="1184" w:top="1500" w:bottom="1380" w:left="1720" w:right="1720"/>
        </w:sectPr>
      </w:pPr>
    </w:p>
    <w:p>
      <w:pPr>
        <w:pStyle w:val="BodyText"/>
        <w:rPr>
          <w:sz w:val="20"/>
        </w:rPr>
      </w:pPr>
    </w:p>
    <w:p>
      <w:pPr>
        <w:pStyle w:val="BodyText"/>
        <w:rPr>
          <w:sz w:val="20"/>
        </w:rPr>
      </w:pPr>
    </w:p>
    <w:p>
      <w:pPr>
        <w:pStyle w:val="BodyText"/>
        <w:spacing w:before="5"/>
        <w:rPr>
          <w:sz w:val="20"/>
        </w:rPr>
      </w:pPr>
    </w:p>
    <w:p>
      <w:pPr>
        <w:pStyle w:val="Heading1"/>
        <w:spacing w:before="71"/>
        <w:ind w:left="101" w:right="346"/>
        <w:jc w:val="left"/>
      </w:pPr>
      <w:r>
        <w:rPr/>
        <w:t>Agradecimiento</w:t>
      </w:r>
    </w:p>
    <w:p>
      <w:pPr>
        <w:pStyle w:val="BodyText"/>
        <w:spacing w:before="10"/>
        <w:rPr>
          <w:b/>
          <w:sz w:val="21"/>
        </w:rPr>
      </w:pPr>
    </w:p>
    <w:p>
      <w:pPr>
        <w:pStyle w:val="BodyText"/>
        <w:ind w:left="101" w:right="115" w:firstLine="709"/>
        <w:jc w:val="both"/>
      </w:pPr>
      <w:r>
        <w:rPr/>
        <w:t>Los autores agradecen el apoyo brindado por SEMARNAT-CONACYT para la realización de esta investigación (Proyecto: La valoración económica de la vunerabilidad socioeconómica y demográfica ante inundaciones en la República Mexicana, claves: Conacyt 23478; UAEMex 2753/2009c)</w:t>
      </w:r>
    </w:p>
    <w:sectPr>
      <w:pgSz w:w="12240" w:h="15840"/>
      <w:pgMar w:header="0" w:footer="1184" w:top="1500" w:bottom="13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9988pt;margin-top:734.404663pt;width:9.5pt;height:13pt;mso-position-horizontal-relative:page;mso-position-vertical-relative:page;z-index:-50032" type="#_x0000_t202" filled="false" stroked="false">
          <v:textbox inset="0,0,0,0">
            <w:txbxContent>
              <w:p>
                <w:pPr>
                  <w:pStyle w:val="BodyText"/>
                  <w:spacing w:line="244"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9988pt;margin-top:721.71582pt;width:9.550pt;height:13.05pt;mso-position-horizontal-relative:page;mso-position-vertical-relative:page;z-index:-50008"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721.71582pt;width:13.05pt;height:13.05pt;mso-position-horizontal-relative:page;mso-position-vertical-relative:page;z-index:-49984" type="#_x0000_t202" filled="false" stroked="false">
          <v:textbox inset="0,0,0,0">
            <w:txbxContent>
              <w:p>
                <w:pPr>
                  <w:pStyle w:val="BodyText"/>
                  <w:spacing w:line="245" w:lineRule="exact"/>
                  <w:ind w:left="20"/>
                </w:pPr>
                <w:r>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600006pt;margin-top:721.71582pt;width:15.05pt;height:13.1pt;mso-position-horizontal-relative:page;mso-position-vertical-relative:page;z-index:-49960"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14</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3"/>
      <w:numFmt w:val="decimal"/>
      <w:lvlText w:val="%1"/>
      <w:lvlJc w:val="left"/>
      <w:pPr>
        <w:ind w:left="486" w:hanging="386"/>
        <w:jc w:val="left"/>
      </w:pPr>
      <w:rPr>
        <w:rFonts w:hint="default"/>
      </w:rPr>
    </w:lvl>
    <w:lvl w:ilvl="1">
      <w:start w:val="2"/>
      <w:numFmt w:val="decimal"/>
      <w:lvlText w:val="%1.%2."/>
      <w:lvlJc w:val="left"/>
      <w:pPr>
        <w:ind w:left="486" w:hanging="386"/>
        <w:jc w:val="left"/>
      </w:pPr>
      <w:rPr>
        <w:rFonts w:hint="default" w:ascii="Times New Roman" w:hAnsi="Times New Roman" w:eastAsia="Times New Roman" w:cs="Times New Roman"/>
        <w:spacing w:val="-1"/>
        <w:w w:val="100"/>
        <w:sz w:val="22"/>
        <w:szCs w:val="22"/>
      </w:rPr>
    </w:lvl>
    <w:lvl w:ilvl="2">
      <w:start w:val="1"/>
      <w:numFmt w:val="bullet"/>
      <w:lvlText w:val="•"/>
      <w:lvlJc w:val="left"/>
      <w:pPr>
        <w:ind w:left="2196" w:hanging="386"/>
      </w:pPr>
      <w:rPr>
        <w:rFonts w:hint="default"/>
      </w:rPr>
    </w:lvl>
    <w:lvl w:ilvl="3">
      <w:start w:val="1"/>
      <w:numFmt w:val="bullet"/>
      <w:lvlText w:val="•"/>
      <w:lvlJc w:val="left"/>
      <w:pPr>
        <w:ind w:left="3054" w:hanging="386"/>
      </w:pPr>
      <w:rPr>
        <w:rFonts w:hint="default"/>
      </w:rPr>
    </w:lvl>
    <w:lvl w:ilvl="4">
      <w:start w:val="1"/>
      <w:numFmt w:val="bullet"/>
      <w:lvlText w:val="•"/>
      <w:lvlJc w:val="left"/>
      <w:pPr>
        <w:ind w:left="3912" w:hanging="386"/>
      </w:pPr>
      <w:rPr>
        <w:rFonts w:hint="default"/>
      </w:rPr>
    </w:lvl>
    <w:lvl w:ilvl="5">
      <w:start w:val="1"/>
      <w:numFmt w:val="bullet"/>
      <w:lvlText w:val="•"/>
      <w:lvlJc w:val="left"/>
      <w:pPr>
        <w:ind w:left="4770" w:hanging="386"/>
      </w:pPr>
      <w:rPr>
        <w:rFonts w:hint="default"/>
      </w:rPr>
    </w:lvl>
    <w:lvl w:ilvl="6">
      <w:start w:val="1"/>
      <w:numFmt w:val="bullet"/>
      <w:lvlText w:val="•"/>
      <w:lvlJc w:val="left"/>
      <w:pPr>
        <w:ind w:left="5628" w:hanging="386"/>
      </w:pPr>
      <w:rPr>
        <w:rFonts w:hint="default"/>
      </w:rPr>
    </w:lvl>
    <w:lvl w:ilvl="7">
      <w:start w:val="1"/>
      <w:numFmt w:val="bullet"/>
      <w:lvlText w:val="•"/>
      <w:lvlJc w:val="left"/>
      <w:pPr>
        <w:ind w:left="6486" w:hanging="386"/>
      </w:pPr>
      <w:rPr>
        <w:rFonts w:hint="default"/>
      </w:rPr>
    </w:lvl>
    <w:lvl w:ilvl="8">
      <w:start w:val="1"/>
      <w:numFmt w:val="bullet"/>
      <w:lvlText w:val="•"/>
      <w:lvlJc w:val="left"/>
      <w:pPr>
        <w:ind w:left="7344" w:hanging="386"/>
      </w:pPr>
      <w:rPr>
        <w:rFonts w:hint="default"/>
      </w:rPr>
    </w:lvl>
  </w:abstractNum>
  <w:abstractNum w:abstractNumId="0">
    <w:multiLevelType w:val="hybridMultilevel"/>
    <w:lvl w:ilvl="0">
      <w:start w:val="1"/>
      <w:numFmt w:val="decimal"/>
      <w:lvlText w:val="%1."/>
      <w:lvlJc w:val="left"/>
      <w:pPr>
        <w:ind w:left="321" w:hanging="221"/>
        <w:jc w:val="left"/>
      </w:pPr>
      <w:rPr>
        <w:rFonts w:hint="default" w:ascii="Times New Roman" w:hAnsi="Times New Roman" w:eastAsia="Times New Roman" w:cs="Times New Roman"/>
        <w:b/>
        <w:bCs/>
        <w:w w:val="99"/>
        <w:sz w:val="22"/>
        <w:szCs w:val="22"/>
      </w:rPr>
    </w:lvl>
    <w:lvl w:ilvl="1">
      <w:start w:val="1"/>
      <w:numFmt w:val="decimal"/>
      <w:lvlText w:val="%1.%2."/>
      <w:lvlJc w:val="left"/>
      <w:pPr>
        <w:ind w:left="542" w:hanging="441"/>
        <w:jc w:val="left"/>
      </w:pPr>
      <w:rPr>
        <w:rFonts w:hint="default" w:ascii="Times New Roman" w:hAnsi="Times New Roman" w:eastAsia="Times New Roman" w:cs="Times New Roman"/>
        <w:spacing w:val="-1"/>
        <w:w w:val="100"/>
        <w:sz w:val="22"/>
        <w:szCs w:val="22"/>
      </w:rPr>
    </w:lvl>
    <w:lvl w:ilvl="2">
      <w:start w:val="1"/>
      <w:numFmt w:val="decimal"/>
      <w:lvlText w:val="%1.%2.%3."/>
      <w:lvlJc w:val="left"/>
      <w:pPr>
        <w:ind w:left="651" w:hanging="550"/>
        <w:jc w:val="left"/>
      </w:pPr>
      <w:rPr>
        <w:rFonts w:hint="default" w:ascii="Times New Roman" w:hAnsi="Times New Roman" w:eastAsia="Times New Roman" w:cs="Times New Roman"/>
        <w:spacing w:val="-1"/>
        <w:w w:val="100"/>
        <w:sz w:val="22"/>
        <w:szCs w:val="22"/>
      </w:rPr>
    </w:lvl>
    <w:lvl w:ilvl="3">
      <w:start w:val="1"/>
      <w:numFmt w:val="bullet"/>
      <w:lvlText w:val="•"/>
      <w:lvlJc w:val="left"/>
      <w:pPr>
        <w:ind w:left="1710" w:hanging="550"/>
      </w:pPr>
      <w:rPr>
        <w:rFonts w:hint="default"/>
      </w:rPr>
    </w:lvl>
    <w:lvl w:ilvl="4">
      <w:start w:val="1"/>
      <w:numFmt w:val="bullet"/>
      <w:lvlText w:val="•"/>
      <w:lvlJc w:val="left"/>
      <w:pPr>
        <w:ind w:left="2760" w:hanging="550"/>
      </w:pPr>
      <w:rPr>
        <w:rFonts w:hint="default"/>
      </w:rPr>
    </w:lvl>
    <w:lvl w:ilvl="5">
      <w:start w:val="1"/>
      <w:numFmt w:val="bullet"/>
      <w:lvlText w:val="•"/>
      <w:lvlJc w:val="left"/>
      <w:pPr>
        <w:ind w:left="3810" w:hanging="550"/>
      </w:pPr>
      <w:rPr>
        <w:rFonts w:hint="default"/>
      </w:rPr>
    </w:lvl>
    <w:lvl w:ilvl="6">
      <w:start w:val="1"/>
      <w:numFmt w:val="bullet"/>
      <w:lvlText w:val="•"/>
      <w:lvlJc w:val="left"/>
      <w:pPr>
        <w:ind w:left="4860" w:hanging="550"/>
      </w:pPr>
      <w:rPr>
        <w:rFonts w:hint="default"/>
      </w:rPr>
    </w:lvl>
    <w:lvl w:ilvl="7">
      <w:start w:val="1"/>
      <w:numFmt w:val="bullet"/>
      <w:lvlText w:val="•"/>
      <w:lvlJc w:val="left"/>
      <w:pPr>
        <w:ind w:left="5910" w:hanging="550"/>
      </w:pPr>
      <w:rPr>
        <w:rFonts w:hint="default"/>
      </w:rPr>
    </w:lvl>
    <w:lvl w:ilvl="8">
      <w:start w:val="1"/>
      <w:numFmt w:val="bullet"/>
      <w:lvlText w:val="•"/>
      <w:lvlJc w:val="left"/>
      <w:pPr>
        <w:ind w:left="6960" w:hanging="55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308"/>
      <w:jc w:val="center"/>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321" w:hanging="220"/>
      <w:jc w:val="both"/>
    </w:pPr>
    <w:rPr>
      <w:rFonts w:ascii="Times New Roman" w:hAnsi="Times New Roman" w:eastAsia="Times New Roman" w:cs="Times New Roman"/>
    </w:rPr>
  </w:style>
  <w:style w:styleId="TableParagraph" w:type="paragraph">
    <w:name w:val="Table Paragraph"/>
    <w:basedOn w:val="Normal"/>
    <w:uiPriority w:val="1"/>
    <w:qFormat/>
    <w:pPr>
      <w:spacing w:before="15"/>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1qfbmiguel@yahoo.com.mx" TargetMode="External"/><Relationship Id="rId7" Type="http://schemas.openxmlformats.org/officeDocument/2006/relationships/hyperlink" Target="mailto:1cdiazd@uaemex.mx" TargetMode="External"/><Relationship Id="rId8" Type="http://schemas.openxmlformats.org/officeDocument/2006/relationships/hyperlink" Target="mailto:1mvestellera@uaemex.mx" TargetMode="External"/><Relationship Id="rId9" Type="http://schemas.openxmlformats.org/officeDocument/2006/relationships/hyperlink" Target="mailto:1marhtellez@yahoo.com.mx" TargetMode="External"/><Relationship Id="rId10" Type="http://schemas.openxmlformats.org/officeDocument/2006/relationships/hyperlink" Target="mailto:2osanchez@uaemex.mx" TargetMode="External"/><Relationship Id="rId11" Type="http://schemas.openxmlformats.org/officeDocument/2006/relationships/hyperlink" Target="mailto:3geograforicardo@yahoo.com.mx" TargetMode="External"/><Relationship Id="rId12" Type="http://schemas.openxmlformats.org/officeDocument/2006/relationships/hyperlink" Target="mailto:3rayito8884@hotmail.com" TargetMode="External"/><Relationship Id="rId13" Type="http://schemas.openxmlformats.org/officeDocument/2006/relationships/image" Target="media/image1.png"/><Relationship Id="rId14" Type="http://schemas.openxmlformats.org/officeDocument/2006/relationships/footer" Target="footer2.xml"/><Relationship Id="rId15" Type="http://schemas.openxmlformats.org/officeDocument/2006/relationships/hyperlink" Target="http://sigsalud.insp.mx/naais/)" TargetMode="External"/><Relationship Id="rId16" Type="http://schemas.openxmlformats.org/officeDocument/2006/relationships/hyperlink" Target="http://sinais.salud.gob.mx/basesdedatos/)" TargetMode="External"/><Relationship Id="rId17" Type="http://schemas.openxmlformats.org/officeDocument/2006/relationships/hyperlink" Target="http://www.inegi.gob.mx/inegi/)" TargetMode="External"/><Relationship Id="rId18" Type="http://schemas.openxmlformats.org/officeDocument/2006/relationships/hyperlink" Target="http://www.cenapred.unam.mx/es/)" TargetMode="External"/><Relationship Id="rId19" Type="http://schemas.openxmlformats.org/officeDocument/2006/relationships/hyperlink" Target="http://www.cdc.gov/epiinfo/downloads.htm" TargetMode="External"/><Relationship Id="rId20" Type="http://schemas.openxmlformats.org/officeDocument/2006/relationships/hyperlink" Target="http://www.insp.mx/Portal/naais/" TargetMode="External"/><Relationship Id="rId21" Type="http://schemas.openxmlformats.org/officeDocument/2006/relationships/hyperlink" Target="http://www.ncbi.nlm.nih.gov/bookshelf/br.fcgi?book=gbd" TargetMode="External"/><Relationship Id="rId22" Type="http://schemas.openxmlformats.org/officeDocument/2006/relationships/hyperlink" Target="http://www.who.int/health_mapping/about/en/" TargetMode="External"/><Relationship Id="rId23" Type="http://schemas.openxmlformats.org/officeDocument/2006/relationships/hyperlink" Target="http://www.who.int/quantifying_ehimpacts/publications/" TargetMode="External"/><Relationship Id="rId24" Type="http://schemas.openxmlformats.org/officeDocument/2006/relationships/hyperlink" Target="http://ais.paho.org/sigepi/index.asp" TargetMode="External"/><Relationship Id="rId25" Type="http://schemas.openxmlformats.org/officeDocument/2006/relationships/footer" Target="footer3.xml"/><Relationship Id="rId26" Type="http://schemas.openxmlformats.org/officeDocument/2006/relationships/hyperlink" Target="http://sigsalud.insp.mx/naais/metabase/siden/index.php" TargetMode="External"/><Relationship Id="rId27" Type="http://schemas.openxmlformats.org/officeDocument/2006/relationships/hyperlink" Target="http://www.unesco.org/water/wwap/wwdr/wwdr1/pdf/front_matter_es.pdf" TargetMode="External"/><Relationship Id="rId28" Type="http://schemas.openxmlformats.org/officeDocument/2006/relationships/footer" Target="footer4.xml"/><Relationship Id="rId29" Type="http://schemas.openxmlformats.org/officeDocument/2006/relationships/image" Target="media/image2.jpeg"/><Relationship Id="rId30" Type="http://schemas.openxmlformats.org/officeDocument/2006/relationships/image" Target="media/image3.png"/><Relationship Id="rId31" Type="http://schemas.openxmlformats.org/officeDocument/2006/relationships/image" Target="media/image4.png"/><Relationship Id="rId32" Type="http://schemas.openxmlformats.org/officeDocument/2006/relationships/image" Target="media/image5.png"/><Relationship Id="rId33" Type="http://schemas.openxmlformats.org/officeDocument/2006/relationships/image" Target="media/image6.png"/><Relationship Id="rId34" Type="http://schemas.openxmlformats.org/officeDocument/2006/relationships/image" Target="media/image7.png"/><Relationship Id="rId35" Type="http://schemas.openxmlformats.org/officeDocument/2006/relationships/image" Target="media/image8.png"/><Relationship Id="rId36" Type="http://schemas.openxmlformats.org/officeDocument/2006/relationships/image" Target="media/image9.png"/><Relationship Id="rId37" Type="http://schemas.openxmlformats.org/officeDocument/2006/relationships/image" Target="media/image10.png"/><Relationship Id="rId38" Type="http://schemas.openxmlformats.org/officeDocument/2006/relationships/image" Target="media/image11.png"/><Relationship Id="rId39" Type="http://schemas.openxmlformats.org/officeDocument/2006/relationships/image" Target="media/image12.png"/><Relationship Id="rId40" Type="http://schemas.openxmlformats.org/officeDocument/2006/relationships/image" Target="media/image13.png"/><Relationship Id="rId41" Type="http://schemas.openxmlformats.org/officeDocument/2006/relationships/image" Target="media/image14.png"/><Relationship Id="rId42" Type="http://schemas.openxmlformats.org/officeDocument/2006/relationships/image" Target="media/image15.png"/><Relationship Id="rId43" Type="http://schemas.openxmlformats.org/officeDocument/2006/relationships/image" Target="media/image16.png"/><Relationship Id="rId44" Type="http://schemas.openxmlformats.org/officeDocument/2006/relationships/image" Target="media/image17.png"/><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image" Target="media/image21.png"/><Relationship Id="rId49" Type="http://schemas.openxmlformats.org/officeDocument/2006/relationships/image" Target="media/image22.jpeg"/><Relationship Id="rId50" Type="http://schemas.openxmlformats.org/officeDocument/2006/relationships/image" Target="media/image23.jpeg"/><Relationship Id="rId51" Type="http://schemas.openxmlformats.org/officeDocument/2006/relationships/image" Target="media/image24.png"/><Relationship Id="rId52" Type="http://schemas.openxmlformats.org/officeDocument/2006/relationships/image" Target="media/image25.png"/><Relationship Id="rId53" Type="http://schemas.openxmlformats.org/officeDocument/2006/relationships/image" Target="media/image26.png"/><Relationship Id="rId54" Type="http://schemas.openxmlformats.org/officeDocument/2006/relationships/image" Target="media/image27.png"/><Relationship Id="rId55" Type="http://schemas.openxmlformats.org/officeDocument/2006/relationships/image" Target="media/image28.png"/><Relationship Id="rId56" Type="http://schemas.openxmlformats.org/officeDocument/2006/relationships/image" Target="media/image29.png"/><Relationship Id="rId57" Type="http://schemas.openxmlformats.org/officeDocument/2006/relationships/image" Target="media/image30.png"/><Relationship Id="rId58" Type="http://schemas.openxmlformats.org/officeDocument/2006/relationships/image" Target="media/image31.png"/><Relationship Id="rId59" Type="http://schemas.openxmlformats.org/officeDocument/2006/relationships/image" Target="media/image32.png"/><Relationship Id="rId60" Type="http://schemas.openxmlformats.org/officeDocument/2006/relationships/image" Target="media/image33.png"/><Relationship Id="rId61" Type="http://schemas.openxmlformats.org/officeDocument/2006/relationships/image" Target="media/image34.png"/><Relationship Id="rId62" Type="http://schemas.openxmlformats.org/officeDocument/2006/relationships/image" Target="media/image35.png"/><Relationship Id="rId63" Type="http://schemas.openxmlformats.org/officeDocument/2006/relationships/image" Target="media/image36.png"/><Relationship Id="rId64" Type="http://schemas.openxmlformats.org/officeDocument/2006/relationships/image" Target="media/image37.png"/><Relationship Id="rId65" Type="http://schemas.openxmlformats.org/officeDocument/2006/relationships/image" Target="media/image38.png"/><Relationship Id="rId66" Type="http://schemas.openxmlformats.org/officeDocument/2006/relationships/image" Target="media/image39.png"/><Relationship Id="rId67" Type="http://schemas.openxmlformats.org/officeDocument/2006/relationships/image" Target="media/image40.png"/><Relationship Id="rId68" Type="http://schemas.openxmlformats.org/officeDocument/2006/relationships/image" Target="media/image41.png"/><Relationship Id="rId69" Type="http://schemas.openxmlformats.org/officeDocument/2006/relationships/image" Target="media/image42.png"/><Relationship Id="rId70" Type="http://schemas.openxmlformats.org/officeDocument/2006/relationships/image" Target="media/image43.png"/><Relationship Id="rId71" Type="http://schemas.openxmlformats.org/officeDocument/2006/relationships/image" Target="media/image44.png"/><Relationship Id="rId72" Type="http://schemas.openxmlformats.org/officeDocument/2006/relationships/image" Target="media/image45.png"/><Relationship Id="rId73" Type="http://schemas.openxmlformats.org/officeDocument/2006/relationships/image" Target="media/image46.png"/><Relationship Id="rId74" Type="http://schemas.openxmlformats.org/officeDocument/2006/relationships/image" Target="media/image47.png"/><Relationship Id="rId75" Type="http://schemas.openxmlformats.org/officeDocument/2006/relationships/image" Target="media/image48.png"/><Relationship Id="rId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SLHZ</dc:creator>
  <dc:title>Microsoft Word - ET3_47_GOMEZ</dc:title>
  <dcterms:created xsi:type="dcterms:W3CDTF">2017-05-31T17:39:06Z</dcterms:created>
  <dcterms:modified xsi:type="dcterms:W3CDTF">2017-05-31T17:39:06Z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2011-04-30T00:00:00Z</vt:filetime>
  </property>
  <property fmtid="{D5CDD505-2E9C-101B-9397-08002B2CF9AE}" pid="3" name="Creator">
    <vt:lpwstr>PScript5.dll Version 5.2.2</vt:lpwstr>
  </property>
  <property fmtid="{D5CDD505-2E9C-101B-9397-08002B2CF9AE}" pid="4" name="LastSaved">
    <vt:filetime>2017-05-31T00:00:00Z</vt:filetime>
  </property>
</Properties>
</file>