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0" w:lineRule="auto"/>
        <w:ind w:left="112" w:right="0" w:firstLine="0"/>
        <w:rPr>
          <w:rFonts w:ascii="Times New Roman"/>
          <w:sz w:val="20"/>
        </w:rPr>
      </w:pPr>
      <w:r>
        <w:rPr>
          <w:rFonts w:ascii="Times New Roman"/>
          <w:spacing w:val="-49"/>
          <w:sz w:val="20"/>
        </w:rPr>
        <w:t> </w:t>
      </w:r>
      <w:r>
        <w:rPr>
          <w:rFonts w:ascii="Times New Roman"/>
          <w:spacing w:val="-49"/>
          <w:sz w:val="20"/>
        </w:rPr>
        <w:pict>
          <v:shape style="width:436.65pt;height:60pt;mso-position-horizontal-relative:char;mso-position-vertical-relative:line" type="#_x0000_t202" filled="false" stroked="true" strokeweight=".48pt" strokecolor="#231f20">
            <w10:anchorlock/>
            <v:textbox inset="0,0,0,0">
              <w:txbxContent>
                <w:p>
                  <w:pPr>
                    <w:spacing w:before="17"/>
                    <w:ind w:left="963" w:right="696" w:hanging="261"/>
                    <w:jc w:val="left"/>
                    <w:rPr>
                      <w:sz w:val="20"/>
                    </w:rPr>
                  </w:pPr>
                  <w:r>
                    <w:rPr>
                      <w:color w:val="231F20"/>
                      <w:sz w:val="20"/>
                    </w:rPr>
                    <w:t>Z.I. Gonzalez-Acevedo &amp; D. Lessmann (eds.), 2010: Proceedings of the Workshop “Pollution Monitoring in the Upper Course of the Lerma River and Application</w:t>
                  </w:r>
                </w:p>
                <w:p>
                  <w:pPr>
                    <w:spacing w:line="230" w:lineRule="exact" w:before="4"/>
                    <w:ind w:left="1110" w:right="1108" w:hanging="1"/>
                    <w:jc w:val="center"/>
                    <w:rPr>
                      <w:sz w:val="20"/>
                    </w:rPr>
                  </w:pPr>
                  <w:r>
                    <w:rPr>
                      <w:color w:val="231F20"/>
                      <w:sz w:val="20"/>
                    </w:rPr>
                    <w:t>of Clean Technologies in Water Treatment”, 17</w:t>
                  </w:r>
                  <w:r>
                    <w:rPr>
                      <w:color w:val="231F20"/>
                      <w:position w:val="10"/>
                      <w:sz w:val="13"/>
                    </w:rPr>
                    <w:t>th </w:t>
                  </w:r>
                  <w:r>
                    <w:rPr>
                      <w:color w:val="231F20"/>
                      <w:sz w:val="20"/>
                    </w:rPr>
                    <w:t>and 18</w:t>
                  </w:r>
                  <w:r>
                    <w:rPr>
                      <w:color w:val="231F20"/>
                      <w:position w:val="10"/>
                      <w:sz w:val="13"/>
                    </w:rPr>
                    <w:t>th </w:t>
                  </w:r>
                  <w:r>
                    <w:rPr>
                      <w:color w:val="231F20"/>
                      <w:sz w:val="20"/>
                    </w:rPr>
                    <w:t>February 2009 at the Instituto Nacional de Investigaciones Nucleares (ININ), Mexico-City ISBN 978-3-940471-14-7</w:t>
                  </w:r>
                </w:p>
              </w:txbxContent>
            </v:textbox>
          </v:shape>
        </w:pict>
      </w:r>
      <w:r>
        <w:rPr>
          <w:rFonts w:ascii="Times New Roman"/>
          <w:spacing w:val="-49"/>
          <w:sz w:val="20"/>
        </w:rPr>
      </w:r>
    </w:p>
    <w:p>
      <w:pPr>
        <w:pStyle w:val="BodyText"/>
        <w:rPr>
          <w:rFonts w:ascii="Times New Roman"/>
          <w:sz w:val="20"/>
        </w:rPr>
      </w:pPr>
    </w:p>
    <w:p>
      <w:pPr>
        <w:spacing w:line="360" w:lineRule="auto" w:before="216"/>
        <w:ind w:left="410" w:right="401" w:firstLine="0"/>
        <w:jc w:val="center"/>
        <w:rPr>
          <w:b/>
          <w:sz w:val="28"/>
        </w:rPr>
      </w:pPr>
      <w:r>
        <w:rPr>
          <w:b/>
          <w:color w:val="231F20"/>
          <w:sz w:val="28"/>
        </w:rPr>
        <w:t>EFECTOS DE LA EXPLOTACIÓN DEL AGUA SUBTERRÁNEA EN EL CURSO ALTO DEL RÍO LERMA</w:t>
      </w:r>
    </w:p>
    <w:p>
      <w:pPr>
        <w:pStyle w:val="BodyText"/>
        <w:spacing w:line="360" w:lineRule="auto" w:before="3"/>
        <w:ind w:left="410" w:right="402"/>
        <w:jc w:val="center"/>
      </w:pPr>
      <w:r>
        <w:rPr>
          <w:color w:val="231F20"/>
        </w:rPr>
        <w:t>EFFECTS OF GROUNDWATER EXPLOITATION IN THE UPPER COURSE OF LERMA RIVER</w:t>
      </w:r>
    </w:p>
    <w:p>
      <w:pPr>
        <w:spacing w:before="210"/>
        <w:ind w:left="1991" w:right="0" w:firstLine="0"/>
        <w:jc w:val="left"/>
        <w:rPr>
          <w:i/>
          <w:sz w:val="24"/>
        </w:rPr>
      </w:pPr>
      <w:r>
        <w:rPr>
          <w:i/>
          <w:color w:val="231F20"/>
          <w:sz w:val="24"/>
        </w:rPr>
        <w:t>M.V. Esteller</w:t>
      </w:r>
      <w:r>
        <w:rPr>
          <w:i/>
          <w:color w:val="231F20"/>
          <w:position w:val="11"/>
          <w:sz w:val="16"/>
        </w:rPr>
        <w:t>1</w:t>
      </w:r>
      <w:r>
        <w:rPr>
          <w:i/>
          <w:color w:val="231F20"/>
          <w:sz w:val="24"/>
        </w:rPr>
        <w:t>, J.L. Expósito y C. Díaz-Delgado</w:t>
      </w:r>
    </w:p>
    <w:p>
      <w:pPr>
        <w:pStyle w:val="BodyText"/>
        <w:spacing w:before="9"/>
        <w:rPr>
          <w:i/>
          <w:sz w:val="32"/>
        </w:rPr>
      </w:pPr>
    </w:p>
    <w:p>
      <w:pPr>
        <w:spacing w:before="0"/>
        <w:ind w:left="693" w:right="685" w:hanging="3"/>
        <w:jc w:val="center"/>
        <w:rPr>
          <w:sz w:val="20"/>
        </w:rPr>
      </w:pPr>
      <w:r>
        <w:rPr>
          <w:color w:val="231F20"/>
          <w:sz w:val="20"/>
        </w:rPr>
        <w:t>Centro Interamericano de Recursos del Agua (CIRA), Facultad de Ingeniería, Universidad Autónoma del Estado de México; Carretera Toluca-Atlacomulco km 14.5, Unidad San Cayetano, C.P. 50200, Toluca, Estado de México;</w:t>
      </w:r>
    </w:p>
    <w:p>
      <w:pPr>
        <w:spacing w:line="230" w:lineRule="exact" w:before="0"/>
        <w:ind w:left="2972" w:right="0" w:firstLine="0"/>
        <w:jc w:val="left"/>
        <w:rPr>
          <w:sz w:val="20"/>
        </w:rPr>
      </w:pPr>
      <w:r>
        <w:rPr>
          <w:color w:val="231F20"/>
          <w:position w:val="10"/>
          <w:sz w:val="13"/>
        </w:rPr>
        <w:t>1 </w:t>
      </w:r>
      <w:r>
        <w:rPr>
          <w:color w:val="231F20"/>
          <w:sz w:val="20"/>
        </w:rPr>
        <w:t>e-mail: </w:t>
      </w:r>
      <w:hyperlink r:id="rId6">
        <w:r>
          <w:rPr>
            <w:color w:val="231F20"/>
            <w:sz w:val="20"/>
          </w:rPr>
          <w:t>mvestellera@uaemex.mx</w:t>
        </w:r>
      </w:hyperlink>
    </w:p>
    <w:p>
      <w:pPr>
        <w:pStyle w:val="BodyText"/>
      </w:pPr>
    </w:p>
    <w:p>
      <w:pPr>
        <w:pStyle w:val="BodyText"/>
        <w:spacing w:before="10"/>
        <w:rPr>
          <w:sz w:val="32"/>
        </w:rPr>
      </w:pPr>
    </w:p>
    <w:p>
      <w:pPr>
        <w:pStyle w:val="Heading1"/>
        <w:ind w:left="231"/>
      </w:pPr>
      <w:r>
        <w:rPr>
          <w:color w:val="231F20"/>
        </w:rPr>
        <w:t>Abstract</w:t>
      </w:r>
    </w:p>
    <w:p>
      <w:pPr>
        <w:pStyle w:val="BodyText"/>
        <w:spacing w:line="264" w:lineRule="auto" w:before="146"/>
        <w:ind w:left="231" w:right="221"/>
        <w:jc w:val="both"/>
      </w:pPr>
      <w:r>
        <w:rPr>
          <w:color w:val="231F20"/>
        </w:rPr>
        <w:t>The aquifer of the Toluca Valley, located in the Mexican Highlands, is subject to intense exploitation to cover essentially the drinking water needs of municipalities in the area, as well as of Mexico-City. This has generated a range of social, economic and environmental effects. The environmental impacts include the drying out of lakes and springs and the decrease of the discharge in rivers. Both processes are associated with the decline of the piezometric level. Moreover, the Toluca Valley has a high population density. The large industrial areas produce high volumes of wastewater. The valley is also an agricultural area, which involves the use of fertilizers and pesticides. Faced with these problems, it is assumed that the aquifer may have some degree of contamination. Hydrogeochemical studies were conducted to test this hypothesis. The groundwater belongs to the sodium-magnesium bicarbonate type. High concentrations of Fe and Mn were detected, indicating an industrial pollution, but low concentrations of other metals suggest that they are of natural origin because the volcanic rocks of the valley show high contents in both ions. In some areas high levels of nitrate were measured what can be associated  with the use of fertilizers and / or with the discharge of</w:t>
      </w:r>
      <w:r>
        <w:rPr>
          <w:color w:val="231F20"/>
          <w:spacing w:val="-38"/>
        </w:rPr>
        <w:t> </w:t>
      </w:r>
      <w:r>
        <w:rPr>
          <w:color w:val="231F20"/>
        </w:rPr>
        <w:t>wastewater.</w:t>
      </w:r>
    </w:p>
    <w:p>
      <w:pPr>
        <w:pStyle w:val="BodyText"/>
      </w:pPr>
    </w:p>
    <w:p>
      <w:pPr>
        <w:pStyle w:val="BodyText"/>
        <w:spacing w:before="5"/>
        <w:rPr>
          <w:sz w:val="23"/>
        </w:rPr>
      </w:pPr>
    </w:p>
    <w:p>
      <w:pPr>
        <w:pStyle w:val="Heading1"/>
        <w:ind w:left="231"/>
      </w:pPr>
      <w:r>
        <w:rPr>
          <w:color w:val="231F20"/>
        </w:rPr>
        <w:t>Resumen</w:t>
      </w:r>
    </w:p>
    <w:p>
      <w:pPr>
        <w:pStyle w:val="BodyText"/>
        <w:spacing w:line="264" w:lineRule="auto" w:before="146"/>
        <w:ind w:left="231" w:right="222"/>
        <w:jc w:val="both"/>
      </w:pPr>
      <w:r>
        <w:rPr>
          <w:color w:val="231F20"/>
        </w:rPr>
        <w:t>El acuífero del Valle de Toluca, localizado en el Altiplano Mexicano, está sometido a una intensa explotación para cubrir, esencialmente, las  necesidades de agua potable de los municipios de la zona, así como de la Ciudad de México. Esta sobreexplotación ha generado una serie de efectos tanto  sociales,  económicos  como  ambientales.  En  el  caso  de  los  </w:t>
      </w:r>
      <w:r>
        <w:rPr>
          <w:color w:val="231F20"/>
          <w:spacing w:val="26"/>
        </w:rPr>
        <w:t> </w:t>
      </w:r>
      <w:r>
        <w:rPr>
          <w:color w:val="231F20"/>
        </w:rPr>
        <w:t>efectos</w:t>
      </w:r>
    </w:p>
    <w:p>
      <w:pPr>
        <w:spacing w:after="0" w:line="264" w:lineRule="auto"/>
        <w:jc w:val="both"/>
        <w:sectPr>
          <w:footerReference w:type="default" r:id="rId5"/>
          <w:type w:val="continuous"/>
          <w:pgSz w:w="12240" w:h="15840"/>
          <w:pgMar w:footer="258" w:top="920" w:bottom="440" w:left="1640" w:right="1640"/>
          <w:pgNumType w:start="32"/>
        </w:sectPr>
      </w:pPr>
    </w:p>
    <w:p>
      <w:pPr>
        <w:pStyle w:val="BodyText"/>
        <w:spacing w:before="55"/>
        <w:ind w:left="151" w:right="76"/>
      </w:pPr>
      <w:r>
        <w:rPr>
          <w:color w:val="231F20"/>
        </w:rPr>
        <w:t>ambientales  cabe  destacar  la  desecación  de  lagunas  y  manantiales  y    la</w:t>
      </w:r>
    </w:p>
    <w:p>
      <w:pPr>
        <w:pStyle w:val="BodyText"/>
        <w:spacing w:line="264" w:lineRule="auto" w:before="27"/>
        <w:ind w:left="151" w:right="142"/>
        <w:jc w:val="both"/>
      </w:pPr>
      <w:r>
        <w:rPr>
          <w:color w:val="231F20"/>
        </w:rPr>
        <w:t>disminución de caudales en ríos, ambos procesos ligados al descenso del nivel piezométrico del acuífero. Por otro lado, en este valle existe una alta densidad de población propiciada por el asentamiento de grandes zonas industriales, lo cual a su vez ha provocado la generación de grandes volúmenes de residuos. Además, se trata de un área agrícola, lo cual implica el uso de fertilizantes y plaguicidas. Ante esta problemática cabe suponer que el acuífero pueda   tener</w:t>
      </w:r>
    </w:p>
    <w:p>
      <w:pPr>
        <w:spacing w:after="0" w:line="264" w:lineRule="auto"/>
        <w:jc w:val="both"/>
        <w:sectPr>
          <w:pgSz w:w="12240" w:h="15840"/>
          <w:pgMar w:header="0" w:footer="258" w:top="860" w:bottom="440" w:left="1720" w:right="1720"/>
        </w:sectPr>
      </w:pPr>
    </w:p>
    <w:p>
      <w:pPr>
        <w:pStyle w:val="BodyText"/>
        <w:spacing w:before="1"/>
        <w:ind w:left="151"/>
      </w:pPr>
      <w:r>
        <w:rPr>
          <w:color w:val="231F20"/>
        </w:rPr>
        <w:t>cierto  grado  de</w:t>
      </w:r>
    </w:p>
    <w:p>
      <w:pPr>
        <w:pStyle w:val="BodyText"/>
        <w:spacing w:before="1"/>
        <w:ind w:left="111"/>
      </w:pPr>
      <w:r>
        <w:rPr/>
        <w:br w:type="column"/>
      </w:r>
      <w:r>
        <w:rPr>
          <w:color w:val="231F20"/>
        </w:rPr>
        <w:t>contaminación.  El  estudio  hidrogeoquímico</w:t>
      </w:r>
    </w:p>
    <w:p>
      <w:pPr>
        <w:pStyle w:val="BodyText"/>
        <w:spacing w:before="1"/>
        <w:ind w:left="112"/>
      </w:pPr>
      <w:r>
        <w:rPr/>
        <w:br w:type="column"/>
      </w:r>
      <w:r>
        <w:rPr>
          <w:color w:val="231F20"/>
        </w:rPr>
        <w:t>realizado  para</w:t>
      </w:r>
    </w:p>
    <w:p>
      <w:pPr>
        <w:spacing w:after="0"/>
        <w:sectPr>
          <w:type w:val="continuous"/>
          <w:pgSz w:w="12240" w:h="15840"/>
          <w:pgMar w:top="920" w:bottom="440" w:left="1720" w:right="1720"/>
          <w:cols w:num="3" w:equalWidth="0">
            <w:col w:w="1920" w:space="40"/>
            <w:col w:w="4939" w:space="40"/>
            <w:col w:w="1861"/>
          </w:cols>
        </w:sectPr>
      </w:pPr>
    </w:p>
    <w:p>
      <w:pPr>
        <w:pStyle w:val="BodyText"/>
        <w:spacing w:line="264" w:lineRule="auto" w:before="26"/>
        <w:ind w:left="151" w:right="141"/>
        <w:jc w:val="both"/>
      </w:pPr>
      <w:r>
        <w:rPr>
          <w:color w:val="231F20"/>
        </w:rPr>
        <w:t>comprobar esta hipótesis permitió establecer que el agua subterránea presenta una facies hidroquímica bicarbonata sódica-magnésica. Así mismo, se detecto la presencia de altos contenidos de Fe y Mn, que sugiere una posible contaminación industrial pero las bajas concentraciones del resto de los  metales permiten dedcuir que el origen de estos dos metales es natural ya que los</w:t>
      </w:r>
      <w:r>
        <w:rPr>
          <w:color w:val="231F20"/>
          <w:spacing w:val="30"/>
        </w:rPr>
        <w:t> </w:t>
      </w:r>
      <w:r>
        <w:rPr>
          <w:color w:val="231F20"/>
        </w:rPr>
        <w:t>minerales</w:t>
      </w:r>
      <w:r>
        <w:rPr>
          <w:color w:val="231F20"/>
          <w:spacing w:val="30"/>
        </w:rPr>
        <w:t> </w:t>
      </w:r>
      <w:r>
        <w:rPr>
          <w:color w:val="231F20"/>
        </w:rPr>
        <w:t>que</w:t>
      </w:r>
      <w:r>
        <w:rPr>
          <w:color w:val="231F20"/>
          <w:spacing w:val="29"/>
        </w:rPr>
        <w:t> </w:t>
      </w:r>
      <w:r>
        <w:rPr>
          <w:color w:val="231F20"/>
        </w:rPr>
        <w:t>conforman</w:t>
      </w:r>
      <w:r>
        <w:rPr>
          <w:color w:val="231F20"/>
          <w:spacing w:val="29"/>
        </w:rPr>
        <w:t> </w:t>
      </w:r>
      <w:r>
        <w:rPr>
          <w:color w:val="231F20"/>
        </w:rPr>
        <w:t>las</w:t>
      </w:r>
      <w:r>
        <w:rPr>
          <w:color w:val="231F20"/>
          <w:spacing w:val="30"/>
        </w:rPr>
        <w:t> </w:t>
      </w:r>
      <w:r>
        <w:rPr>
          <w:color w:val="231F20"/>
        </w:rPr>
        <w:t>rocas</w:t>
      </w:r>
      <w:r>
        <w:rPr>
          <w:color w:val="231F20"/>
          <w:spacing w:val="30"/>
        </w:rPr>
        <w:t> </w:t>
      </w:r>
      <w:r>
        <w:rPr>
          <w:color w:val="231F20"/>
        </w:rPr>
        <w:t>volcánicas</w:t>
      </w:r>
      <w:r>
        <w:rPr>
          <w:color w:val="231F20"/>
          <w:spacing w:val="30"/>
        </w:rPr>
        <w:t> </w:t>
      </w:r>
      <w:r>
        <w:rPr>
          <w:color w:val="231F20"/>
        </w:rPr>
        <w:t>tienen</w:t>
      </w:r>
      <w:r>
        <w:rPr>
          <w:color w:val="231F20"/>
          <w:spacing w:val="30"/>
        </w:rPr>
        <w:t> </w:t>
      </w:r>
      <w:r>
        <w:rPr>
          <w:color w:val="231F20"/>
        </w:rPr>
        <w:t>altos</w:t>
      </w:r>
      <w:r>
        <w:rPr>
          <w:color w:val="231F20"/>
          <w:spacing w:val="30"/>
        </w:rPr>
        <w:t> </w:t>
      </w:r>
      <w:r>
        <w:rPr>
          <w:color w:val="231F20"/>
        </w:rPr>
        <w:t>contenidos</w:t>
      </w:r>
      <w:r>
        <w:rPr>
          <w:color w:val="231F20"/>
          <w:spacing w:val="31"/>
        </w:rPr>
        <w:t> </w:t>
      </w:r>
      <w:r>
        <w:rPr>
          <w:color w:val="231F20"/>
        </w:rPr>
        <w:t>en</w:t>
      </w:r>
    </w:p>
    <w:p>
      <w:pPr>
        <w:pStyle w:val="BodyText"/>
        <w:spacing w:before="1"/>
        <w:ind w:left="151" w:right="76"/>
      </w:pPr>
      <w:r>
        <w:rPr>
          <w:color w:val="231F20"/>
        </w:rPr>
        <w:t>ambos iones. Se detectaron en algunos puntos altos contenidos de nitratos</w:t>
      </w:r>
    </w:p>
    <w:p>
      <w:pPr>
        <w:pStyle w:val="BodyText"/>
        <w:spacing w:before="27"/>
        <w:ind w:left="151" w:right="76"/>
      </w:pPr>
      <w:r>
        <w:rPr>
          <w:color w:val="231F20"/>
        </w:rPr>
        <w:t>relacionados con el uso de fertilizantes en y/o por vertido de aguas residuales.</w:t>
      </w:r>
    </w:p>
    <w:p>
      <w:pPr>
        <w:pStyle w:val="BodyText"/>
        <w:rPr>
          <w:sz w:val="20"/>
        </w:rPr>
      </w:pPr>
    </w:p>
    <w:p>
      <w:pPr>
        <w:pStyle w:val="BodyText"/>
        <w:rPr>
          <w:sz w:val="20"/>
        </w:rPr>
      </w:pPr>
    </w:p>
    <w:p>
      <w:pPr>
        <w:pStyle w:val="BodyText"/>
        <w:spacing w:before="4"/>
        <w:rPr>
          <w:sz w:val="19"/>
        </w:rPr>
      </w:pPr>
    </w:p>
    <w:p>
      <w:pPr>
        <w:pStyle w:val="Heading1"/>
        <w:ind w:right="76"/>
        <w:jc w:val="left"/>
      </w:pPr>
      <w:r>
        <w:rPr>
          <w:color w:val="231F20"/>
        </w:rPr>
        <w:t>Introducción</w:t>
      </w:r>
    </w:p>
    <w:p>
      <w:pPr>
        <w:pStyle w:val="BodyText"/>
        <w:spacing w:before="3"/>
        <w:rPr>
          <w:b/>
          <w:sz w:val="16"/>
        </w:rPr>
      </w:pPr>
    </w:p>
    <w:p>
      <w:pPr>
        <w:pStyle w:val="BodyText"/>
        <w:spacing w:line="360" w:lineRule="auto" w:before="70"/>
        <w:ind w:left="151" w:right="142"/>
        <w:jc w:val="both"/>
      </w:pPr>
      <w:r>
        <w:rPr>
          <w:color w:val="231F20"/>
        </w:rPr>
        <w:t>Los impactos adversos que provoca la sobreexplotación de acuíferos se han podido observar en numerosas partes del mundo. Ejemplos de estos impactos son la desecación de zonas húmedas, la subsidencia, la desaparición de manantiales, el descenso de los caudales base de los ríos y el deterioro de la calidad del agua subterránea, comprobándose también como estos impactos provocan  graves  problemas  medioambientales,  así  como  sociales  y econó-</w:t>
      </w:r>
    </w:p>
    <w:p>
      <w:pPr>
        <w:spacing w:line="280" w:lineRule="exact" w:before="0"/>
        <w:ind w:left="151" w:right="0" w:firstLine="0"/>
        <w:jc w:val="both"/>
        <w:rPr>
          <w:sz w:val="24"/>
        </w:rPr>
      </w:pPr>
      <w:r>
        <w:rPr>
          <w:color w:val="231F20"/>
          <w:sz w:val="24"/>
        </w:rPr>
        <w:t>micos</w:t>
      </w:r>
      <w:r>
        <w:rPr>
          <w:color w:val="231F20"/>
          <w:position w:val="11"/>
          <w:sz w:val="16"/>
        </w:rPr>
        <w:t>(1, 2)</w:t>
      </w:r>
      <w:r>
        <w:rPr>
          <w:color w:val="231F20"/>
          <w:sz w:val="24"/>
        </w:rPr>
        <w:t>.</w:t>
      </w:r>
    </w:p>
    <w:p>
      <w:pPr>
        <w:pStyle w:val="BodyText"/>
        <w:spacing w:line="410" w:lineRule="atLeast" w:before="124"/>
        <w:ind w:left="151" w:right="142"/>
        <w:jc w:val="both"/>
      </w:pPr>
      <w:r>
        <w:rPr>
          <w:color w:val="231F20"/>
        </w:rPr>
        <w:t>En el caso concreto del deterioro de la calidad del agua, la sobreexplotación sería el origen de diversos procesos que producen cambios en las características del agua subterránea, como son la intrusión marina, la mezcla de aguas superficiales y subterráneas, migración de aguas subterráneas contaminas y/o altamente mineralizadas desde acuíferos subyacente o suprayacentes al acuífero explotado o el movimiento lateral de plumas de contaminación</w:t>
      </w:r>
      <w:r>
        <w:rPr>
          <w:color w:val="231F20"/>
          <w:position w:val="11"/>
          <w:sz w:val="16"/>
        </w:rPr>
        <w:t>(3)</w:t>
      </w:r>
      <w:r>
        <w:rPr>
          <w:color w:val="231F20"/>
        </w:rPr>
        <w:t>.</w:t>
      </w:r>
    </w:p>
    <w:p>
      <w:pPr>
        <w:pStyle w:val="BodyText"/>
        <w:spacing w:before="4"/>
        <w:rPr>
          <w:sz w:val="16"/>
        </w:rPr>
      </w:pPr>
    </w:p>
    <w:p>
      <w:pPr>
        <w:pStyle w:val="BodyText"/>
        <w:spacing w:line="360" w:lineRule="auto" w:before="70"/>
        <w:ind w:left="151" w:right="76"/>
      </w:pPr>
      <w:r>
        <w:rPr>
          <w:color w:val="231F20"/>
        </w:rPr>
        <w:t>En este trabajo se expone un ejemplo de algunos de estos impactos produci- dos por la explotación del acuífero del Valle de Toluca.</w:t>
      </w:r>
    </w:p>
    <w:p>
      <w:pPr>
        <w:spacing w:after="0" w:line="360" w:lineRule="auto"/>
        <w:sectPr>
          <w:type w:val="continuous"/>
          <w:pgSz w:w="12240" w:h="15840"/>
          <w:pgMar w:top="920" w:bottom="440" w:left="1720" w:right="1720"/>
        </w:sectPr>
      </w:pPr>
    </w:p>
    <w:p>
      <w:pPr>
        <w:pStyle w:val="Heading1"/>
        <w:spacing w:before="56"/>
      </w:pPr>
      <w:r>
        <w:rPr>
          <w:color w:val="231F20"/>
        </w:rPr>
        <w:t>Zona de Estudio</w:t>
      </w:r>
    </w:p>
    <w:p>
      <w:pPr>
        <w:pStyle w:val="BodyText"/>
        <w:spacing w:before="3"/>
        <w:rPr>
          <w:b/>
          <w:sz w:val="22"/>
        </w:rPr>
      </w:pPr>
    </w:p>
    <w:p>
      <w:pPr>
        <w:pStyle w:val="BodyText"/>
        <w:spacing w:line="360" w:lineRule="auto" w:before="1"/>
        <w:ind w:left="151" w:right="140"/>
        <w:jc w:val="both"/>
      </w:pPr>
      <w:r>
        <w:rPr>
          <w:color w:val="231F20"/>
        </w:rPr>
        <w:t>El Valle de Toluca (Figura 1) está localizado en el Altiplano Méxicano, enmarcado en provincia fisiográfica denominada Eje Neovolcánico Transmexicano, región constituida por una franja de naturaleza volcánica de tipo calcoalcalino, cuya edad corresponde al Cenozoico. En el valle, se identifi- can sedimentos lacustres y aluviales que se encuentran intercalados con materiales clásticos de origen volcánico (piroclástos, tobas y brechas); el espesor de esta formación varía desde unos pocos metros en los límites con  las  sierras  hasta  valores  superiores  a  los  500  metros  en  las  partes  </w:t>
      </w:r>
      <w:r>
        <w:rPr>
          <w:color w:val="231F20"/>
          <w:spacing w:val="17"/>
        </w:rPr>
        <w:t> </w:t>
      </w:r>
      <w:r>
        <w:rPr>
          <w:color w:val="231F20"/>
        </w:rPr>
        <w:t>más</w:t>
      </w:r>
    </w:p>
    <w:p>
      <w:pPr>
        <w:pStyle w:val="BodyText"/>
        <w:spacing w:line="328" w:lineRule="auto" w:before="4"/>
        <w:ind w:left="151" w:right="142"/>
        <w:jc w:val="both"/>
      </w:pPr>
      <w:r>
        <w:rPr>
          <w:color w:val="231F20"/>
        </w:rPr>
        <w:t>profundas. A estos depósitos se les asigna una edad Plioceno Tardío – Cuaternario</w:t>
      </w:r>
      <w:r>
        <w:rPr>
          <w:color w:val="231F20"/>
          <w:position w:val="11"/>
          <w:sz w:val="16"/>
        </w:rPr>
        <w:t>(4)</w:t>
      </w:r>
      <w:r>
        <w:rPr>
          <w:color w:val="231F20"/>
        </w:rPr>
        <w:t>.</w:t>
      </w:r>
    </w:p>
    <w:p>
      <w:pPr>
        <w:pStyle w:val="BodyText"/>
        <w:spacing w:line="352" w:lineRule="auto" w:before="145"/>
        <w:ind w:left="151" w:right="142"/>
        <w:jc w:val="both"/>
      </w:pPr>
      <w:r>
        <w:rPr>
          <w:color w:val="231F20"/>
        </w:rPr>
        <w:t>Sobre la base de las características de los materiales detríticos que conforman el acuífero, se puede señalar que este sistema está formado por varios niveles acuíferos superpuestos que constituyen un acuífero multicapa, pero la existencia de cierta continuidad hidráulica permite considerar un sistema de  flujo</w:t>
      </w:r>
      <w:r>
        <w:rPr>
          <w:color w:val="231F20"/>
          <w:spacing w:val="-6"/>
        </w:rPr>
        <w:t> </w:t>
      </w:r>
      <w:r>
        <w:rPr>
          <w:color w:val="231F20"/>
        </w:rPr>
        <w:t>único.</w:t>
      </w:r>
      <w:r>
        <w:rPr>
          <w:color w:val="231F20"/>
          <w:spacing w:val="-6"/>
        </w:rPr>
        <w:t> </w:t>
      </w:r>
      <w:r>
        <w:rPr>
          <w:color w:val="231F20"/>
        </w:rPr>
        <w:t>No</w:t>
      </w:r>
      <w:r>
        <w:rPr>
          <w:color w:val="231F20"/>
          <w:spacing w:val="-6"/>
        </w:rPr>
        <w:t> </w:t>
      </w:r>
      <w:r>
        <w:rPr>
          <w:color w:val="231F20"/>
        </w:rPr>
        <w:t>obstante,</w:t>
      </w:r>
      <w:r>
        <w:rPr>
          <w:color w:val="231F20"/>
          <w:spacing w:val="-6"/>
        </w:rPr>
        <w:t> </w:t>
      </w:r>
      <w:r>
        <w:rPr>
          <w:color w:val="231F20"/>
        </w:rPr>
        <w:t>existen</w:t>
      </w:r>
      <w:r>
        <w:rPr>
          <w:color w:val="231F20"/>
          <w:spacing w:val="-6"/>
        </w:rPr>
        <w:t> </w:t>
      </w:r>
      <w:r>
        <w:rPr>
          <w:color w:val="231F20"/>
        </w:rPr>
        <w:t>diferencias</w:t>
      </w:r>
      <w:r>
        <w:rPr>
          <w:color w:val="231F20"/>
          <w:spacing w:val="-7"/>
        </w:rPr>
        <w:t> </w:t>
      </w:r>
      <w:r>
        <w:rPr>
          <w:color w:val="231F20"/>
        </w:rPr>
        <w:t>significativas</w:t>
      </w:r>
      <w:r>
        <w:rPr>
          <w:color w:val="231F20"/>
          <w:spacing w:val="-7"/>
        </w:rPr>
        <w:t> </w:t>
      </w:r>
      <w:r>
        <w:rPr>
          <w:color w:val="231F20"/>
        </w:rPr>
        <w:t>de</w:t>
      </w:r>
      <w:r>
        <w:rPr>
          <w:color w:val="231F20"/>
          <w:spacing w:val="-7"/>
        </w:rPr>
        <w:t> </w:t>
      </w:r>
      <w:r>
        <w:rPr>
          <w:color w:val="231F20"/>
        </w:rPr>
        <w:t>carga</w:t>
      </w:r>
      <w:r>
        <w:rPr>
          <w:color w:val="231F20"/>
          <w:spacing w:val="-7"/>
        </w:rPr>
        <w:t> </w:t>
      </w:r>
      <w:r>
        <w:rPr>
          <w:color w:val="231F20"/>
        </w:rPr>
        <w:t>hidráulica</w:t>
      </w:r>
      <w:r>
        <w:rPr>
          <w:color w:val="231F20"/>
          <w:position w:val="11"/>
          <w:sz w:val="16"/>
        </w:rPr>
        <w:t>(5)</w:t>
      </w:r>
      <w:r>
        <w:rPr>
          <w:color w:val="231F20"/>
        </w:rPr>
        <w:t>.</w:t>
      </w:r>
    </w:p>
    <w:p>
      <w:pPr>
        <w:pStyle w:val="BodyText"/>
        <w:rPr>
          <w:sz w:val="28"/>
        </w:rPr>
      </w:pPr>
    </w:p>
    <w:p>
      <w:pPr>
        <w:pStyle w:val="BodyText"/>
        <w:spacing w:before="5"/>
        <w:rPr>
          <w:sz w:val="28"/>
        </w:rPr>
      </w:pPr>
    </w:p>
    <w:p>
      <w:pPr>
        <w:pStyle w:val="Heading1"/>
        <w:spacing w:line="463" w:lineRule="auto"/>
        <w:ind w:right="5921"/>
        <w:jc w:val="left"/>
      </w:pPr>
      <w:r>
        <w:rPr>
          <w:color w:val="231F20"/>
        </w:rPr>
        <w:t>Resultados y Discusión Hidrodinámica</w:t>
      </w:r>
    </w:p>
    <w:p>
      <w:pPr>
        <w:pStyle w:val="BodyText"/>
        <w:spacing w:before="7"/>
        <w:ind w:left="151" w:right="76"/>
      </w:pPr>
      <w:r>
        <w:rPr>
          <w:color w:val="231F20"/>
        </w:rPr>
        <w:t>El  balance  hidráulico  establecido  para  el  acuífero  define  unas  entradas de</w:t>
      </w:r>
    </w:p>
    <w:p>
      <w:pPr>
        <w:pStyle w:val="BodyText"/>
        <w:spacing w:line="360" w:lineRule="auto" w:before="103"/>
        <w:ind w:left="151" w:right="142"/>
        <w:jc w:val="both"/>
      </w:pPr>
      <w:r>
        <w:rPr>
          <w:color w:val="231F20"/>
        </w:rPr>
        <w:t>336.7 Mm</w:t>
      </w:r>
      <w:r>
        <w:rPr>
          <w:color w:val="231F20"/>
          <w:position w:val="11"/>
          <w:sz w:val="16"/>
        </w:rPr>
        <w:t>3</w:t>
      </w:r>
      <w:r>
        <w:rPr>
          <w:color w:val="231F20"/>
        </w:rPr>
        <w:t>/año mientras que las salidas se valoran en 383.2 Mm</w:t>
      </w:r>
      <w:r>
        <w:rPr>
          <w:color w:val="231F20"/>
          <w:position w:val="11"/>
          <w:sz w:val="16"/>
        </w:rPr>
        <w:t>3</w:t>
      </w:r>
      <w:r>
        <w:rPr>
          <w:color w:val="231F20"/>
        </w:rPr>
        <w:t>/año, estas salidas se producen fundamentalmente por bombeo, el cual se cuantificó en</w:t>
      </w:r>
    </w:p>
    <w:p>
      <w:pPr>
        <w:pStyle w:val="BodyText"/>
        <w:spacing w:line="280" w:lineRule="exact"/>
        <w:ind w:left="151"/>
        <w:jc w:val="both"/>
      </w:pPr>
      <w:r>
        <w:rPr>
          <w:color w:val="231F20"/>
        </w:rPr>
        <w:t>329.6 Mm</w:t>
      </w:r>
      <w:r>
        <w:rPr>
          <w:color w:val="231F20"/>
          <w:position w:val="11"/>
          <w:sz w:val="16"/>
        </w:rPr>
        <w:t>3</w:t>
      </w:r>
      <w:r>
        <w:rPr>
          <w:color w:val="231F20"/>
        </w:rPr>
        <w:t>/año, destinándose este volumen en un 88  a uso publico-urbano, un</w:t>
      </w:r>
    </w:p>
    <w:p>
      <w:pPr>
        <w:pStyle w:val="BodyText"/>
        <w:spacing w:line="345" w:lineRule="auto" w:before="138"/>
        <w:ind w:left="151" w:right="142"/>
        <w:jc w:val="both"/>
      </w:pPr>
      <w:r>
        <w:rPr>
          <w:color w:val="231F20"/>
        </w:rPr>
        <w:t>7 a la industria y un 4 a actividades agropecuarias. El balance global indica un desequilibrio entre entradas y salidas, ya que las salidas son superiores a las entradas en 46 Mm</w:t>
      </w:r>
      <w:r>
        <w:rPr>
          <w:color w:val="231F20"/>
          <w:position w:val="11"/>
          <w:sz w:val="16"/>
        </w:rPr>
        <w:t>3</w:t>
      </w:r>
      <w:r>
        <w:rPr>
          <w:color w:val="231F20"/>
        </w:rPr>
        <w:t>/año</w:t>
      </w:r>
      <w:r>
        <w:rPr>
          <w:color w:val="231F20"/>
          <w:position w:val="11"/>
          <w:sz w:val="16"/>
        </w:rPr>
        <w:t>(6)</w:t>
      </w:r>
      <w:r>
        <w:rPr>
          <w:color w:val="231F20"/>
        </w:rPr>
        <w:t>.</w:t>
      </w:r>
    </w:p>
    <w:p>
      <w:pPr>
        <w:pStyle w:val="BodyText"/>
        <w:spacing w:line="360" w:lineRule="auto" w:before="123"/>
        <w:ind w:left="151" w:right="142"/>
        <w:jc w:val="both"/>
      </w:pPr>
      <w:r>
        <w:rPr>
          <w:color w:val="231F20"/>
        </w:rPr>
        <w:t>El proceso de explotación de las aguas subterráneas queda reflejado en el mapa de isodescensos para el periodo 1971-2006 (Figura 1).</w:t>
      </w:r>
    </w:p>
    <w:p>
      <w:pPr>
        <w:spacing w:after="0" w:line="360" w:lineRule="auto"/>
        <w:jc w:val="both"/>
        <w:sectPr>
          <w:pgSz w:w="12240" w:h="15840"/>
          <w:pgMar w:header="0" w:footer="258" w:top="860" w:bottom="440" w:left="1720" w:right="1720"/>
        </w:sectPr>
      </w:pPr>
    </w:p>
    <w:p>
      <w:pPr>
        <w:spacing w:before="57"/>
        <w:ind w:left="1524" w:right="76" w:firstLine="0"/>
        <w:jc w:val="left"/>
        <w:rPr>
          <w:sz w:val="15"/>
        </w:rPr>
      </w:pPr>
      <w:r>
        <w:rPr/>
        <w:pict>
          <v:group style="position:absolute;margin-left:182.4496pt;margin-top:5.455019pt;width:267.350pt;height:294.5pt;mso-position-horizontal-relative:page;mso-position-vertical-relative:paragraph;z-index:1288" coordorigin="3649,109" coordsize="5347,5890">
            <v:shape style="position:absolute;left:4206;top:258;width:4683;height:5538" coordorigin="4206,258" coordsize="4683,5538" path="m6313,3084l6310,3081,6310,3078,6241,2965,6235,2959,6219,2959,6153,3003,6097,2990,6064,2983,6052,2983,6046,2990,6046,3005,6058,3026,5961,3026,5961,3030,5864,3099,5862,3099,5858,3105,5858,3115,5862,3121,5868,3125,5870,3127,5955,3127,5955,3139,5913,3139,5907,3145,5907,3161,5910,3164,5979,3255,5983,3259,5985,3259,5989,3261,5992,3261,5998,3259,6001,3259,6001,3255,6019,3237,6046,3211,6046,3273,6052,3279,6056,3279,6062,3283,6229,3283,6231,3279,6235,3279,6241,3273,6241,3271,6243,3267,6243,3253,6243,3170,6274,3170,6277,3167,6280,3167,6286,3161,6286,3158,6288,3155,6290,3149,6293,3139,6310,3093,6310,3091,6313,3087,6313,3084m8888,3467l8886,3463,8886,3461,8882,3457,8856,3431,8856,3473,8788,3779,8788,3781,8812,4506,8695,5010,8695,5006,8225,5763,7571,5701,7244,5670,7242,5670,6234,5764,5992,5478,5985,5469,5986,5462,6170,4674,6171,4668,6174,4664,6174,4662,6171,4658,6168,4652,5599,3959,5594,3953,5576,3931,5574,3927,5570,3927,4974,3797,4959,3793,4959,3793,4593,3530,4586,3525,4586,3524,4499,3212,4496,3204,4494,3194,4490,3188,4484,3186,4329,3127,4308,3119,4308,3115,4236,1596,4236,1593,4309,1578,5616,1303,5622,1297,5646,1275,5650,1272,6745,293,7323,975,7323,1155,7329,1161,7335,1165,7918,1276,8221,1877,8221,1874,8338,2295,8224,2449,8221,2449,8221,2463,8224,2467,8663,2951,8509,3099,8506,3103,8506,3117,8509,3121,8856,3473,8856,3431,8552,3121,8541,3110,8553,3099,8695,2963,8697,2959,8697,2957,8701,2953,8697,2947,8697,2943,8695,2941,8266,2467,8256,2457,8265,2445,8367,2309,8367,2301,8370,2299,8370,2295,8367,2293,8366,2289,8251,1874,8248,1865,8248,1862,7954,1278,7950,1269,7942,1254,7936,1248,7933,1248,7417,1149,7353,1137,7353,1135,7353,979,7353,969,7351,963,7351,960,7347,957,6775,282,6757,260,6753,260,6750,258,6738,258,6735,260,5602,1273,4218,1566,4212,1566,4206,1572,4206,1580,4278,3131,4278,3137,4285,3143,4287,3143,4468,3209,4561,3540,4561,3543,4567,3549,4946,3821,4948,3821,4952,3824,5560,3958,6141,4668,5955,5468,5955,5480,5959,5484,6217,5788,6219,5792,6223,5792,6225,5796,6229,5796,6231,5796,6231,5795,7243,5701,8233,5796,8236,5796,8242,5792,8246,5788,8248,5788,8248,5786,8258,5770,8721,5022,8721,5019,8723,5010,8840,4514,8841,4512,8844,4508,8844,4506,8819,3785,8819,3784,8820,3779,8887,3479,8888,3473,8888,3467e" filled="true" fillcolor="#231f20" stroked="false">
              <v:path arrowok="t"/>
              <v:fill type="solid"/>
            </v:shape>
            <v:shape style="position:absolute;left:6544;top:3345;width:103;height:279" type="#_x0000_t75" stroked="false">
              <v:imagedata r:id="rId7" o:title=""/>
            </v:shape>
            <v:shape style="position:absolute;left:7700;top:4312;width:127;height:140" type="#_x0000_t75" stroked="false">
              <v:imagedata r:id="rId8" o:title=""/>
            </v:shape>
            <v:shape style="position:absolute;left:7466;top:3072;width:125;height:99" coordorigin="7466,3072" coordsize="125,99" path="m7591,3084l7587,3081,7585,3075,7581,3075,7578,3072,7518,3072,7512,3078,7466,3145,7466,3161,7472,3167,7476,3167,7478,3170,7551,3170,7554,3167,7557,3167,7563,3161,7563,3158,7567,3149,7570,3139,7583,3103,7587,3091,7591,3087,7591,3084e" filled="true" fillcolor="#231f20" stroked="false">
              <v:path arrowok="t"/>
              <v:fill type="solid"/>
            </v:shape>
            <v:shape style="position:absolute;left:5600;top:1205;width:762;height:569" type="#_x0000_t75" stroked="false">
              <v:imagedata r:id="rId9" o:title=""/>
            </v:shape>
            <v:shape style="position:absolute;left:4960;top:4762;width:76;height:74" coordorigin="4960,4762" coordsize="76,74" path="m5036,4820l5034,4814,5034,4810,5031,4804,5020,4784,5012,4768,5006,4762,4990,4762,4984,4768,4960,4810,4960,4826,4966,4832,4970,4832,4976,4836,5022,4836,5024,4832,5028,4832,5034,4826,5034,4824,5036,4820e" filled="true" fillcolor="#231f20" stroked="false">
              <v:path arrowok="t"/>
              <v:fill type="solid"/>
            </v:shape>
            <v:shape style="position:absolute;left:5934;top:2876;width:510;height:603" coordorigin="5934,2876" coordsize="510,603" path="m6122,3469l6128,3469,6150,3457,6171,3449,6171,3445,6195,3429,6204,3427,6217,3417,6235,3405,6237,3399,6261,3384,6261,3381,6283,3366,6286,3360,6304,3344,6310,3338,6326,3320,6332,3317,6346,3299,6350,3295,6368,3271,6370,3271,6386,3249,6392,3240,6398,3228,6414,3206,6416,3200,6422,3182,6428,3161,6438,3139,6441,3117,6444,3097,6444,3072,6441,3050,6438,3030,6428,3008,6420,2983,6370,2922,6364,2919,6346,2907,6328,2898,6326,2895,6304,2888,6283,2882,6261,2880,6237,2876,6217,2880,6195,2880,6171,2886,6150,2895,6144,2898,6128,2904,6108,2919,6104,2919,6086,2935,6076,2941,6056,2963,6040,2981,6037,2983,6022,3008,6019,3011,6007,3030,5995,3050,5985,3072,5977,3097,5973,3099,5971,3117,5961,3139,5955,3161,5953,3170,5947,3182,5943,3206,5937,3228,5934,3249,5934,3338,5937,3360,5943,3381,5949,3405,5953,3408,5965,3427,5973,3439,5995,3461,6016,3469,6019,3469,6040,3475,6062,3479,6086,3479,6108,3475,6122,3469e" filled="false" stroked="true" strokeweight=".06pt" strokecolor="#231f20">
              <v:path arrowok="t"/>
            </v:shape>
            <v:shape style="position:absolute;left:6103;top:3518;width:178;height:142" type="#_x0000_t75" stroked="false">
              <v:imagedata r:id="rId10" o:title=""/>
            </v:shape>
            <v:shape style="position:absolute;left:6108;top:2724;width:515;height:826" coordorigin="6108,2724" coordsize="515,826" path="m6307,3549l6322,3536,6326,3534,6346,3516,6346,3512,6370,3494,6374,3491,6392,3469,6396,3469,6416,3449,6435,3427,6438,3423,6453,3405,6459,3399,6474,3381,6480,3374,6493,3360,6501,3347,6507,3338,6523,3317,6525,3317,6541,3295,6547,3287,6556,3271,6592,3206,6598,3182,6604,3161,6614,3139,6616,3117,6620,3097,6622,3072,6622,3050,6620,3030,6616,3008,6614,2987,6614,2983,6604,2963,6598,2941,6592,2925,6586,2919,6574,2898,6568,2888,6562,2874,6547,2855,6544,2852,6523,2834,6523,2831,6501,2813,6499,2809,6480,2793,6468,2787,6459,2781,6438,2769,6428,2767,6416,2760,6392,2751,6374,2742,6370,2742,6346,2736,6326,2733,6283,2726,6261,2724,6237,2724,6217,2726,6195,2730,6171,2733,6150,2736,6128,2742,6126,2742,6108,2751e" filled="false" stroked="true" strokeweight=".06pt" strokecolor="#231f20">
              <v:path arrowok="t"/>
            </v:shape>
            <v:shape style="position:absolute;left:5940;top:2735;width:155;height:169" type="#_x0000_t75" stroked="false">
              <v:imagedata r:id="rId11" o:title=""/>
            </v:shape>
            <v:shape style="position:absolute;left:46397;top:-99277;width:19160;height:21440" coordorigin="46397,-99277" coordsize="19160,21440" path="m5913,2910l5907,2913,5904,2919,5889,2941,5886,2947,5876,2963,5864,2983,5852,3008,5844,3024,5844,3030,5832,3050,5818,3072,5812,3097,5804,3117,5798,3131,5794,3139,5788,3161,5780,3182,5776,3204,5776,3206,5770,3228,5767,3249,5764,3271,5761,3295,5758,3317,5758,3360,5761,3381,5764,3405,5767,3427,5774,3449,5776,3455,5780,3469,5792,3491,5798,3506,5804,3516,5818,3536,5818,3540,5834,3558,5844,3564,5864,3585,5886,3601,5907,3613,5928,3625,5931,3625,5953,3631,5973,3637,5995,3644,6019,3647,6074,3647m7867,3091l7857,3097,7842,3103,7821,3117,7800,3131,7790,3139,7776,3149,7766,3161,7754,3176,7752,3182,7736,3206,7732,3216,7726,3228,7724,3249,7720,3271,7720,3295,7724,3317,7730,3338,7732,3344,7742,3360,7752,3381,7754,3390,7764,3405,7776,3427,7794,3449,7800,3457,7833,3491,7842,3506,7867,3530m7411,1269l7426,1293,7438,1315,7448,1327,7454,1337,7468,1357,7484,1382,7490,1391,7500,1404,7512,1422,7514,1424,7530,1446,7536,1455,7545,1467,7557,1489,7557,1493,7569,1513,7578,1529,7585,1535,7593,1556,7599,1574,7605,1578,7615,1599,7623,1623,7623,1627,7629,1645,7635,1667,7642,1688,7645,1700,7648,1709,7651,1734,7654,1755,7657,1776,7657,1886,7654,1908,7648,1929,7648,1951,7654,1975,7666,1991,7672,1997,7690,2005,7712,2009,7732,2003,7752,1997,7754,1993,7776,1985,7800,1977,7809,1975,7821,1969,7842,1963,7867,1953m6108,3821l6128,3815,6171,3803,6180,3799,6195,3793,6217,3785,6237,3775,6261,3765,6280,3753,6283,3753,6304,3741,6316,3732,6326,3726,6346,3711,6370,3692,6374,3690,6392,3674,6398,3668,6416,3653,6420,3647,6438,3629,6444,3625,6459,3607,6487,3579,6501,3561,6507,3558,6523,3536,6525,3536,6544,3516,6547,3512,6565,3491,6586,3469,6592,3467,6614,3449,6634,3427,6656,3408,6660,3405,6678,3384,6723,3338,6741,3317,6744,3311,6759,3295,6769,3283,6777,3271,6789,3253,6789,3249,6801,3228,6811,3216,6817,3206,6826,3182,6832,3170,6838,3161,6850,3117,6853,3103,6856,3097,6859,3072,6862,3050,6862,3008,6859,2983,6856,2963,6853,2953,6850,2941,6847,2919,6838,2898,6832,2886,6829,2874,6817,2852,6811,2840,6805,2831,6793,2809,6789,2803,6777,2787,6769,2775,6759,2767,6744,2745,6720,2720,6698,2702,6696,2700,6678,2684,6672,2678,6656,2666,6640,2657,6634,2653,6614,2639,6602,2635,6592,2625,6568,2617,6556,2613,6547,2607,6523,2601,6501,2592,6493,2592,6480,2586,6459,2580,6438,2577,6416,2574,6392,2568,6370,2568,6346,2564,6326,2564,6304,2562,6195,2562,6171,2564,6150,2564,6144,2568,6128,2568,6108,2574,6086,2577,6062,2583,6050,2592,6040,2592,6019,2601,5998,2613,5995,2613,5973,2625,5965,2635,5953,2641,5934,2657,5931,2659,5910,2678,5886,2702,5870,2720,5864,2730,5852,2742,5844,2754,5834,2767,5818,2785,5818,2787,5806,2809,5798,2821,5792,2831,5776,2852,5776,2855,5764,2874,5755,2895,5752,2898,5740,2919,5731,2935,5728,2941,5719,2963,5709,2977,5707,2983,5697,3008,5689,3024,5685,3030,5677,3050,5667,3069,5665,3072,5655,3097,5646,3117,5646,3121,5637,3139,5628,3161,5622,3176,5619,3182,5613,3206,5607,3228,5600,3240,5598,3249,5592,3271,5586,3295,5582,3317,5580,3326,5576,3338,5574,3360,5570,3381,5568,3405,5568,3491,5570,3516,5574,3536,5580,3558,5582,3579,5592,3601,5600,3625,5610,3647,5622,3668,5637,3690,5646,3702,5652,3711,5667,3729,5689,3751,5695,3753,5709,3769,5722,3775,5731,3785,5755,3797,5758,3799,5776,3806,5798,3815,5812,3821,5818,3824,5844,3830,5864,3833,5907,3840,5931,3842,5973,3842,5995,3840,6019,3836,6040,3833,6062,3830,6086,3827,6108,3821e" filled="false" stroked="true" strokeweight=".06pt" strokecolor="#231f20">
              <v:path arrowok="t"/>
            </v:shape>
            <v:shape style="position:absolute;left:6771;top:1534;width:238;height:295" type="#_x0000_t75" stroked="false">
              <v:imagedata r:id="rId12" o:title=""/>
            </v:shape>
            <v:shape style="position:absolute;left:52357;top:-102847;width:9330;height:3440" coordorigin="52357,-102847" coordsize="9330,3440" path="m7381,1205l7390,1226,7402,1248,7402,1254m6283,841l6286,853,6295,875,6304,896,6313,918,6322,942e" filled="false" stroked="true" strokeweight=".06pt" strokecolor="#231f20">
              <v:path arrowok="t"/>
            </v:shape>
            <v:shape style="position:absolute;left:6316;top:975;width:128;height:179" type="#_x0000_t75" stroked="false">
              <v:imagedata r:id="rId13" o:title=""/>
            </v:shape>
            <v:shape style="position:absolute;left:6414;top:1177;width:465;height:899" coordorigin="6414,1177" coordsize="465,899" path="m6414,1177l6416,1183,6422,1205,6428,1226,6438,1248,6444,1269,6450,1293,6456,1315,6459,1317,6462,1337,6468,1357,6477,1382,6480,1398,6483,1404,6487,1424,6493,1446,6499,1467,6501,1489,6505,1493,6507,1513,6513,1535,6517,1556,6523,1578,6523,1580,6531,1599,6535,1623,6541,1645,6547,1663,6547,1667,6553,1688,6559,1709,6565,1734,6568,1736,6574,1755,6583,1776,6602,1819,6610,1841,6614,1850,6620,1865,6628,1886,6634,1896,6640,1908,6654,1929,6656,1932,6668,1951,6678,1969,6684,1975,6698,1997,6698,1999,6720,2018,6744,2042,6769,2058,6777,2060,6789,2066,6811,2076,6853,2076,6878,2070e" filled="false" stroked="true" strokeweight=".06pt" strokecolor="#231f20">
              <v:path arrowok="t"/>
            </v:shape>
            <v:shape style="position:absolute;left:6907;top:1910;width:162;height:157" type="#_x0000_t75" stroked="false">
              <v:imagedata r:id="rId14" o:title=""/>
            </v:shape>
            <v:shape style="position:absolute;left:7083;top:1874;width:750;height:761" coordorigin="7083,1874" coordsize="750,761" path="m7083,1929l7096,1920,7108,1908,7117,1902,7148,1886,7162,1880,7184,1874,7226,1874,7250,1877,7272,1884,7272,1886,7293,1898,7309,1908,7315,1917,7333,1929,7339,1938,7351,1951,7359,1963,7369,1975,7381,1991,7384,1997,7399,2018,7402,2024,7418,2039,7426,2052,7432,2060,7448,2082,7448,2085,7468,2106,7468,2109,7490,2131,7512,2149,7536,2167,7542,2171,7557,2180,7578,2195,7581,2195,7599,2201,7623,2210,7639,2216,7645,2216,7666,2226,7690,2232,7708,2238,7712,2238,7732,2250,7754,2259,7754,2262,7776,2277,7782,2283,7800,2299,7803,2305,7818,2327,7821,2335,7824,2348,7830,2369,7833,2394,7833,2415,7830,2437,7824,2457,7821,2463,7815,2483,7806,2504,7800,2513,7794,2525,7776,2544,7776,2546,7758,2568,7754,2568,7736,2592,7732,2592,7712,2611,7712,2613,7690,2629,7684,2635e" filled="false" stroked="true" strokeweight=".06pt" strokecolor="#231f20">
              <v:path arrowok="t"/>
            </v:shape>
            <v:shape style="position:absolute;left:7489;top:2607;width:174;height:142" type="#_x0000_t75" stroked="false">
              <v:imagedata r:id="rId15" o:title=""/>
            </v:shape>
            <v:shape style="position:absolute;left:6744;top:2360;width:713;height:407" coordorigin="6744,2360" coordsize="713,407" path="m7456,2748l7448,2751,7426,2757,7402,2760,7359,2767,7339,2767,7315,2763,7293,2760,7272,2754,7250,2751,7236,2742,7226,2742,7206,2733,7186,2720,7184,2720,7162,2708,7148,2700,7141,2693,7117,2681,7117,2678,7096,2663,7087,2657,7075,2645,7063,2635,7053,2625,7035,2613,7029,2607,7011,2592,7008,2586,6987,2564,6966,2546,6966,2544,6944,2525,6944,2522,6922,2504,6920,2497,6902,2483,6898,2477,6878,2455,6856,2437,6853,2433,6832,2415,6811,2396,6801,2394,6789,2382,6769,2369,6744,2360e" filled="false" stroked="true" strokeweight=".06pt" strokecolor="#231f20">
              <v:path arrowok="t"/>
            </v:shape>
            <v:shape style="position:absolute;left:6525;top:2372;width:38;height:16" coordorigin="6525,2372" coordsize="38,16" path="m6562,2372l6525,2376,6525,2388,6562,2384,6562,2372xe" filled="true" fillcolor="#231f20" stroked="false">
              <v:path arrowok="t"/>
              <v:fill type="solid"/>
            </v:shape>
            <v:shape style="position:absolute;left:6525;top:2372;width:38;height:16" coordorigin="6525,2372" coordsize="38,16" path="m6525,2388l6525,2376,6562,2372,6562,2384,6525,2388xe" filled="false" stroked="true" strokeweight=".06pt" strokecolor="#231f20">
              <v:path arrowok="t"/>
            </v:shape>
            <v:shape style="position:absolute;left:6580;top:2315;width:40;height:98" coordorigin="6580,2315" coordsize="40,98" path="m6614,2315l6604,2315,6604,2317,6602,2321,6602,2323,6596,2327,6592,2329,6589,2335,6604,2335,6604,2412,6620,2412,6614,2315xm6604,2335l6583,2335,6580,2339,6580,2351,6583,2348,6589,2348,6598,2339,6602,2339,6604,2335xe" filled="true" fillcolor="#231f20" stroked="false">
              <v:path arrowok="t"/>
              <v:fill type="solid"/>
            </v:shape>
            <v:shape style="position:absolute;left:6580;top:2315;width:40;height:98" coordorigin="6580,2315" coordsize="40,98" path="m6620,2412l6604,2412,6604,2335,6602,2339,6598,2339,6589,2348,6583,2348,6580,2351,6580,2339,6583,2335,6589,2335,6592,2329,6596,2327,6602,2323,6602,2321,6604,2317,6604,2315,6614,2315,6620,2412xe" filled="false" stroked="true" strokeweight=".06pt" strokecolor="#231f20">
              <v:path arrowok="t"/>
            </v:shape>
            <v:shape style="position:absolute;left:6648;top:2315;width:64;height:95" coordorigin="6648,2315" coordsize="64,95" path="m6660,2384l6648,2384,6650,2390,6650,2396,6654,2403,6660,2406,6662,2406,6666,2409,6686,2409,6692,2406,6698,2403,6674,2403,6672,2400,6668,2400,6662,2394,6662,2388,6660,2384xm6702,2354l6680,2354,6684,2357,6690,2357,6692,2363,6696,2366,6698,2372,6698,2382,6696,2388,6696,2390,6684,2403,6698,2403,6705,2396,6705,2394,6711,2388,6711,2370,6708,2363,6705,2357,6702,2354xm6705,2315l6656,2315,6650,2366,6660,2366,6666,2360,6666,2357,6672,2357,6674,2354,6702,2354,6698,2351,6662,2351,6666,2327,6705,2323,6705,2315xm6690,2345l6672,2345,6666,2348,6662,2351,6698,2351,6696,2348,6690,2345xe" filled="true" fillcolor="#231f20" stroked="false">
              <v:path arrowok="t"/>
              <v:fill type="solid"/>
            </v:shape>
            <v:shape style="position:absolute;left:48487;top:-90567;width:7440;height:1420" coordorigin="48487,-90567" coordsize="7440,1420" path="m6648,2384l6660,2384,6662,2388,6662,2394,6668,2400,6672,2400,6674,2403,6684,2403,6696,2390,6696,2388,6698,2382,6698,2372,6696,2366,6692,2363,6690,2357,6684,2357,6680,2354,6674,2354,6672,2357,6666,2357,6666,2360,6660,2366,6650,2366,6656,2315,6705,2315,6705,2323,6666,2327,6662,2351,6666,2348,6672,2345,6690,2345,6696,2348,6705,2357,6708,2363,6711,2370,6711,2388,6705,2394,6705,2396,6698,2403,6692,2406,6686,2409,6666,2409,6662,2406,6660,2406,6654,2403,6650,2396,6650,2390,6648,2384xm6493,2369l6489,2369,6480,2372,6459,2376,6438,2378,6416,2382,6392,2384,6370,2388,6346,2388,6326,2390,6313,2394,6150,2394,6128,2390,6108,2388,6086,2384,6062,2382,6040,2378,6019,2376,5995,2372,5983,2369,5973,2369,5953,2366,5937,2369,5931,2372,5907,2390,5907,2394,5886,2409,5886,2415,5864,2433,5864,2437,5844,2457,5826,2483,5818,2485e" filled="false" stroked="true" strokeweight=".06pt" strokecolor="#231f20">
              <v:path arrowok="t"/>
            </v:shape>
            <v:shape style="position:absolute;left:5706;top:2494;width:128;height:191" type="#_x0000_t75" stroked="false">
              <v:imagedata r:id="rId16" o:title=""/>
            </v:shape>
            <v:shape style="position:absolute;left:5346;top:2706;width:346;height:654" coordorigin="5346,2706" coordsize="346,654" path="m5691,2706l5689,2712,5685,2720,5673,2742,5667,2757,5661,2767,5652,2787,5646,2803,5643,2809,5631,2831,5622,2849,5622,2852,5610,2874,5600,2892,5598,2898,5588,2919,5580,2935,5574,2941,5564,2963,5558,2975,5552,2983,5540,3008,5534,3014,5528,3030,5512,3050,5500,3072,5491,3087,5485,3097,5473,3117,5470,3125,5461,3139,5449,3161,5433,3182,5425,3198,5421,3206,5409,3228,5403,3240,5397,3249,5385,3271,5382,3279,5376,3295,5364,3317,5361,3329,5355,3338,5346,3360e" filled="false" stroked="true" strokeweight=".06pt" strokecolor="#231f20">
              <v:path arrowok="t"/>
            </v:shape>
            <v:shape style="position:absolute;left:5260;top:3383;width:116;height:438" type="#_x0000_t75" stroked="false">
              <v:imagedata r:id="rId17" o:title=""/>
            </v:shape>
            <v:shape style="position:absolute;left:5877;top:4010;width:176;height:133" type="#_x0000_t75" stroked="false">
              <v:imagedata r:id="rId18" o:title=""/>
            </v:shape>
            <v:shape style="position:absolute;left:6074;top:3625;width:582;height:413" coordorigin="6074,3625" coordsize="582,413" path="m6074,4038l6086,4035,6108,4022,6114,4020,6128,4010,6150,4002,6156,3995,6171,3989,6195,3980,6198,3974,6217,3965,6237,3955,6243,3953,6261,3943,6283,3933,6286,3931,6304,3921,6326,3909,6328,3909,6346,3897,6368,3885,6370,3885,6392,3870,6398,3864,6416,3852,6426,3842,6438,3833,6447,3821,6459,3812,6468,3799,6535,3732,6547,3723,6568,3702,6583,3690,6592,3684,6604,3668,6614,3662,6632,3647,6634,3644,6656,3625e" filled="false" stroked="true" strokeweight=".06pt" strokecolor="#231f20">
              <v:path arrowok="t"/>
            </v:shape>
            <v:shape style="position:absolute;left:6685;top:3462;width:166;height:161" type="#_x0000_t75" stroked="false">
              <v:imagedata r:id="rId19" o:title=""/>
            </v:shape>
            <v:shape style="position:absolute;left:39897;top:-100557;width:25660;height:32070" coordorigin="39897,-100557" coordsize="25660,32070" path="m6862,3482l6878,3475,6886,3469,6898,3463,6920,3449,6922,3449,6944,3435,6962,3427,6966,3423,6987,3415,7005,3405,7008,3402,7029,3390,7053,3381,7075,3372,7096,3366,7108,3360,7117,3356,7141,3350,7162,3347,7184,3344,7206,3341,7226,3341,7250,3344,7272,3347,7293,3356,7309,3360,7339,3372,7353,3381,7359,3384,7381,3396,7393,3405,7402,3411,7426,3427,7448,3441,7456,3449,7468,3461,7482,3469,7490,3475,7508,3491,7512,3494,7536,3512,7539,3516,7557,3528,7566,3536,7578,3546,7591,3558,7599,3564,7623,3579,7623,3583,7645,3595,7654,3601,7666,3613,7684,3625,7690,3625,7712,3641,7720,3647,7732,3653,7754,3665,7760,3668,7776,3674,7800,3686,7809,3690,7821,3696,7842,3704,7863,3711,7867,3711m7845,4964l7842,4964,7821,4960,7800,4954,7776,4946,7766,4942,7754,4939,7732,4930,7712,4921,7708,4921,7690,4912,7666,4903,7663,4897,7645,4891,7623,4878,7617,4875,7599,4866,7578,4854,7557,4842,7542,4832,7536,4830,7512,4818,7496,4810,7490,4808,7468,4802,7448,4796,7426,4796,7402,4798,7381,4808,7375,4810,7359,4818,7339,4826,7317,4832,7315,4832,7293,4842,7272,4844,7250,4851,7226,4854,7206,4857,7184,4860,7162,4863,7117,4863,7096,4866,7075,4863,7008,4863,6987,4860,6966,4857,6944,4854,6920,4854,6898,4851,6811,4851,6789,4854,6787,4854,6769,4857,6744,4863,6723,4872,6711,4875,6698,4881,6678,4893,6666,4897,6656,4905,6634,4921,6632,4921,6614,4933,6598,4942,6592,4948,6568,4960,6562,4964m5864,1116l5864,1122,5870,1137,5880,1159,5886,1177,5889,1183,5904,1205,5907,1214,5922,1226,5931,1236,5947,1248,5953,1254,5971,1269,5973,1275,6019,1321,6031,1337,6040,1349,6050,1357,6062,1373,6068,1382,6086,1400,6086,1404,6104,1424,6108,1428,6120,1446,6128,1458,6138,1467,6150,1485,6152,1493,6171,1513,6171,1517,6195,1547,6201,1556,6217,1578,6219,1578,6231,1599,6237,1605,6249,1623,6261,1635,6265,1645,6280,1667,6283,1669,6295,1688,6304,1700,6310,1709,6326,1734,6340,1755,6346,1764,6356,1776,6368,1797,6370,1803,6380,1819,6392,1841,6404,1865,6414,1886,6416,1890,6420,1908,6428,1929,6435,1951,6438,1953,6441,1975,6444,1997,6447,2018,6447,2039,6444,2060,6441,2085,6438,2097,6435,2106,6426,2127,6416,2143,6410,2149,6392,2171,6370,2189,6364,2195,6346,2204,6328,2216,6326,2216,6304,2226,6261,2238,6237,2238,6217,2241,6195,2241,6171,2238,6162,2238,6150,2234,6128,2232,6108,2226,6086,2220,6076,2216,6062,2210,6040,2201,6019,2195,6013,2195,5995,2189,5973,2180,5953,2177,5934,2171,5931,2171,5907,2167,5844,2167,5818,2171,5798,2177,5776,2189,5764,2195,5755,2201,5734,2216,5731,2216,5709,2238,5695,2259,5689,2268,5679,2283,5655,2327,5646,2348,5637,2369,5628,2394,5622,2400,5619,2415,5610,2437,5600,2457,5592,2483,5586,2504,5580,2522,5580,2525,5568,2568,5558,2592,5558,2595,5552,2613,5540,2657,5534,2675,5534,2678,5528,2700,5522,2720,5516,2742,5512,2751,5510,2767,5500,2787,5491,2809,5479,2831,5470,2852,5470,2855,5458,2874,5449,2892,5443,2898,5425,2919,5425,2922,5407,2941,5403,2947,5389,2963,5382,2971,5367,2983,5361,2993,5343,3008,5337,3014,5318,3030,5316,3032,5294,3050,5294,3054,5272,3072,5270,3072,5248,3091,5242,3097,5228,3109,5206,3131,5194,3139,5185,3149,5167,3161,5163,3167,5143,3182,5139,3188,5119,3206,5097,3228,5073,3249,5052,3271,5030,3295,4988,3338,4988,3341,4948,3381,4942,3390,4930,3405,4918,3417,4912,3427,4897,3445,4897,3449,4881,3469,4875,3475,4863,3491,4855,3506,4849,3516,4833,3536,4818,3558,4812,3570,4803,3579,4791,3601,4788,3607m6122,4524l6120,4502,6116,4480,6114,4460,6114,4439,6116,4413,6120,4393,6122,4371,6128,4356,6132,4350,6138,4328,6146,4304,6150,4298,6159,4282,6171,4261,6171,4257,6195,4221,6198,4218,6217,4197,6217,4190,6231,4172,6261,4142,6271,4129,6283,4121,6320,4083,6326,4081,6346,4062,6370,4044,6374,4041,6392,4028,6404,4020,6416,4010,6435,3995,6438,3995,6459,3980,6462,3974,6480,3961,6493,3953,6501,3943,6517,3931,6523,3925,6544,3909,6547,3903,6568,3885,6592,3866,6592,3864,6614,3846,6620,3842,6634,3830,6644,3821,6656,3812,6672,3799,6678,3793,6698,3779,6702,3775,6723,3765,6738,3753,6744,3753,6769,3741,6783,3732,6789,3729,6811,3720,6832,3711,6853,3704,6878,3696,6898,3690,6920,3684,6944,3678,6966,3674,6987,3668,6990,3668,7008,3665,7029,3662,7053,3656,7075,3653,7096,3653,7117,3650,7206,3650,7226,3653,7250,3656,7272,3659,7293,3665,7296,3668,7315,3674,7339,3684,7359,3690,7381,3696,7402,3704,7418,3711,7426,3714,7448,3723,7468,3732,7472,3732,7490,3741,7512,3751,7526,3753,7536,3757,7557,3765,7578,3775,7585,3775,7599,3785,7623,3791,7645,3799,7666,3809,7690,3815,7702,3821,7712,3824,7732,3833,7754,3842,7758,3842,7776,3852,7800,3864,7806,3864,7821,3873,7842,3885,7867,3903m7867,4518l7848,4524,7842,4527,7821,4536,7800,4545,7784,4548,7776,4548,7754,4555,7732,4557,7712,4561,7690,4563,7512,4563,7490,4561,7448,4561,7426,4563,7359,4563,7339,4567,7315,4569,7293,4569,7272,4575,7250,4579,7226,4579,7206,4585,7184,4589,7172,4591,7162,4594,7141,4597,7117,4603,7096,4606,7075,4609,7057,4612,7053,4615,7029,4618,7008,4622,6987,4628,6966,4630,6944,4634,6920,4640,6898,4642,6878,4646,6853,4648,6832,4656,6829,4658,6811,4662,6789,4664,6769,4668,6744,4674,6723,4676,6717,4680,6698,4682,6678,4686,6656,4689,6634,4695,6614,4698,6598,4701,6592,4701,6568,4704,6547,4707,6523,4710,6501,4713,6416,4713,6392,4710,6370,4707,6346,4704,6334,4701,6326,4698,6283,4686,6268,4680,6237,4664,6229,4658,6217,4648,6198,4634,6195,4634e" filled="false" stroked="true" strokeweight=".06pt" strokecolor="#231f20">
              <v:path arrowok="t"/>
            </v:shape>
            <v:shape style="position:absolute;left:5695;top:1327;width:24;height:38" coordorigin="5695,1327" coordsize="24,38" path="m5707,1327l5695,1333,5707,1364,5719,1361,5707,1327xe" filled="true" fillcolor="#231f20" stroked="false">
              <v:path arrowok="t"/>
              <v:fill type="solid"/>
            </v:shape>
            <v:shape style="position:absolute;left:45107;top:-98797;width:3010;height:5930" coordorigin="45107,-98797" coordsize="3010,5930" path="m5695,1333l5707,1327,5719,1361,5707,1364,5695,1333xm5764,1461l5764,1467,5767,1493,5770,1513,5774,1535,5774,1556,5770,1578,5770,1599,5764,1623,5758,1645,5755,1651,5749,1667,5734,1688,5731,1691,5716,1709,5691,1734,5689,1734,5667,1752,5661,1755,5646,1764,5628,1776,5622,1779,5600,1791,5592,1797,5580,1803,5558,1819,5534,1835,5524,1841,5512,1853,5498,1865,5470,1892,5461,1908,5449,1926,5446,1929,5433,1951,5425,1975,5425,1977,5419,1997,5415,2018,5413,2039e" filled="false" stroked="true" strokeweight=".06pt" strokecolor="#231f20">
              <v:path arrowok="t"/>
            </v:shape>
            <v:shape style="position:absolute;left:5413;top:2149;width:12;height:38" coordorigin="5413,2149" coordsize="12,38" path="m5425,2149l5415,2149,5413,2186,5425,2186,5425,2149xe" filled="true" fillcolor="#231f20" stroked="false">
              <v:path arrowok="t"/>
              <v:fill type="solid"/>
            </v:shape>
            <v:shape style="position:absolute;left:5413;top:2149;width:12;height:38" coordorigin="5413,2149" coordsize="12,38" path="m5425,2186l5413,2186,5415,2149,5425,2149,5425,2186xe" filled="false" stroked="true" strokeweight=".06pt" strokecolor="#231f20">
              <v:path arrowok="t"/>
            </v:shape>
            <v:shape style="position:absolute;left:5361;top:2076;width:98;height:64" coordorigin="5361,2076" coordsize="98,64" path="m5452,2088l5431,2088,5433,2091,5440,2091,5449,2100,5449,2115,5440,2125,5433,2127,5431,2127,5431,2139,5437,2139,5443,2137,5449,2133,5452,2131,5455,2125,5455,2121,5458,2115,5458,2100,5455,2094,5452,2088xm5373,2079l5361,2079,5361,2127,5409,2137,5413,2125,5409,2125,5407,2121,5401,2121,5373,2119,5373,2079xm5443,2079l5407,2079,5397,2088,5395,2094,5395,2100,5391,2106,5395,2109,5395,2119,5401,2121,5407,2121,5407,2119,5403,2115,5403,2100,5415,2088,5452,2088,5449,2082,5443,2079xm5431,2076l5415,2076,5413,2079,5437,2079,5431,2076xe" filled="true" fillcolor="#231f20" stroked="false">
              <v:path arrowok="t"/>
              <v:fill type="solid"/>
            </v:shape>
            <v:shape style="position:absolute;left:43207;top:-92557;width:2280;height:6240" coordorigin="43207,-92557" coordsize="2280,6240" path="m5431,2139l5431,2127,5433,2127,5440,2125,5449,2115,5449,2100,5440,2091,5433,2091,5431,2088,5415,2088,5403,2100,5403,2115,5407,2119,5407,2121,5409,2125,5413,2125,5409,2137,5361,2127,5361,2079,5373,2079,5373,2119,5401,2121,5395,2119,5395,2109,5391,2106,5395,2100,5395,2094,5397,2088,5407,2079,5413,2079,5415,2076,5431,2076,5437,2079,5443,2079,5449,2082,5452,2088,5455,2094,5458,2100,5458,2115,5455,2121,5455,2125,5452,2131,5449,2133,5443,2137,5437,2139,5431,2139xm5407,2220l5407,2238,5403,2256,5403,2259,5397,2283,5385,2327,5382,2335,5376,2348,5373,2369,5367,2394,5361,2415,5361,2424,5355,2437,5352,2457,5346,2483,5343,2504,5340,2525,5337,2546,5337,2568,5334,2592,5334,2678,5337,2696,5337,2700,5343,2720,5343,2742,5337,2767,5337,2769,5324,2787,5316,2797,5294,2809,5272,2813,5248,2815,5228,2819,5206,2821,5185,2825e" filled="false" stroked="true" strokeweight=".06pt" strokecolor="#231f20">
              <v:path arrowok="t"/>
            </v:shape>
            <v:shape style="position:absolute;left:5039;top:2778;width:110;height:102" type="#_x0000_t75" stroked="false">
              <v:imagedata r:id="rId20" o:title=""/>
            </v:shape>
            <v:shape style="position:absolute;left:4348;top:2840;width:658;height:159" coordorigin="4348,2840" coordsize="658,159" path="m5006,2840l4742,2840,4720,2843,4700,2843,4678,2846,4657,2849,4639,2852,4633,2855,4611,2862,4591,2868,4569,2874,4567,2880,4545,2888,4524,2895,4521,2898,4502,2907,4482,2919,4478,2919,4458,2931,4438,2941,4436,2943,4414,2959,4402,2963,4390,2971,4369,2983,4348,2999e" filled="false" stroked="true" strokeweight=".06pt" strokecolor="#231f20">
              <v:path arrowok="t"/>
            </v:shape>
            <v:shape style="position:absolute;left:6379;top:4102;width:140;height:379" type="#_x0000_t75" stroked="false">
              <v:imagedata r:id="rId21" o:title=""/>
            </v:shape>
            <v:shape style="position:absolute;left:6519;top:3907;width:665;height:202" coordorigin="6519,3907" coordsize="665,202" path="m6519,4108l6523,4108,6523,4105,6547,4089,6553,4083,6568,4075,6589,4062,6592,4062,6614,4050,6622,4041,6634,4035,6656,4020,6678,4002,6684,3995,6698,3986,6714,3974,6723,3965,6738,3953,6744,3949,6769,3931,6789,3919,6811,3909,6814,3909,6832,3907,6850,3909,6853,3909,6878,3915,6898,3921,6920,3925,6944,3927,6962,3931,6966,3931,6987,3933,7008,3941,7029,3943,7053,3949,7069,3953,7075,3953,7096,3959,7117,3961,7141,3965,7162,3971,7184,3974e" filled="false" stroked="true" strokeweight=".06pt" strokecolor="#231f20">
              <v:path arrowok="t"/>
            </v:shape>
            <v:shape style="position:absolute;left:7211;top:3946;width:502;height:343" type="#_x0000_t75" stroked="false">
              <v:imagedata r:id="rId22" o:title=""/>
            </v:shape>
            <v:shape style="position:absolute;left:6489;top:4237;width:826;height:263" coordorigin="6489,4237" coordsize="826,263" path="m7315,4237l7296,4239,7293,4239,7272,4243,7250,4249,7226,4251,7206,4257,7200,4261,7184,4267,7141,4279,7135,4282,7117,4289,7096,4298,7083,4304,7075,4310,7053,4319,7035,4328,7029,4332,7008,4340,6993,4350,6987,4352,6966,4362,6950,4371,6944,4377,6920,4386,6908,4393,6898,4399,6878,4411,6865,4413,6853,4419,6832,4432,6823,4439,6811,4441,6789,4450,6771,4460,6769,4460,6744,4469,6723,4478,6711,4480,6698,4484,6678,4490,6656,4494,6634,4496,6614,4500,6568,4500,6547,4496,6523,4494,6501,4486,6489,4480e" filled="false" stroked="true" strokeweight=".06pt" strokecolor="#231f20">
              <v:path arrowok="t"/>
            </v:shape>
            <v:shape style="position:absolute;left:6139;top:1980;width:116;height:118" type="#_x0000_t75" stroked="false">
              <v:imagedata r:id="rId23" o:title=""/>
            </v:shape>
            <v:shape style="position:absolute;left:30417;top:-108937;width:44540;height:49060" coordorigin="30417,-108937" coordsize="44540,49060" path="m5470,1382l5476,1404,5479,1424,5479,1446,5470,1461,5464,1467,5449,1485,5443,1493,5425,1507,5382,1550,5373,1556,5361,1566,5343,1578,5337,1584,5316,1596,5310,1599,5294,1611,5272,1623,5248,1635,5228,1645,5206,1655,5185,1661,5167,1667,5163,1669,5139,1673,5119,1675,5073,1675,5052,1673,5030,1667,5030,1663,5010,1655,4996,1645,4988,1633,4978,1623,4966,1599,4964,1593,4958,1578,4954,1556,4958,1535,4960,1513,4964,1501,4964,1493,4972,1467m3678,5970l8967,5970m4339,5997l4339,5970m5167,5997l5167,5970m5992,5997l5992,5970m6820,5997l6820,5970m7645,5997l7645,5970m8473,5997l8473,5970m3678,138l8967,138m4339,138l4339,110m5167,138l5167,110m5992,138l5992,110m6820,138l6820,110m7645,138l7645,110m8473,138l8473,110m3678,5970l3678,138m3678,5970l3650,5970m3678,5134l3650,5134m3678,4304l3650,4304m3678,3469l3650,3469m3678,2635l3650,2635m3678,1803l3650,1803m3678,969l3650,969m3678,138l3650,138m8967,5970l8967,138m8995,5970l8967,5970m8995,5134l8967,5134m8995,4304l8967,4304m8995,3469l8967,3469m8995,2635l8967,2635m8995,1803l8967,1803m8995,969l8967,969m8995,138l8967,138e" filled="false" stroked="true" strokeweight=".06pt" strokecolor="#231f20">
              <v:path arrowok="t"/>
            </v:shape>
            <v:line style="position:absolute" from="5106,1608" to="5106,1755" stroked="true" strokeweight="3.66pt" strokecolor="#ffffff"/>
            <v:shape style="position:absolute;left:5143;top:900;width:500;height:273" type="#_x0000_t202" filled="false" stroked="false">
              <v:textbox inset="0,0,0,0">
                <w:txbxContent>
                  <w:p>
                    <w:pPr>
                      <w:spacing w:line="127" w:lineRule="exact" w:before="0"/>
                      <w:ind w:left="0" w:right="-17" w:firstLine="0"/>
                      <w:jc w:val="left"/>
                      <w:rPr>
                        <w:rFonts w:ascii="Times New Roman"/>
                        <w:sz w:val="12"/>
                      </w:rPr>
                    </w:pPr>
                    <w:r>
                      <w:rPr>
                        <w:b/>
                        <w:color w:val="231F20"/>
                        <w:w w:val="105"/>
                        <w:sz w:val="12"/>
                        <w:shd w:fill="FFFFFF" w:color="auto" w:val="clear"/>
                      </w:rPr>
                      <w:t>PRESA</w:t>
                    </w:r>
                    <w:r>
                      <w:rPr>
                        <w:rFonts w:ascii="Times New Roman"/>
                        <w:color w:val="231F20"/>
                        <w:sz w:val="12"/>
                        <w:shd w:fill="FFFFFF" w:color="auto" w:val="clear"/>
                      </w:rPr>
                      <w:t> </w:t>
                    </w:r>
                  </w:p>
                  <w:p>
                    <w:pPr>
                      <w:spacing w:line="136" w:lineRule="exact" w:before="9"/>
                      <w:ind w:left="0" w:right="-17" w:firstLine="0"/>
                      <w:jc w:val="left"/>
                      <w:rPr>
                        <w:b/>
                        <w:sz w:val="12"/>
                      </w:rPr>
                    </w:pPr>
                    <w:r>
                      <w:rPr>
                        <w:b/>
                        <w:color w:val="231F20"/>
                        <w:w w:val="105"/>
                        <w:sz w:val="12"/>
                        <w:shd w:fill="FFFFFF" w:color="auto" w:val="clear"/>
                      </w:rPr>
                      <w:t>ALZATE</w:t>
                    </w:r>
                  </w:p>
                </w:txbxContent>
              </v:textbox>
              <w10:wrap type="none"/>
            </v:shape>
            <v:shape style="position:absolute;left:7724;top:754;width:824;height:276" type="#_x0000_t202" filled="false" stroked="false">
              <v:textbox inset="0,0,0,0">
                <w:txbxContent>
                  <w:p>
                    <w:pPr>
                      <w:spacing w:line="127" w:lineRule="exact" w:before="0"/>
                      <w:ind w:left="0" w:right="-16" w:firstLine="0"/>
                      <w:jc w:val="left"/>
                      <w:rPr>
                        <w:rFonts w:ascii="Times New Roman"/>
                        <w:sz w:val="12"/>
                      </w:rPr>
                    </w:pPr>
                    <w:r>
                      <w:rPr>
                        <w:b/>
                        <w:color w:val="231F20"/>
                        <w:w w:val="105"/>
                        <w:sz w:val="12"/>
                        <w:shd w:fill="FFFFFF" w:color="auto" w:val="clear"/>
                      </w:rPr>
                      <w:t>SIERRA DE</w:t>
                    </w:r>
                    <w:r>
                      <w:rPr>
                        <w:rFonts w:ascii="Times New Roman"/>
                        <w:color w:val="231F20"/>
                        <w:sz w:val="12"/>
                        <w:shd w:fill="FFFFFF" w:color="auto" w:val="clear"/>
                      </w:rPr>
                      <w:t> </w:t>
                    </w:r>
                  </w:p>
                  <w:p>
                    <w:pPr>
                      <w:spacing w:line="136" w:lineRule="exact" w:before="12"/>
                      <w:ind w:left="0" w:right="-16" w:firstLine="0"/>
                      <w:jc w:val="left"/>
                      <w:rPr>
                        <w:b/>
                        <w:sz w:val="12"/>
                      </w:rPr>
                    </w:pPr>
                    <w:r>
                      <w:rPr>
                        <w:b/>
                        <w:color w:val="231F20"/>
                        <w:w w:val="105"/>
                        <w:sz w:val="12"/>
                        <w:shd w:fill="FFFFFF" w:color="auto" w:val="clear"/>
                      </w:rPr>
                      <w:t>LAS CRUCES</w:t>
                    </w:r>
                  </w:p>
                </w:txbxContent>
              </v:textbox>
              <w10:wrap type="none"/>
            </v:shape>
            <v:shape style="position:absolute;left:5070;top:1621;width:71;height:126" type="#_x0000_t202" filled="false" stroked="false">
              <v:textbox inset="0,0,0,0">
                <w:txbxContent>
                  <w:p>
                    <w:pPr>
                      <w:spacing w:line="125" w:lineRule="exact" w:before="0"/>
                      <w:ind w:left="0" w:right="0" w:firstLine="0"/>
                      <w:jc w:val="left"/>
                      <w:rPr>
                        <w:b/>
                        <w:sz w:val="12"/>
                      </w:rPr>
                    </w:pPr>
                    <w:r>
                      <w:rPr>
                        <w:b/>
                        <w:color w:val="231F20"/>
                        <w:w w:val="105"/>
                        <w:sz w:val="12"/>
                      </w:rPr>
                      <w:t>0</w:t>
                    </w:r>
                  </w:p>
                </w:txbxContent>
              </v:textbox>
              <w10:wrap type="none"/>
            </v:shape>
            <v:shape style="position:absolute;left:7903;top:1876;width:184;height:126" type="#_x0000_t202" filled="false" stroked="false">
              <v:textbox inset="0,0,0,0">
                <w:txbxContent>
                  <w:p>
                    <w:pPr>
                      <w:spacing w:line="125" w:lineRule="exact" w:before="0"/>
                      <w:ind w:left="0" w:right="-19" w:firstLine="0"/>
                      <w:jc w:val="left"/>
                      <w:rPr>
                        <w:b/>
                        <w:sz w:val="12"/>
                      </w:rPr>
                    </w:pPr>
                    <w:r>
                      <w:rPr>
                        <w:b/>
                        <w:color w:val="231F20"/>
                        <w:w w:val="105"/>
                        <w:sz w:val="12"/>
                        <w:shd w:fill="FFFFFF" w:color="auto" w:val="clear"/>
                      </w:rPr>
                      <w:t>-20</w:t>
                    </w:r>
                  </w:p>
                </w:txbxContent>
              </v:textbox>
              <w10:wrap type="none"/>
            </v:shape>
            <v:shape style="position:absolute;left:6326;top:2781;width:634;height:153" type="#_x0000_t202" filled="false" stroked="false">
              <v:textbox inset="0,0,0,0">
                <w:txbxContent>
                  <w:p>
                    <w:pPr>
                      <w:spacing w:line="153" w:lineRule="exact" w:before="0"/>
                      <w:ind w:left="0" w:right="-11" w:firstLine="0"/>
                      <w:jc w:val="left"/>
                      <w:rPr>
                        <w:b/>
                        <w:sz w:val="15"/>
                      </w:rPr>
                    </w:pPr>
                    <w:r>
                      <w:rPr>
                        <w:b/>
                        <w:color w:val="231F20"/>
                        <w:sz w:val="15"/>
                        <w:shd w:fill="FFFFFF" w:color="auto" w:val="clear"/>
                      </w:rPr>
                      <w:t>TOLUCA</w:t>
                    </w:r>
                  </w:p>
                </w:txbxContent>
              </v:textbox>
              <w10:wrap type="none"/>
            </v:shape>
            <v:shape style="position:absolute;left:7581;top:2923;width:451;height:126" type="#_x0000_t202" filled="false" stroked="false">
              <v:textbox inset="0,0,0,0">
                <w:txbxContent>
                  <w:p>
                    <w:pPr>
                      <w:spacing w:line="125" w:lineRule="exact" w:before="0"/>
                      <w:ind w:left="0" w:right="-17" w:firstLine="0"/>
                      <w:jc w:val="left"/>
                      <w:rPr>
                        <w:b/>
                        <w:sz w:val="12"/>
                      </w:rPr>
                    </w:pPr>
                    <w:r>
                      <w:rPr>
                        <w:b/>
                        <w:color w:val="231F20"/>
                        <w:w w:val="105"/>
                        <w:sz w:val="12"/>
                      </w:rPr>
                      <w:t>LERMA</w:t>
                    </w:r>
                  </w:p>
                </w:txbxContent>
              </v:textbox>
              <w10:wrap type="none"/>
            </v:shape>
            <v:shape style="position:absolute;left:6684;top:3247;width:613;height:126" type="#_x0000_t202" filled="false" stroked="false">
              <v:textbox inset="0,0,0,0">
                <w:txbxContent>
                  <w:p>
                    <w:pPr>
                      <w:spacing w:line="125" w:lineRule="exact" w:before="0"/>
                      <w:ind w:left="0" w:right="-17" w:firstLine="0"/>
                      <w:jc w:val="left"/>
                      <w:rPr>
                        <w:b/>
                        <w:sz w:val="12"/>
                      </w:rPr>
                    </w:pPr>
                    <w:r>
                      <w:rPr>
                        <w:b/>
                        <w:color w:val="231F20"/>
                        <w:w w:val="105"/>
                        <w:sz w:val="12"/>
                        <w:shd w:fill="FFFFFF" w:color="auto" w:val="clear"/>
                      </w:rPr>
                      <w:t>METEPEC</w:t>
                    </w:r>
                  </w:p>
                </w:txbxContent>
              </v:textbox>
              <w10:wrap type="none"/>
            </v:shape>
            <v:shape style="position:absolute;left:7976;top:4332;width:726;height:126" type="#_x0000_t202" filled="false" stroked="false">
              <v:textbox inset="0,0,0,0">
                <w:txbxContent>
                  <w:p>
                    <w:pPr>
                      <w:spacing w:line="125" w:lineRule="exact" w:before="0"/>
                      <w:ind w:left="0" w:right="-15" w:firstLine="0"/>
                      <w:jc w:val="left"/>
                      <w:rPr>
                        <w:b/>
                        <w:sz w:val="12"/>
                      </w:rPr>
                    </w:pPr>
                    <w:r>
                      <w:rPr>
                        <w:b/>
                        <w:color w:val="231F20"/>
                        <w:w w:val="105"/>
                        <w:sz w:val="12"/>
                      </w:rPr>
                      <w:t>ALMOLOYA</w:t>
                    </w:r>
                  </w:p>
                </w:txbxContent>
              </v:textbox>
              <w10:wrap type="none"/>
            </v:shape>
            <v:shape style="position:absolute;left:6972;top:4549;width:184;height:126" type="#_x0000_t202" filled="false" stroked="false">
              <v:textbox inset="0,0,0,0">
                <w:txbxContent>
                  <w:p>
                    <w:pPr>
                      <w:spacing w:line="125" w:lineRule="exact" w:before="0"/>
                      <w:ind w:left="0" w:right="-19" w:firstLine="0"/>
                      <w:jc w:val="left"/>
                      <w:rPr>
                        <w:b/>
                        <w:sz w:val="12"/>
                      </w:rPr>
                    </w:pPr>
                    <w:r>
                      <w:rPr>
                        <w:b/>
                        <w:color w:val="231F20"/>
                        <w:w w:val="105"/>
                        <w:sz w:val="12"/>
                        <w:shd w:fill="FFFFFF" w:color="auto" w:val="clear"/>
                      </w:rPr>
                      <w:t>-10</w:t>
                    </w:r>
                  </w:p>
                </w:txbxContent>
              </v:textbox>
              <w10:wrap type="none"/>
            </v:shape>
            <v:shape style="position:absolute;left:4460;top:4911;width:543;height:422" type="#_x0000_t202" filled="false" stroked="false">
              <v:textbox inset="0,0,0,0">
                <w:txbxContent>
                  <w:p>
                    <w:pPr>
                      <w:spacing w:line="127" w:lineRule="exact" w:before="0"/>
                      <w:ind w:left="0" w:right="-17" w:firstLine="0"/>
                      <w:jc w:val="left"/>
                      <w:rPr>
                        <w:b/>
                        <w:sz w:val="12"/>
                      </w:rPr>
                    </w:pPr>
                    <w:r>
                      <w:rPr>
                        <w:b/>
                        <w:color w:val="231F20"/>
                        <w:w w:val="105"/>
                        <w:sz w:val="12"/>
                      </w:rPr>
                      <w:t>NEVADO</w:t>
                    </w:r>
                  </w:p>
                  <w:p>
                    <w:pPr>
                      <w:spacing w:line="261" w:lineRule="auto" w:before="8"/>
                      <w:ind w:left="0" w:right="-2" w:firstLine="0"/>
                      <w:jc w:val="left"/>
                      <w:rPr>
                        <w:b/>
                        <w:sz w:val="12"/>
                      </w:rPr>
                    </w:pPr>
                    <w:r>
                      <w:rPr>
                        <w:b/>
                        <w:color w:val="231F20"/>
                        <w:w w:val="105"/>
                        <w:sz w:val="12"/>
                      </w:rPr>
                      <w:t>DE TOLUCA</w:t>
                    </w:r>
                  </w:p>
                </w:txbxContent>
              </v:textbox>
              <w10:wrap type="none"/>
            </v:shape>
            <w10:wrap type="none"/>
          </v:group>
        </w:pict>
      </w:r>
      <w:r>
        <w:rPr>
          <w:color w:val="231F20"/>
          <w:sz w:val="15"/>
        </w:rPr>
        <w:t>19.35</w:t>
      </w:r>
    </w:p>
    <w:p>
      <w:pPr>
        <w:pStyle w:val="BodyText"/>
        <w:rPr>
          <w:sz w:val="20"/>
        </w:rPr>
      </w:pPr>
    </w:p>
    <w:p>
      <w:pPr>
        <w:pStyle w:val="BodyText"/>
        <w:rPr>
          <w:sz w:val="20"/>
        </w:rPr>
      </w:pPr>
    </w:p>
    <w:p>
      <w:pPr>
        <w:pStyle w:val="BodyText"/>
        <w:spacing w:before="6"/>
        <w:rPr>
          <w:sz w:val="17"/>
        </w:rPr>
      </w:pPr>
    </w:p>
    <w:p>
      <w:pPr>
        <w:spacing w:before="0"/>
        <w:ind w:left="1524" w:right="76" w:firstLine="0"/>
        <w:jc w:val="left"/>
        <w:rPr>
          <w:sz w:val="15"/>
        </w:rPr>
      </w:pPr>
      <w:r>
        <w:rPr>
          <w:color w:val="231F20"/>
          <w:sz w:val="15"/>
        </w:rPr>
        <w:t>19.30</w:t>
      </w:r>
    </w:p>
    <w:p>
      <w:pPr>
        <w:pStyle w:val="BodyText"/>
        <w:rPr>
          <w:sz w:val="20"/>
        </w:rPr>
      </w:pPr>
    </w:p>
    <w:p>
      <w:pPr>
        <w:pStyle w:val="BodyText"/>
        <w:rPr>
          <w:sz w:val="20"/>
        </w:rPr>
      </w:pPr>
    </w:p>
    <w:p>
      <w:pPr>
        <w:pStyle w:val="BodyText"/>
        <w:spacing w:before="3"/>
        <w:rPr>
          <w:sz w:val="17"/>
        </w:rPr>
      </w:pPr>
    </w:p>
    <w:p>
      <w:pPr>
        <w:spacing w:before="0"/>
        <w:ind w:left="1524" w:right="76" w:firstLine="0"/>
        <w:jc w:val="left"/>
        <w:rPr>
          <w:sz w:val="15"/>
        </w:rPr>
      </w:pPr>
      <w:r>
        <w:rPr>
          <w:color w:val="231F20"/>
          <w:sz w:val="15"/>
        </w:rPr>
        <w:t>19.25</w:t>
      </w:r>
    </w:p>
    <w:p>
      <w:pPr>
        <w:pStyle w:val="BodyText"/>
        <w:rPr>
          <w:sz w:val="20"/>
        </w:rPr>
      </w:pPr>
    </w:p>
    <w:p>
      <w:pPr>
        <w:pStyle w:val="BodyText"/>
        <w:rPr>
          <w:sz w:val="20"/>
        </w:rPr>
      </w:pPr>
    </w:p>
    <w:p>
      <w:pPr>
        <w:pStyle w:val="BodyText"/>
        <w:spacing w:before="6"/>
        <w:rPr>
          <w:sz w:val="17"/>
        </w:rPr>
      </w:pPr>
    </w:p>
    <w:p>
      <w:pPr>
        <w:spacing w:before="0"/>
        <w:ind w:left="1524" w:right="76" w:firstLine="0"/>
        <w:jc w:val="left"/>
        <w:rPr>
          <w:sz w:val="15"/>
        </w:rPr>
      </w:pPr>
      <w:r>
        <w:rPr>
          <w:color w:val="231F20"/>
          <w:sz w:val="15"/>
        </w:rPr>
        <w:t>19.20</w:t>
      </w:r>
    </w:p>
    <w:p>
      <w:pPr>
        <w:pStyle w:val="BodyText"/>
        <w:rPr>
          <w:sz w:val="20"/>
        </w:rPr>
      </w:pPr>
    </w:p>
    <w:p>
      <w:pPr>
        <w:pStyle w:val="BodyText"/>
        <w:rPr>
          <w:sz w:val="20"/>
        </w:rPr>
      </w:pPr>
    </w:p>
    <w:p>
      <w:pPr>
        <w:pStyle w:val="BodyText"/>
        <w:spacing w:before="3"/>
        <w:rPr>
          <w:sz w:val="17"/>
        </w:rPr>
      </w:pPr>
    </w:p>
    <w:p>
      <w:pPr>
        <w:spacing w:before="0"/>
        <w:ind w:left="1524" w:right="76" w:firstLine="0"/>
        <w:jc w:val="left"/>
        <w:rPr>
          <w:sz w:val="15"/>
        </w:rPr>
      </w:pPr>
      <w:r>
        <w:rPr>
          <w:color w:val="231F20"/>
          <w:sz w:val="15"/>
        </w:rPr>
        <w:t>19.15</w:t>
      </w:r>
    </w:p>
    <w:p>
      <w:pPr>
        <w:pStyle w:val="BodyText"/>
        <w:rPr>
          <w:sz w:val="20"/>
        </w:rPr>
      </w:pPr>
    </w:p>
    <w:p>
      <w:pPr>
        <w:pStyle w:val="BodyText"/>
        <w:rPr>
          <w:sz w:val="20"/>
        </w:rPr>
      </w:pPr>
    </w:p>
    <w:p>
      <w:pPr>
        <w:pStyle w:val="BodyText"/>
        <w:spacing w:before="6"/>
        <w:rPr>
          <w:sz w:val="17"/>
        </w:rPr>
      </w:pPr>
    </w:p>
    <w:p>
      <w:pPr>
        <w:spacing w:before="0"/>
        <w:ind w:left="1524" w:right="76" w:firstLine="0"/>
        <w:jc w:val="left"/>
        <w:rPr>
          <w:sz w:val="15"/>
        </w:rPr>
      </w:pPr>
      <w:r>
        <w:rPr>
          <w:color w:val="231F20"/>
          <w:sz w:val="15"/>
        </w:rPr>
        <w:t>19.10</w:t>
      </w:r>
    </w:p>
    <w:p>
      <w:pPr>
        <w:pStyle w:val="BodyText"/>
        <w:rPr>
          <w:sz w:val="20"/>
        </w:rPr>
      </w:pPr>
    </w:p>
    <w:p>
      <w:pPr>
        <w:pStyle w:val="BodyText"/>
        <w:rPr>
          <w:sz w:val="20"/>
        </w:rPr>
      </w:pPr>
    </w:p>
    <w:p>
      <w:pPr>
        <w:pStyle w:val="BodyText"/>
        <w:spacing w:before="6"/>
        <w:rPr>
          <w:sz w:val="17"/>
        </w:rPr>
      </w:pPr>
    </w:p>
    <w:p>
      <w:pPr>
        <w:spacing w:before="0"/>
        <w:ind w:left="1524" w:right="76" w:firstLine="0"/>
        <w:jc w:val="left"/>
        <w:rPr>
          <w:sz w:val="15"/>
        </w:rPr>
      </w:pPr>
      <w:r>
        <w:rPr>
          <w:color w:val="231F20"/>
          <w:sz w:val="15"/>
        </w:rPr>
        <w:t>19.05</w:t>
      </w:r>
    </w:p>
    <w:p>
      <w:pPr>
        <w:pStyle w:val="BodyText"/>
        <w:rPr>
          <w:sz w:val="20"/>
        </w:rPr>
      </w:pPr>
    </w:p>
    <w:p>
      <w:pPr>
        <w:pStyle w:val="BodyText"/>
        <w:spacing w:before="11"/>
        <w:rPr>
          <w:sz w:val="26"/>
        </w:rPr>
      </w:pPr>
    </w:p>
    <w:p>
      <w:pPr>
        <w:spacing w:line="156" w:lineRule="exact" w:before="83"/>
        <w:ind w:left="1524" w:right="76" w:firstLine="0"/>
        <w:jc w:val="left"/>
        <w:rPr>
          <w:sz w:val="15"/>
        </w:rPr>
      </w:pPr>
      <w:r>
        <w:rPr>
          <w:color w:val="231F20"/>
          <w:sz w:val="15"/>
        </w:rPr>
        <w:t>19.00</w:t>
      </w:r>
    </w:p>
    <w:p>
      <w:pPr>
        <w:tabs>
          <w:tab w:pos="3255" w:val="left" w:leader="none"/>
          <w:tab w:pos="4083" w:val="left" w:leader="none"/>
          <w:tab w:pos="4907" w:val="left" w:leader="none"/>
          <w:tab w:pos="5735" w:val="left" w:leader="none"/>
          <w:tab w:pos="6561" w:val="left" w:leader="none"/>
        </w:tabs>
        <w:spacing w:line="156" w:lineRule="exact" w:before="0"/>
        <w:ind w:left="2430" w:right="76" w:firstLine="0"/>
        <w:jc w:val="left"/>
        <w:rPr>
          <w:sz w:val="15"/>
        </w:rPr>
      </w:pPr>
      <w:r>
        <w:rPr>
          <w:color w:val="231F20"/>
          <w:sz w:val="15"/>
        </w:rPr>
        <w:t>-99.50</w:t>
      </w:r>
      <w:r>
        <w:rPr>
          <w:rFonts w:ascii="Times New Roman"/>
          <w:color w:val="231F20"/>
          <w:sz w:val="15"/>
        </w:rPr>
        <w:tab/>
      </w:r>
      <w:r>
        <w:rPr>
          <w:color w:val="231F20"/>
          <w:sz w:val="15"/>
        </w:rPr>
        <w:t>-99.45</w:t>
      </w:r>
      <w:r>
        <w:rPr>
          <w:rFonts w:ascii="Times New Roman"/>
          <w:color w:val="231F20"/>
          <w:sz w:val="15"/>
        </w:rPr>
        <w:tab/>
      </w:r>
      <w:r>
        <w:rPr>
          <w:color w:val="231F20"/>
          <w:sz w:val="15"/>
        </w:rPr>
        <w:t>-99.40</w:t>
      </w:r>
      <w:r>
        <w:rPr>
          <w:rFonts w:ascii="Times New Roman"/>
          <w:color w:val="231F20"/>
          <w:sz w:val="15"/>
        </w:rPr>
        <w:tab/>
      </w:r>
      <w:r>
        <w:rPr>
          <w:color w:val="231F20"/>
          <w:sz w:val="15"/>
        </w:rPr>
        <w:t>-99.35</w:t>
      </w:r>
      <w:r>
        <w:rPr>
          <w:rFonts w:ascii="Times New Roman"/>
          <w:color w:val="231F20"/>
          <w:sz w:val="15"/>
        </w:rPr>
        <w:tab/>
      </w:r>
      <w:r>
        <w:rPr>
          <w:color w:val="231F20"/>
          <w:sz w:val="15"/>
        </w:rPr>
        <w:t>-99.30</w:t>
      </w:r>
      <w:r>
        <w:rPr>
          <w:rFonts w:ascii="Times New Roman"/>
          <w:color w:val="231F20"/>
          <w:sz w:val="15"/>
        </w:rPr>
        <w:tab/>
      </w:r>
      <w:r>
        <w:rPr>
          <w:color w:val="231F20"/>
          <w:sz w:val="15"/>
        </w:rPr>
        <w:t>-99.25</w:t>
      </w:r>
    </w:p>
    <w:p>
      <w:pPr>
        <w:pStyle w:val="BodyText"/>
        <w:spacing w:before="4"/>
        <w:rPr>
          <w:sz w:val="17"/>
        </w:rPr>
      </w:pPr>
    </w:p>
    <w:p>
      <w:pPr>
        <w:spacing w:before="75"/>
        <w:ind w:left="1002" w:right="548" w:hanging="851"/>
        <w:jc w:val="left"/>
        <w:rPr>
          <w:b/>
          <w:sz w:val="20"/>
        </w:rPr>
      </w:pPr>
      <w:r>
        <w:rPr>
          <w:b/>
          <w:color w:val="231F20"/>
          <w:sz w:val="20"/>
        </w:rPr>
        <w:t>Figura 1.Mapa de isodescencos en el acuífero del Valle de Toluca en el periodo 1971- 2006 (en metros).</w:t>
      </w:r>
    </w:p>
    <w:p>
      <w:pPr>
        <w:spacing w:before="120"/>
        <w:ind w:left="1002" w:right="76" w:hanging="851"/>
        <w:jc w:val="left"/>
        <w:rPr>
          <w:b/>
          <w:sz w:val="20"/>
        </w:rPr>
      </w:pPr>
      <w:r>
        <w:rPr>
          <w:b/>
          <w:color w:val="231F20"/>
          <w:sz w:val="20"/>
        </w:rPr>
        <w:t>Figure 1.Map showing the decrease of the water level of the Valle de Toluca aquifer from 1971 to 2006 (in meters)</w:t>
      </w:r>
    </w:p>
    <w:p>
      <w:pPr>
        <w:pStyle w:val="BodyText"/>
        <w:rPr>
          <w:b/>
          <w:sz w:val="20"/>
        </w:rPr>
      </w:pPr>
    </w:p>
    <w:p>
      <w:pPr>
        <w:pStyle w:val="BodyText"/>
        <w:rPr>
          <w:b/>
          <w:sz w:val="20"/>
        </w:rPr>
      </w:pPr>
    </w:p>
    <w:p>
      <w:pPr>
        <w:pStyle w:val="BodyText"/>
        <w:spacing w:line="410" w:lineRule="atLeast" w:before="57"/>
        <w:ind w:left="151" w:right="141"/>
        <w:jc w:val="both"/>
      </w:pPr>
      <w:r>
        <w:rPr>
          <w:color w:val="231F20"/>
        </w:rPr>
        <w:t>En este mapa se aprecia un cono de depresión piezométrica en el área de la Ciudad de Toluca, con un descenso que alcanza los 35 metros, con una tasa promedio de abatimiento de 1.4 m/año. En relación con este importante descenso piezométrico se ha podido constatar, en diferentes zonas de la Ciudad de Toluca, la aparición de grietas o fallas en el terreno, lo cual ha provocado daños en viviendas e infraestructura vial</w:t>
      </w:r>
      <w:r>
        <w:rPr>
          <w:color w:val="231F20"/>
          <w:position w:val="11"/>
          <w:sz w:val="16"/>
        </w:rPr>
        <w:t>(7)</w:t>
      </w:r>
      <w:r>
        <w:rPr>
          <w:color w:val="231F20"/>
        </w:rPr>
        <w:t>.</w:t>
      </w:r>
    </w:p>
    <w:p>
      <w:pPr>
        <w:pStyle w:val="BodyText"/>
        <w:spacing w:before="5"/>
        <w:rPr>
          <w:sz w:val="22"/>
        </w:rPr>
      </w:pPr>
    </w:p>
    <w:p>
      <w:pPr>
        <w:pStyle w:val="BodyText"/>
        <w:spacing w:line="345" w:lineRule="auto"/>
        <w:ind w:left="151" w:right="139"/>
        <w:jc w:val="both"/>
      </w:pPr>
      <w:r>
        <w:rPr>
          <w:color w:val="231F20"/>
        </w:rPr>
        <w:t>Otros efectos de la intensa explotación del acuífero ha sido la parcial desecación de las lagunas de Almoloya del Río, las cuales representaban, en un principio, el nacimiento del río Lerma. En el caso de la laguna principal, paso de tener una extensión de 24.3 km</w:t>
      </w:r>
      <w:r>
        <w:rPr>
          <w:color w:val="231F20"/>
          <w:position w:val="11"/>
          <w:sz w:val="16"/>
        </w:rPr>
        <w:t>2 </w:t>
      </w:r>
      <w:r>
        <w:rPr>
          <w:color w:val="231F20"/>
        </w:rPr>
        <w:t>en 1970 a 7.8 km</w:t>
      </w:r>
      <w:r>
        <w:rPr>
          <w:color w:val="231F20"/>
          <w:position w:val="11"/>
          <w:sz w:val="16"/>
        </w:rPr>
        <w:t>2 </w:t>
      </w:r>
      <w:r>
        <w:rPr>
          <w:color w:val="231F20"/>
        </w:rPr>
        <w:t>en 1989, aunque en la década de los 90 se produjo cierta recuperación</w:t>
      </w:r>
      <w:r>
        <w:rPr>
          <w:color w:val="231F20"/>
          <w:position w:val="11"/>
          <w:sz w:val="16"/>
        </w:rPr>
        <w:t>(7)</w:t>
      </w:r>
      <w:r>
        <w:rPr>
          <w:color w:val="231F20"/>
        </w:rPr>
        <w:t>.</w:t>
      </w:r>
    </w:p>
    <w:p>
      <w:pPr>
        <w:spacing w:after="0" w:line="345" w:lineRule="auto"/>
        <w:jc w:val="both"/>
        <w:sectPr>
          <w:pgSz w:w="12240" w:h="15840"/>
          <w:pgMar w:header="0" w:footer="258" w:top="860" w:bottom="440" w:left="1720" w:right="1720"/>
        </w:sectPr>
      </w:pPr>
    </w:p>
    <w:p>
      <w:pPr>
        <w:pStyle w:val="Heading1"/>
        <w:spacing w:before="56"/>
      </w:pPr>
      <w:r>
        <w:rPr>
          <w:color w:val="231F20"/>
        </w:rPr>
        <w:t>Hidroquímica</w:t>
      </w:r>
    </w:p>
    <w:p>
      <w:pPr>
        <w:pStyle w:val="BodyText"/>
        <w:spacing w:before="3"/>
        <w:rPr>
          <w:b/>
          <w:sz w:val="22"/>
        </w:rPr>
      </w:pPr>
    </w:p>
    <w:p>
      <w:pPr>
        <w:pStyle w:val="BodyText"/>
        <w:spacing w:line="360" w:lineRule="auto" w:before="1"/>
        <w:ind w:left="151" w:right="141"/>
        <w:jc w:val="both"/>
      </w:pPr>
      <w:r>
        <w:rPr>
          <w:color w:val="231F20"/>
        </w:rPr>
        <w:t>Como rasgo hidrogeoquímico básico de este acuífero se puede señalar su  bajos valores de conductividad eléctrica (valor medio 342 µS/cm), el predominio de los iones bicarbonato, sodio y magnesio. La mineralización coincide con la que teóricamente debe de tener un agua subterránea en ambiente volcánico; los feldespatos contribuyen con sodio, calcio y potasio, y los piroxenos  y biotitas con calcio, magnesio, hierro y manganeso. La presencia de sulfatos   </w:t>
      </w:r>
      <w:r>
        <w:rPr>
          <w:color w:val="231F20"/>
          <w:spacing w:val="16"/>
        </w:rPr>
        <w:t> </w:t>
      </w:r>
      <w:r>
        <w:rPr>
          <w:color w:val="231F20"/>
        </w:rPr>
        <w:t>y</w:t>
      </w:r>
    </w:p>
    <w:p>
      <w:pPr>
        <w:pStyle w:val="BodyText"/>
        <w:spacing w:line="328" w:lineRule="auto" w:before="4"/>
        <w:ind w:left="151" w:right="143"/>
        <w:jc w:val="both"/>
      </w:pPr>
      <w:r>
        <w:rPr>
          <w:color w:val="231F20"/>
        </w:rPr>
        <w:t>cloruros es baja, debido a que las rocas volcánicas los contienen en poca cantidad</w:t>
      </w:r>
      <w:r>
        <w:rPr>
          <w:color w:val="231F20"/>
          <w:position w:val="11"/>
          <w:sz w:val="16"/>
        </w:rPr>
        <w:t>(8)</w:t>
      </w:r>
      <w:r>
        <w:rPr>
          <w:color w:val="231F20"/>
        </w:rPr>
        <w:t>.</w:t>
      </w:r>
    </w:p>
    <w:p>
      <w:pPr>
        <w:pStyle w:val="BodyText"/>
        <w:spacing w:line="360" w:lineRule="auto" w:before="145"/>
        <w:ind w:left="151" w:right="141"/>
        <w:jc w:val="both"/>
      </w:pPr>
      <w:r>
        <w:rPr>
          <w:color w:val="231F20"/>
        </w:rPr>
        <w:t>Como ejemplo de las principales características físico-químicas, así como la concentración de elementos tales como Fe y Mn se presentan los datos de la Tabla 1.</w:t>
      </w:r>
    </w:p>
    <w:p>
      <w:pPr>
        <w:pStyle w:val="BodyText"/>
        <w:spacing w:line="414" w:lineRule="exact" w:before="18"/>
        <w:ind w:left="151" w:right="142"/>
        <w:jc w:val="both"/>
      </w:pPr>
      <w:r>
        <w:rPr>
          <w:color w:val="231F20"/>
        </w:rPr>
        <w:t>Estudios a mayor detalle han permitido comprobar que la intensa explotación del acuífero ha provocado cambios en el quimismo de las aguas subterrá- neas</w:t>
      </w:r>
      <w:r>
        <w:rPr>
          <w:color w:val="231F20"/>
          <w:position w:val="11"/>
          <w:sz w:val="16"/>
        </w:rPr>
        <w:t>(9)</w:t>
      </w:r>
      <w:r>
        <w:rPr>
          <w:color w:val="231F20"/>
        </w:rPr>
        <w:t>. Inicialmente, en el acuífero se explotaba agua ligada a un flujo local, cuyo origen estaría relacionado con la recarga del acuífero por infiltración de agua de lluvia y por alimentación lateral desde los acuíferos fracturados de borde, los cuales están constituidos por basaltos y andesitas. Esta agua se caracteriza por ser de tipo bicarbonatado magnésico.</w:t>
      </w:r>
    </w:p>
    <w:p>
      <w:pPr>
        <w:pStyle w:val="BodyText"/>
        <w:spacing w:before="7"/>
        <w:rPr>
          <w:sz w:val="13"/>
        </w:rPr>
      </w:pPr>
    </w:p>
    <w:p>
      <w:pPr>
        <w:pStyle w:val="BodyText"/>
        <w:spacing w:line="360" w:lineRule="auto" w:before="69"/>
        <w:ind w:left="151" w:right="141"/>
        <w:jc w:val="both"/>
      </w:pPr>
      <w:r>
        <w:rPr>
          <w:color w:val="231F20"/>
        </w:rPr>
        <w:t>Con el paso del tiempo y debido al descenso del nivel piezométrico, se ha incorporado al acuífero un flujo regional, el cual está ligado a materiales de tipo riolítico que se encuentran a gran profundidad. Este flujo regional se caracteriza por aguas de tipo bicarbonatado sódico, así como por altos contenidos de potasio, mayor salinidad y altas temperaturas.</w:t>
      </w:r>
    </w:p>
    <w:p>
      <w:pPr>
        <w:pStyle w:val="BodyText"/>
        <w:spacing w:line="360" w:lineRule="auto" w:before="124"/>
        <w:ind w:left="151" w:right="142" w:hanging="1"/>
        <w:jc w:val="both"/>
      </w:pPr>
      <w:r>
        <w:rPr>
          <w:color w:val="231F20"/>
        </w:rPr>
        <w:t>A la par que este cambio en la salinidad del agua subterránea, se ha producido un incremento en el contenido de nitratos, los cuales tienen su origen en el uso de fertilizantes en las áreas agrícolas. También se han podido detectar altos contenidos de sulfato en los sondeos de menor profundidad, en relación con el uso de sulfato de amonio como fertilizante.</w:t>
      </w:r>
    </w:p>
    <w:p>
      <w:pPr>
        <w:pStyle w:val="BodyText"/>
        <w:spacing w:line="360" w:lineRule="auto" w:before="124"/>
        <w:ind w:left="151" w:right="142"/>
        <w:jc w:val="both"/>
      </w:pPr>
      <w:r>
        <w:rPr>
          <w:color w:val="231F20"/>
        </w:rPr>
        <w:t>La presencia de Fe y Mn parece estar relacionada con la mineralogía de las rocas volcánicas por lo que no es necesario invocar un proceso de contaminación antrópica.</w:t>
      </w:r>
    </w:p>
    <w:p>
      <w:pPr>
        <w:spacing w:after="0" w:line="360" w:lineRule="auto"/>
        <w:jc w:val="both"/>
        <w:sectPr>
          <w:pgSz w:w="12240" w:h="15840"/>
          <w:pgMar w:header="0" w:footer="258" w:top="860" w:bottom="440" w:left="1720" w:right="1720"/>
        </w:sectPr>
      </w:pPr>
    </w:p>
    <w:p>
      <w:pPr>
        <w:spacing w:line="364" w:lineRule="auto" w:before="57"/>
        <w:ind w:left="151" w:right="959" w:firstLine="0"/>
        <w:jc w:val="left"/>
        <w:rPr>
          <w:b/>
          <w:sz w:val="20"/>
        </w:rPr>
      </w:pPr>
      <w:r>
        <w:rPr/>
        <w:pict>
          <v:group style="position:absolute;margin-left:101.439835pt;margin-top:42.410023pt;width:409.45pt;height:351pt;mso-position-horizontal-relative:page;mso-position-vertical-relative:paragraph;z-index:-14104" coordorigin="2029,848" coordsize="8189,7020">
            <v:shape style="position:absolute;left:2059;top:878;width:8069;height:160" coordorigin="2059,878" coordsize="8069,160" path="m2089,878l2089,1038m2059,908l10128,908e" filled="false" stroked="true" strokeweight="3.0pt" strokecolor="#d4d0c8">
              <v:path arrowok="t"/>
            </v:shape>
            <v:line style="position:absolute" from="10158,878" to="10158,1038" stroked="true" strokeweight="3.0pt" strokecolor="#949698"/>
            <v:shape style="position:absolute;left:2089;top:908;width:8099;height:6930" coordorigin="2089,908" coordsize="8099,6930" path="m10128,908l10188,908m2089,1038l2089,7838e" filled="false" stroked="true" strokeweight="3.0pt" strokecolor="#d4d0c8">
              <v:path arrowok="t"/>
            </v:shape>
            <v:shape style="position:absolute;left:2059;top:1038;width:8099;height:6801" coordorigin="2059,1038" coordsize="8099,6801" path="m2059,7808l4609,7808m4609,7808l6350,7808m6350,7808l7297,7808m7297,7808l8244,7808m8244,7808l9190,7808m9190,7808l10128,7808m10158,1038l10158,7838e" filled="false" stroked="true" strokeweight="3.0pt" strokecolor="#949698">
              <v:path arrowok="t"/>
            </v:shape>
            <w10:wrap type="none"/>
          </v:group>
        </w:pict>
      </w:r>
      <w:r>
        <w:rPr>
          <w:b/>
          <w:color w:val="231F20"/>
          <w:sz w:val="20"/>
        </w:rPr>
        <w:t>Tabla 1. Características físico-químicas del agua subterránea del Valle de Toluca Table 1. Physico-chemical characteristics of groundwater in the Valley of Toluca</w:t>
      </w:r>
    </w:p>
    <w:p>
      <w:pPr>
        <w:pStyle w:val="BodyText"/>
        <w:spacing w:before="6"/>
        <w:rPr>
          <w:b/>
          <w:sz w:val="23"/>
        </w:rPr>
      </w:pPr>
    </w:p>
    <w:tbl>
      <w:tblPr>
        <w:tblW w:w="0" w:type="auto"/>
        <w:jc w:val="left"/>
        <w:tblInd w:w="453" w:type="dxa"/>
        <w:tblBorders>
          <w:top w:val="double" w:sz="9" w:space="0" w:color="949698"/>
          <w:left w:val="double" w:sz="9" w:space="0" w:color="949698"/>
          <w:bottom w:val="double" w:sz="9" w:space="0" w:color="949698"/>
          <w:right w:val="double" w:sz="9" w:space="0" w:color="949698"/>
          <w:insideH w:val="double" w:sz="9" w:space="0" w:color="949698"/>
          <w:insideV w:val="double" w:sz="9" w:space="0" w:color="949698"/>
        </w:tblBorders>
        <w:tblLayout w:type="fixed"/>
        <w:tblCellMar>
          <w:top w:w="0" w:type="dxa"/>
          <w:left w:w="0" w:type="dxa"/>
          <w:bottom w:w="0" w:type="dxa"/>
          <w:right w:w="0" w:type="dxa"/>
        </w:tblCellMar>
        <w:tblLook w:val="01E0"/>
      </w:tblPr>
      <w:tblGrid>
        <w:gridCol w:w="2428"/>
        <w:gridCol w:w="1741"/>
        <w:gridCol w:w="947"/>
        <w:gridCol w:w="947"/>
        <w:gridCol w:w="947"/>
        <w:gridCol w:w="875"/>
      </w:tblGrid>
      <w:tr>
        <w:trPr>
          <w:trHeight w:val="392" w:hRule="exact"/>
        </w:trPr>
        <w:tc>
          <w:tcPr>
            <w:tcW w:w="2428" w:type="dxa"/>
            <w:tcBorders>
              <w:top w:val="single" w:sz="6" w:space="0" w:color="949698"/>
              <w:left w:val="single" w:sz="6" w:space="0" w:color="949698"/>
            </w:tcBorders>
          </w:tcPr>
          <w:p>
            <w:pPr>
              <w:pStyle w:val="TableParagraph"/>
              <w:spacing w:before="58"/>
              <w:ind w:left="559" w:right="686"/>
              <w:rPr>
                <w:b/>
                <w:sz w:val="20"/>
              </w:rPr>
            </w:pPr>
            <w:r>
              <w:rPr>
                <w:b/>
                <w:color w:val="231F20"/>
                <w:sz w:val="20"/>
              </w:rPr>
              <w:t>Parámetros</w:t>
            </w:r>
          </w:p>
        </w:tc>
        <w:tc>
          <w:tcPr>
            <w:tcW w:w="1741" w:type="dxa"/>
            <w:tcBorders>
              <w:top w:val="single" w:sz="6" w:space="0" w:color="949698"/>
            </w:tcBorders>
          </w:tcPr>
          <w:p>
            <w:pPr>
              <w:pStyle w:val="TableParagraph"/>
              <w:spacing w:before="58"/>
              <w:ind w:left="117" w:right="247"/>
              <w:rPr>
                <w:b/>
                <w:sz w:val="20"/>
              </w:rPr>
            </w:pPr>
            <w:r>
              <w:rPr>
                <w:b/>
                <w:color w:val="231F20"/>
                <w:sz w:val="20"/>
              </w:rPr>
              <w:t>Agua potable</w:t>
            </w:r>
          </w:p>
        </w:tc>
        <w:tc>
          <w:tcPr>
            <w:tcW w:w="3715" w:type="dxa"/>
            <w:gridSpan w:val="4"/>
            <w:tcBorders>
              <w:top w:val="single" w:sz="6" w:space="0" w:color="949698"/>
              <w:right w:val="single" w:sz="6" w:space="0" w:color="D4D0C8"/>
            </w:tcBorders>
          </w:tcPr>
          <w:p>
            <w:pPr>
              <w:pStyle w:val="TableParagraph"/>
              <w:spacing w:before="58"/>
              <w:ind w:left="996"/>
              <w:jc w:val="left"/>
              <w:rPr>
                <w:b/>
                <w:sz w:val="20"/>
              </w:rPr>
            </w:pPr>
            <w:r>
              <w:rPr>
                <w:b/>
                <w:color w:val="231F20"/>
                <w:sz w:val="20"/>
              </w:rPr>
              <w:t>Valores en mg/L</w:t>
            </w:r>
          </w:p>
        </w:tc>
      </w:tr>
      <w:tr>
        <w:trPr>
          <w:trHeight w:val="420" w:hRule="exact"/>
        </w:trPr>
        <w:tc>
          <w:tcPr>
            <w:tcW w:w="2428" w:type="dxa"/>
            <w:tcBorders>
              <w:left w:val="single" w:sz="6" w:space="0" w:color="949698"/>
            </w:tcBorders>
          </w:tcPr>
          <w:p>
            <w:pPr/>
          </w:p>
        </w:tc>
        <w:tc>
          <w:tcPr>
            <w:tcW w:w="1741" w:type="dxa"/>
          </w:tcPr>
          <w:p>
            <w:pPr>
              <w:pStyle w:val="TableParagraph"/>
              <w:ind w:left="117" w:right="244"/>
              <w:rPr>
                <w:sz w:val="20"/>
              </w:rPr>
            </w:pPr>
            <w:r>
              <w:rPr>
                <w:color w:val="231F20"/>
                <w:sz w:val="20"/>
              </w:rPr>
              <w:t>Limite</w:t>
            </w:r>
          </w:p>
        </w:tc>
        <w:tc>
          <w:tcPr>
            <w:tcW w:w="947" w:type="dxa"/>
          </w:tcPr>
          <w:p>
            <w:pPr>
              <w:pStyle w:val="TableParagraph"/>
              <w:ind w:left="80" w:right="210"/>
              <w:rPr>
                <w:sz w:val="20"/>
              </w:rPr>
            </w:pPr>
            <w:r>
              <w:rPr>
                <w:color w:val="231F20"/>
                <w:sz w:val="20"/>
              </w:rPr>
              <w:t>Min</w:t>
            </w:r>
          </w:p>
        </w:tc>
        <w:tc>
          <w:tcPr>
            <w:tcW w:w="947" w:type="dxa"/>
          </w:tcPr>
          <w:p>
            <w:pPr>
              <w:pStyle w:val="TableParagraph"/>
              <w:ind w:left="184"/>
              <w:jc w:val="left"/>
              <w:rPr>
                <w:sz w:val="20"/>
              </w:rPr>
            </w:pPr>
            <w:r>
              <w:rPr>
                <w:color w:val="231F20"/>
                <w:sz w:val="20"/>
              </w:rPr>
              <w:t>Max</w:t>
            </w:r>
          </w:p>
        </w:tc>
        <w:tc>
          <w:tcPr>
            <w:tcW w:w="947" w:type="dxa"/>
          </w:tcPr>
          <w:p>
            <w:pPr>
              <w:pStyle w:val="TableParagraph"/>
              <w:ind w:left="82" w:right="210"/>
              <w:rPr>
                <w:sz w:val="20"/>
              </w:rPr>
            </w:pPr>
            <w:r>
              <w:rPr>
                <w:color w:val="231F20"/>
                <w:sz w:val="20"/>
              </w:rPr>
              <w:t>Media</w:t>
            </w:r>
          </w:p>
        </w:tc>
        <w:tc>
          <w:tcPr>
            <w:tcW w:w="875" w:type="dxa"/>
            <w:tcBorders>
              <w:right w:val="single" w:sz="6" w:space="0" w:color="D4D0C8"/>
            </w:tcBorders>
          </w:tcPr>
          <w:p>
            <w:pPr>
              <w:pStyle w:val="TableParagraph"/>
              <w:ind w:left="133" w:right="266"/>
              <w:rPr>
                <w:sz w:val="20"/>
              </w:rPr>
            </w:pPr>
            <w:r>
              <w:rPr>
                <w:color w:val="231F20"/>
                <w:sz w:val="20"/>
              </w:rPr>
              <w:t>D.S.</w:t>
            </w:r>
          </w:p>
        </w:tc>
      </w:tr>
      <w:tr>
        <w:trPr>
          <w:trHeight w:val="420" w:hRule="exact"/>
        </w:trPr>
        <w:tc>
          <w:tcPr>
            <w:tcW w:w="2428" w:type="dxa"/>
            <w:tcBorders>
              <w:left w:val="single" w:sz="6" w:space="0" w:color="949698"/>
            </w:tcBorders>
          </w:tcPr>
          <w:p>
            <w:pPr>
              <w:pStyle w:val="TableParagraph"/>
              <w:ind w:left="558" w:right="686"/>
              <w:rPr>
                <w:sz w:val="20"/>
              </w:rPr>
            </w:pPr>
            <w:r>
              <w:rPr>
                <w:color w:val="231F20"/>
                <w:sz w:val="20"/>
              </w:rPr>
              <w:t>pH</w:t>
            </w:r>
          </w:p>
        </w:tc>
        <w:tc>
          <w:tcPr>
            <w:tcW w:w="1741" w:type="dxa"/>
          </w:tcPr>
          <w:p>
            <w:pPr>
              <w:pStyle w:val="TableParagraph"/>
              <w:ind w:left="117" w:right="247"/>
              <w:rPr>
                <w:sz w:val="20"/>
              </w:rPr>
            </w:pPr>
            <w:r>
              <w:rPr>
                <w:color w:val="231F20"/>
                <w:sz w:val="20"/>
              </w:rPr>
              <w:t>6.5-8.5</w:t>
            </w:r>
          </w:p>
        </w:tc>
        <w:tc>
          <w:tcPr>
            <w:tcW w:w="947" w:type="dxa"/>
          </w:tcPr>
          <w:p>
            <w:pPr>
              <w:pStyle w:val="TableParagraph"/>
              <w:ind w:left="78" w:right="210"/>
              <w:rPr>
                <w:sz w:val="20"/>
              </w:rPr>
            </w:pPr>
            <w:r>
              <w:rPr>
                <w:color w:val="231F20"/>
                <w:sz w:val="20"/>
              </w:rPr>
              <w:t>6.3</w:t>
            </w:r>
          </w:p>
        </w:tc>
        <w:tc>
          <w:tcPr>
            <w:tcW w:w="947" w:type="dxa"/>
          </w:tcPr>
          <w:p>
            <w:pPr>
              <w:pStyle w:val="TableParagraph"/>
              <w:ind w:left="233"/>
              <w:jc w:val="left"/>
              <w:rPr>
                <w:sz w:val="20"/>
              </w:rPr>
            </w:pPr>
            <w:r>
              <w:rPr>
                <w:color w:val="231F20"/>
                <w:sz w:val="20"/>
              </w:rPr>
              <w:t>7.8</w:t>
            </w:r>
          </w:p>
        </w:tc>
        <w:tc>
          <w:tcPr>
            <w:tcW w:w="947" w:type="dxa"/>
          </w:tcPr>
          <w:p>
            <w:pPr>
              <w:pStyle w:val="TableParagraph"/>
              <w:ind w:left="82" w:right="210"/>
              <w:rPr>
                <w:sz w:val="20"/>
              </w:rPr>
            </w:pPr>
            <w:r>
              <w:rPr>
                <w:color w:val="231F20"/>
                <w:sz w:val="20"/>
              </w:rPr>
              <w:t>6.7</w:t>
            </w:r>
          </w:p>
        </w:tc>
        <w:tc>
          <w:tcPr>
            <w:tcW w:w="875" w:type="dxa"/>
            <w:tcBorders>
              <w:right w:val="single" w:sz="6" w:space="0" w:color="D4D0C8"/>
            </w:tcBorders>
          </w:tcPr>
          <w:p>
            <w:pPr>
              <w:pStyle w:val="TableParagraph"/>
              <w:ind w:left="135" w:right="266"/>
              <w:rPr>
                <w:sz w:val="20"/>
              </w:rPr>
            </w:pPr>
            <w:r>
              <w:rPr>
                <w:color w:val="231F20"/>
                <w:sz w:val="20"/>
              </w:rPr>
              <w:t>0.3</w:t>
            </w:r>
          </w:p>
        </w:tc>
      </w:tr>
      <w:tr>
        <w:trPr>
          <w:trHeight w:val="650" w:hRule="exact"/>
        </w:trPr>
        <w:tc>
          <w:tcPr>
            <w:tcW w:w="2428" w:type="dxa"/>
            <w:tcBorders>
              <w:left w:val="single" w:sz="6" w:space="0" w:color="949698"/>
            </w:tcBorders>
          </w:tcPr>
          <w:p>
            <w:pPr>
              <w:pStyle w:val="TableParagraph"/>
              <w:ind w:left="775" w:right="205" w:hanging="683"/>
              <w:jc w:val="left"/>
              <w:rPr>
                <w:sz w:val="20"/>
              </w:rPr>
            </w:pPr>
            <w:r>
              <w:rPr>
                <w:color w:val="231F20"/>
                <w:sz w:val="20"/>
              </w:rPr>
              <w:t>Conductividad eléctrica (µS/cm)</w:t>
            </w:r>
          </w:p>
        </w:tc>
        <w:tc>
          <w:tcPr>
            <w:tcW w:w="1741" w:type="dxa"/>
          </w:tcPr>
          <w:p>
            <w:pPr/>
          </w:p>
        </w:tc>
        <w:tc>
          <w:tcPr>
            <w:tcW w:w="947" w:type="dxa"/>
          </w:tcPr>
          <w:p>
            <w:pPr>
              <w:pStyle w:val="TableParagraph"/>
              <w:spacing w:before="171"/>
              <w:ind w:left="80" w:right="210"/>
              <w:rPr>
                <w:sz w:val="20"/>
              </w:rPr>
            </w:pPr>
            <w:r>
              <w:rPr>
                <w:color w:val="231F20"/>
                <w:sz w:val="20"/>
              </w:rPr>
              <w:t>168</w:t>
            </w:r>
          </w:p>
        </w:tc>
        <w:tc>
          <w:tcPr>
            <w:tcW w:w="947" w:type="dxa"/>
          </w:tcPr>
          <w:p>
            <w:pPr>
              <w:pStyle w:val="TableParagraph"/>
              <w:spacing w:before="171"/>
              <w:ind w:left="206"/>
              <w:jc w:val="left"/>
              <w:rPr>
                <w:sz w:val="20"/>
              </w:rPr>
            </w:pPr>
            <w:r>
              <w:rPr>
                <w:color w:val="231F20"/>
                <w:sz w:val="20"/>
              </w:rPr>
              <w:t>978</w:t>
            </w:r>
          </w:p>
        </w:tc>
        <w:tc>
          <w:tcPr>
            <w:tcW w:w="947" w:type="dxa"/>
          </w:tcPr>
          <w:p>
            <w:pPr>
              <w:pStyle w:val="TableParagraph"/>
              <w:spacing w:before="171"/>
              <w:ind w:left="82" w:right="210"/>
              <w:rPr>
                <w:sz w:val="20"/>
              </w:rPr>
            </w:pPr>
            <w:r>
              <w:rPr>
                <w:color w:val="231F20"/>
                <w:sz w:val="20"/>
              </w:rPr>
              <w:t>342</w:t>
            </w:r>
          </w:p>
        </w:tc>
        <w:tc>
          <w:tcPr>
            <w:tcW w:w="875" w:type="dxa"/>
            <w:tcBorders>
              <w:right w:val="single" w:sz="6" w:space="0" w:color="D4D0C8"/>
            </w:tcBorders>
          </w:tcPr>
          <w:p>
            <w:pPr>
              <w:pStyle w:val="TableParagraph"/>
              <w:spacing w:before="171"/>
              <w:ind w:left="134" w:right="266"/>
              <w:rPr>
                <w:sz w:val="20"/>
              </w:rPr>
            </w:pPr>
            <w:r>
              <w:rPr>
                <w:color w:val="231F20"/>
                <w:sz w:val="20"/>
              </w:rPr>
              <w:t>178</w:t>
            </w:r>
          </w:p>
        </w:tc>
      </w:tr>
      <w:tr>
        <w:trPr>
          <w:trHeight w:val="540" w:hRule="exact"/>
        </w:trPr>
        <w:tc>
          <w:tcPr>
            <w:tcW w:w="2428" w:type="dxa"/>
            <w:tcBorders>
              <w:left w:val="single" w:sz="6" w:space="0" w:color="949698"/>
            </w:tcBorders>
          </w:tcPr>
          <w:p>
            <w:pPr>
              <w:pStyle w:val="TableParagraph"/>
              <w:spacing w:line="122" w:lineRule="exact" w:before="23"/>
              <w:ind w:left="386"/>
              <w:rPr>
                <w:sz w:val="13"/>
              </w:rPr>
            </w:pPr>
            <w:r>
              <w:rPr>
                <w:color w:val="231F20"/>
                <w:w w:val="99"/>
                <w:sz w:val="13"/>
              </w:rPr>
              <w:t>-</w:t>
            </w:r>
          </w:p>
          <w:p>
            <w:pPr>
              <w:pStyle w:val="TableParagraph"/>
              <w:spacing w:line="165" w:lineRule="exact" w:before="0"/>
              <w:ind w:left="445" w:right="686"/>
              <w:rPr>
                <w:sz w:val="20"/>
              </w:rPr>
            </w:pPr>
            <w:r>
              <w:rPr>
                <w:color w:val="231F20"/>
                <w:sz w:val="20"/>
              </w:rPr>
              <w:t>HCO</w:t>
            </w:r>
          </w:p>
          <w:p>
            <w:pPr>
              <w:pStyle w:val="TableParagraph"/>
              <w:spacing w:line="112" w:lineRule="exact" w:before="0"/>
              <w:ind w:left="271"/>
              <w:rPr>
                <w:sz w:val="13"/>
              </w:rPr>
            </w:pPr>
            <w:r>
              <w:rPr>
                <w:color w:val="231F20"/>
                <w:w w:val="99"/>
                <w:sz w:val="13"/>
              </w:rPr>
              <w:t>3</w:t>
            </w:r>
          </w:p>
        </w:tc>
        <w:tc>
          <w:tcPr>
            <w:tcW w:w="1741" w:type="dxa"/>
          </w:tcPr>
          <w:p>
            <w:pPr/>
          </w:p>
        </w:tc>
        <w:tc>
          <w:tcPr>
            <w:tcW w:w="947" w:type="dxa"/>
          </w:tcPr>
          <w:p>
            <w:pPr>
              <w:pStyle w:val="TableParagraph"/>
              <w:spacing w:before="117"/>
              <w:ind w:left="79" w:right="210"/>
              <w:rPr>
                <w:sz w:val="20"/>
              </w:rPr>
            </w:pPr>
            <w:r>
              <w:rPr>
                <w:color w:val="231F20"/>
                <w:sz w:val="20"/>
              </w:rPr>
              <w:t>53</w:t>
            </w:r>
          </w:p>
        </w:tc>
        <w:tc>
          <w:tcPr>
            <w:tcW w:w="947" w:type="dxa"/>
          </w:tcPr>
          <w:p>
            <w:pPr>
              <w:pStyle w:val="TableParagraph"/>
              <w:spacing w:before="117"/>
              <w:ind w:left="206"/>
              <w:jc w:val="left"/>
              <w:rPr>
                <w:sz w:val="20"/>
              </w:rPr>
            </w:pPr>
            <w:r>
              <w:rPr>
                <w:color w:val="231F20"/>
                <w:sz w:val="20"/>
              </w:rPr>
              <w:t>223</w:t>
            </w:r>
          </w:p>
        </w:tc>
        <w:tc>
          <w:tcPr>
            <w:tcW w:w="947" w:type="dxa"/>
          </w:tcPr>
          <w:p>
            <w:pPr>
              <w:pStyle w:val="TableParagraph"/>
              <w:spacing w:before="117"/>
              <w:ind w:left="81" w:right="210"/>
              <w:rPr>
                <w:sz w:val="20"/>
              </w:rPr>
            </w:pPr>
            <w:r>
              <w:rPr>
                <w:color w:val="231F20"/>
                <w:sz w:val="20"/>
              </w:rPr>
              <w:t>98</w:t>
            </w:r>
          </w:p>
        </w:tc>
        <w:tc>
          <w:tcPr>
            <w:tcW w:w="875" w:type="dxa"/>
            <w:tcBorders>
              <w:right w:val="single" w:sz="6" w:space="0" w:color="D4D0C8"/>
            </w:tcBorders>
          </w:tcPr>
          <w:p>
            <w:pPr>
              <w:pStyle w:val="TableParagraph"/>
              <w:spacing w:before="117"/>
              <w:ind w:left="134" w:right="266"/>
              <w:rPr>
                <w:sz w:val="20"/>
              </w:rPr>
            </w:pPr>
            <w:r>
              <w:rPr>
                <w:color w:val="231F20"/>
                <w:sz w:val="20"/>
              </w:rPr>
              <w:t>37</w:t>
            </w:r>
          </w:p>
        </w:tc>
      </w:tr>
      <w:tr>
        <w:trPr>
          <w:trHeight w:val="540" w:hRule="exact"/>
        </w:trPr>
        <w:tc>
          <w:tcPr>
            <w:tcW w:w="2428" w:type="dxa"/>
            <w:tcBorders>
              <w:left w:val="single" w:sz="6" w:space="0" w:color="949698"/>
            </w:tcBorders>
          </w:tcPr>
          <w:p>
            <w:pPr>
              <w:pStyle w:val="TableParagraph"/>
              <w:spacing w:line="122" w:lineRule="exact" w:before="23"/>
              <w:ind w:left="559" w:right="329"/>
              <w:rPr>
                <w:sz w:val="13"/>
              </w:rPr>
            </w:pPr>
            <w:r>
              <w:rPr>
                <w:color w:val="231F20"/>
                <w:sz w:val="13"/>
              </w:rPr>
              <w:t>2-</w:t>
            </w:r>
          </w:p>
          <w:p>
            <w:pPr>
              <w:pStyle w:val="TableParagraph"/>
              <w:spacing w:line="165" w:lineRule="exact" w:before="0"/>
              <w:ind w:left="370" w:right="686"/>
              <w:rPr>
                <w:sz w:val="20"/>
              </w:rPr>
            </w:pPr>
            <w:r>
              <w:rPr>
                <w:color w:val="231F20"/>
                <w:sz w:val="20"/>
              </w:rPr>
              <w:t>SO</w:t>
            </w:r>
          </w:p>
          <w:p>
            <w:pPr>
              <w:pStyle w:val="TableParagraph"/>
              <w:spacing w:line="112" w:lineRule="exact" w:before="0"/>
              <w:ind w:left="43"/>
              <w:rPr>
                <w:sz w:val="13"/>
              </w:rPr>
            </w:pPr>
            <w:r>
              <w:rPr>
                <w:color w:val="231F20"/>
                <w:w w:val="99"/>
                <w:sz w:val="13"/>
              </w:rPr>
              <w:t>4</w:t>
            </w:r>
          </w:p>
        </w:tc>
        <w:tc>
          <w:tcPr>
            <w:tcW w:w="1741" w:type="dxa"/>
          </w:tcPr>
          <w:p>
            <w:pPr>
              <w:pStyle w:val="TableParagraph"/>
              <w:spacing w:before="117"/>
              <w:ind w:left="117" w:right="244"/>
              <w:rPr>
                <w:sz w:val="20"/>
              </w:rPr>
            </w:pPr>
            <w:r>
              <w:rPr>
                <w:color w:val="231F20"/>
                <w:sz w:val="20"/>
              </w:rPr>
              <w:t>400</w:t>
            </w:r>
          </w:p>
        </w:tc>
        <w:tc>
          <w:tcPr>
            <w:tcW w:w="947" w:type="dxa"/>
          </w:tcPr>
          <w:p>
            <w:pPr>
              <w:pStyle w:val="TableParagraph"/>
              <w:spacing w:before="117"/>
              <w:ind w:right="130"/>
              <w:rPr>
                <w:sz w:val="20"/>
              </w:rPr>
            </w:pPr>
            <w:r>
              <w:rPr>
                <w:color w:val="231F20"/>
                <w:w w:val="100"/>
                <w:sz w:val="20"/>
              </w:rPr>
              <w:t>2</w:t>
            </w:r>
          </w:p>
        </w:tc>
        <w:tc>
          <w:tcPr>
            <w:tcW w:w="947" w:type="dxa"/>
          </w:tcPr>
          <w:p>
            <w:pPr>
              <w:pStyle w:val="TableParagraph"/>
              <w:spacing w:before="117"/>
              <w:ind w:left="206"/>
              <w:jc w:val="left"/>
              <w:rPr>
                <w:sz w:val="20"/>
              </w:rPr>
            </w:pPr>
            <w:r>
              <w:rPr>
                <w:color w:val="231F20"/>
                <w:sz w:val="20"/>
              </w:rPr>
              <w:t>252</w:t>
            </w:r>
          </w:p>
        </w:tc>
        <w:tc>
          <w:tcPr>
            <w:tcW w:w="947" w:type="dxa"/>
          </w:tcPr>
          <w:p>
            <w:pPr>
              <w:pStyle w:val="TableParagraph"/>
              <w:spacing w:before="117"/>
              <w:ind w:left="81" w:right="210"/>
              <w:rPr>
                <w:sz w:val="20"/>
              </w:rPr>
            </w:pPr>
            <w:r>
              <w:rPr>
                <w:color w:val="231F20"/>
                <w:sz w:val="20"/>
              </w:rPr>
              <w:t>19</w:t>
            </w:r>
          </w:p>
        </w:tc>
        <w:tc>
          <w:tcPr>
            <w:tcW w:w="875" w:type="dxa"/>
            <w:tcBorders>
              <w:right w:val="single" w:sz="6" w:space="0" w:color="D4D0C8"/>
            </w:tcBorders>
          </w:tcPr>
          <w:p>
            <w:pPr>
              <w:pStyle w:val="TableParagraph"/>
              <w:spacing w:before="117"/>
              <w:ind w:left="133" w:right="266"/>
              <w:rPr>
                <w:sz w:val="20"/>
              </w:rPr>
            </w:pPr>
            <w:r>
              <w:rPr>
                <w:color w:val="231F20"/>
                <w:sz w:val="20"/>
              </w:rPr>
              <w:t>44</w:t>
            </w:r>
          </w:p>
        </w:tc>
      </w:tr>
      <w:tr>
        <w:trPr>
          <w:trHeight w:val="480" w:hRule="exact"/>
        </w:trPr>
        <w:tc>
          <w:tcPr>
            <w:tcW w:w="2428" w:type="dxa"/>
            <w:tcBorders>
              <w:left w:val="single" w:sz="6" w:space="0" w:color="949698"/>
            </w:tcBorders>
          </w:tcPr>
          <w:p>
            <w:pPr>
              <w:pStyle w:val="TableParagraph"/>
              <w:spacing w:line="122" w:lineRule="exact" w:before="23"/>
              <w:ind w:left="57"/>
              <w:rPr>
                <w:sz w:val="13"/>
              </w:rPr>
            </w:pPr>
            <w:r>
              <w:rPr>
                <w:color w:val="231F20"/>
                <w:w w:val="99"/>
                <w:sz w:val="13"/>
              </w:rPr>
              <w:t>-</w:t>
            </w:r>
          </w:p>
          <w:p>
            <w:pPr>
              <w:pStyle w:val="TableParagraph"/>
              <w:spacing w:line="202" w:lineRule="exact" w:before="0"/>
              <w:ind w:left="516" w:right="686"/>
              <w:rPr>
                <w:sz w:val="20"/>
              </w:rPr>
            </w:pPr>
            <w:r>
              <w:rPr>
                <w:color w:val="231F20"/>
                <w:sz w:val="20"/>
              </w:rPr>
              <w:t>Cl</w:t>
            </w:r>
          </w:p>
        </w:tc>
        <w:tc>
          <w:tcPr>
            <w:tcW w:w="1741" w:type="dxa"/>
          </w:tcPr>
          <w:p>
            <w:pPr>
              <w:pStyle w:val="TableParagraph"/>
              <w:spacing w:before="87"/>
              <w:ind w:left="117" w:right="244"/>
              <w:rPr>
                <w:sz w:val="20"/>
              </w:rPr>
            </w:pPr>
            <w:r>
              <w:rPr>
                <w:color w:val="231F20"/>
                <w:sz w:val="20"/>
              </w:rPr>
              <w:t>250</w:t>
            </w:r>
          </w:p>
        </w:tc>
        <w:tc>
          <w:tcPr>
            <w:tcW w:w="947" w:type="dxa"/>
          </w:tcPr>
          <w:p>
            <w:pPr>
              <w:pStyle w:val="TableParagraph"/>
              <w:spacing w:before="87"/>
              <w:ind w:right="130"/>
              <w:rPr>
                <w:sz w:val="20"/>
              </w:rPr>
            </w:pPr>
            <w:r>
              <w:rPr>
                <w:color w:val="231F20"/>
                <w:w w:val="100"/>
                <w:sz w:val="20"/>
              </w:rPr>
              <w:t>1</w:t>
            </w:r>
          </w:p>
        </w:tc>
        <w:tc>
          <w:tcPr>
            <w:tcW w:w="947" w:type="dxa"/>
          </w:tcPr>
          <w:p>
            <w:pPr>
              <w:pStyle w:val="TableParagraph"/>
              <w:spacing w:before="87"/>
              <w:ind w:left="261"/>
              <w:jc w:val="left"/>
              <w:rPr>
                <w:sz w:val="20"/>
              </w:rPr>
            </w:pPr>
            <w:r>
              <w:rPr>
                <w:color w:val="231F20"/>
                <w:sz w:val="20"/>
              </w:rPr>
              <w:t>71</w:t>
            </w:r>
          </w:p>
        </w:tc>
        <w:tc>
          <w:tcPr>
            <w:tcW w:w="947" w:type="dxa"/>
          </w:tcPr>
          <w:p>
            <w:pPr>
              <w:pStyle w:val="TableParagraph"/>
              <w:spacing w:before="87"/>
              <w:ind w:right="128"/>
              <w:rPr>
                <w:sz w:val="20"/>
              </w:rPr>
            </w:pPr>
            <w:r>
              <w:rPr>
                <w:color w:val="231F20"/>
                <w:w w:val="100"/>
                <w:sz w:val="20"/>
              </w:rPr>
              <w:t>7</w:t>
            </w:r>
          </w:p>
        </w:tc>
        <w:tc>
          <w:tcPr>
            <w:tcW w:w="875" w:type="dxa"/>
            <w:tcBorders>
              <w:right w:val="single" w:sz="6" w:space="0" w:color="D4D0C8"/>
            </w:tcBorders>
          </w:tcPr>
          <w:p>
            <w:pPr>
              <w:pStyle w:val="TableParagraph"/>
              <w:spacing w:before="87"/>
              <w:ind w:left="133" w:right="266"/>
              <w:rPr>
                <w:sz w:val="20"/>
              </w:rPr>
            </w:pPr>
            <w:r>
              <w:rPr>
                <w:color w:val="231F20"/>
                <w:sz w:val="20"/>
              </w:rPr>
              <w:t>11</w:t>
            </w:r>
          </w:p>
        </w:tc>
      </w:tr>
      <w:tr>
        <w:trPr>
          <w:trHeight w:val="540" w:hRule="exact"/>
        </w:trPr>
        <w:tc>
          <w:tcPr>
            <w:tcW w:w="2428" w:type="dxa"/>
            <w:tcBorders>
              <w:left w:val="single" w:sz="6" w:space="0" w:color="949698"/>
            </w:tcBorders>
          </w:tcPr>
          <w:p>
            <w:pPr>
              <w:pStyle w:val="TableParagraph"/>
              <w:spacing w:line="122" w:lineRule="exact" w:before="23"/>
              <w:ind w:left="242"/>
              <w:rPr>
                <w:sz w:val="13"/>
              </w:rPr>
            </w:pPr>
            <w:r>
              <w:rPr>
                <w:color w:val="231F20"/>
                <w:w w:val="99"/>
                <w:sz w:val="13"/>
              </w:rPr>
              <w:t>-</w:t>
            </w:r>
          </w:p>
          <w:p>
            <w:pPr>
              <w:pStyle w:val="TableParagraph"/>
              <w:spacing w:line="165" w:lineRule="exact" w:before="0"/>
              <w:ind w:left="445" w:right="686"/>
              <w:rPr>
                <w:sz w:val="20"/>
              </w:rPr>
            </w:pPr>
            <w:r>
              <w:rPr>
                <w:color w:val="231F20"/>
                <w:sz w:val="20"/>
              </w:rPr>
              <w:t>NO</w:t>
            </w:r>
          </w:p>
          <w:p>
            <w:pPr>
              <w:pStyle w:val="TableParagraph"/>
              <w:spacing w:line="112" w:lineRule="exact" w:before="0"/>
              <w:ind w:left="127"/>
              <w:rPr>
                <w:sz w:val="13"/>
              </w:rPr>
            </w:pPr>
            <w:r>
              <w:rPr>
                <w:color w:val="231F20"/>
                <w:w w:val="99"/>
                <w:sz w:val="13"/>
              </w:rPr>
              <w:t>3</w:t>
            </w:r>
          </w:p>
        </w:tc>
        <w:tc>
          <w:tcPr>
            <w:tcW w:w="1741" w:type="dxa"/>
          </w:tcPr>
          <w:p>
            <w:pPr>
              <w:pStyle w:val="TableParagraph"/>
              <w:spacing w:before="117"/>
              <w:ind w:left="117" w:right="246"/>
              <w:rPr>
                <w:sz w:val="20"/>
              </w:rPr>
            </w:pPr>
            <w:r>
              <w:rPr>
                <w:color w:val="231F20"/>
                <w:sz w:val="20"/>
              </w:rPr>
              <w:t>43</w:t>
            </w:r>
          </w:p>
        </w:tc>
        <w:tc>
          <w:tcPr>
            <w:tcW w:w="947" w:type="dxa"/>
          </w:tcPr>
          <w:p>
            <w:pPr>
              <w:pStyle w:val="TableParagraph"/>
              <w:spacing w:before="117"/>
              <w:ind w:left="79" w:right="210"/>
              <w:rPr>
                <w:sz w:val="20"/>
              </w:rPr>
            </w:pPr>
            <w:r>
              <w:rPr>
                <w:color w:val="231F20"/>
                <w:sz w:val="20"/>
              </w:rPr>
              <w:t>0.4</w:t>
            </w:r>
          </w:p>
        </w:tc>
        <w:tc>
          <w:tcPr>
            <w:tcW w:w="947" w:type="dxa"/>
          </w:tcPr>
          <w:p>
            <w:pPr>
              <w:pStyle w:val="TableParagraph"/>
              <w:spacing w:before="117"/>
              <w:ind w:left="261"/>
              <w:jc w:val="left"/>
              <w:rPr>
                <w:sz w:val="20"/>
              </w:rPr>
            </w:pPr>
            <w:r>
              <w:rPr>
                <w:color w:val="231F20"/>
                <w:sz w:val="20"/>
              </w:rPr>
              <w:t>68</w:t>
            </w:r>
          </w:p>
        </w:tc>
        <w:tc>
          <w:tcPr>
            <w:tcW w:w="947" w:type="dxa"/>
          </w:tcPr>
          <w:p>
            <w:pPr>
              <w:pStyle w:val="TableParagraph"/>
              <w:spacing w:before="117"/>
              <w:ind w:right="127"/>
              <w:rPr>
                <w:sz w:val="20"/>
              </w:rPr>
            </w:pPr>
            <w:r>
              <w:rPr>
                <w:color w:val="231F20"/>
                <w:w w:val="100"/>
                <w:sz w:val="20"/>
              </w:rPr>
              <w:t>9</w:t>
            </w:r>
          </w:p>
        </w:tc>
        <w:tc>
          <w:tcPr>
            <w:tcW w:w="875" w:type="dxa"/>
            <w:tcBorders>
              <w:right w:val="single" w:sz="6" w:space="0" w:color="D4D0C8"/>
            </w:tcBorders>
          </w:tcPr>
          <w:p>
            <w:pPr>
              <w:pStyle w:val="TableParagraph"/>
              <w:spacing w:before="117"/>
              <w:ind w:left="134" w:right="266"/>
              <w:rPr>
                <w:sz w:val="20"/>
              </w:rPr>
            </w:pPr>
            <w:r>
              <w:rPr>
                <w:color w:val="231F20"/>
                <w:sz w:val="20"/>
              </w:rPr>
              <w:t>12</w:t>
            </w:r>
          </w:p>
        </w:tc>
      </w:tr>
      <w:tr>
        <w:trPr>
          <w:trHeight w:val="480" w:hRule="exact"/>
        </w:trPr>
        <w:tc>
          <w:tcPr>
            <w:tcW w:w="2428" w:type="dxa"/>
            <w:tcBorders>
              <w:left w:val="single" w:sz="6" w:space="0" w:color="949698"/>
            </w:tcBorders>
          </w:tcPr>
          <w:p>
            <w:pPr>
              <w:pStyle w:val="TableParagraph"/>
              <w:spacing w:line="122" w:lineRule="exact" w:before="23"/>
              <w:ind w:left="559" w:right="412"/>
              <w:rPr>
                <w:sz w:val="13"/>
              </w:rPr>
            </w:pPr>
            <w:r>
              <w:rPr>
                <w:color w:val="231F20"/>
                <w:sz w:val="13"/>
              </w:rPr>
              <w:t>2+</w:t>
            </w:r>
          </w:p>
          <w:p>
            <w:pPr>
              <w:pStyle w:val="TableParagraph"/>
              <w:spacing w:line="202" w:lineRule="exact" w:before="0"/>
              <w:ind w:left="410" w:right="686"/>
              <w:rPr>
                <w:sz w:val="20"/>
              </w:rPr>
            </w:pPr>
            <w:r>
              <w:rPr>
                <w:color w:val="231F20"/>
                <w:sz w:val="20"/>
              </w:rPr>
              <w:t>Mg</w:t>
            </w:r>
          </w:p>
        </w:tc>
        <w:tc>
          <w:tcPr>
            <w:tcW w:w="1741" w:type="dxa"/>
          </w:tcPr>
          <w:p>
            <w:pPr/>
          </w:p>
        </w:tc>
        <w:tc>
          <w:tcPr>
            <w:tcW w:w="947" w:type="dxa"/>
          </w:tcPr>
          <w:p>
            <w:pPr>
              <w:pStyle w:val="TableParagraph"/>
              <w:spacing w:before="87"/>
              <w:ind w:right="130"/>
              <w:rPr>
                <w:sz w:val="20"/>
              </w:rPr>
            </w:pPr>
            <w:r>
              <w:rPr>
                <w:color w:val="231F20"/>
                <w:w w:val="100"/>
                <w:sz w:val="20"/>
              </w:rPr>
              <w:t>4</w:t>
            </w:r>
          </w:p>
        </w:tc>
        <w:tc>
          <w:tcPr>
            <w:tcW w:w="947" w:type="dxa"/>
          </w:tcPr>
          <w:p>
            <w:pPr>
              <w:pStyle w:val="TableParagraph"/>
              <w:spacing w:before="87"/>
              <w:ind w:left="261"/>
              <w:jc w:val="left"/>
              <w:rPr>
                <w:sz w:val="20"/>
              </w:rPr>
            </w:pPr>
            <w:r>
              <w:rPr>
                <w:color w:val="231F20"/>
                <w:sz w:val="20"/>
              </w:rPr>
              <w:t>44</w:t>
            </w:r>
          </w:p>
        </w:tc>
        <w:tc>
          <w:tcPr>
            <w:tcW w:w="947" w:type="dxa"/>
          </w:tcPr>
          <w:p>
            <w:pPr>
              <w:pStyle w:val="TableParagraph"/>
              <w:spacing w:before="87"/>
              <w:ind w:left="80" w:right="210"/>
              <w:rPr>
                <w:sz w:val="20"/>
              </w:rPr>
            </w:pPr>
            <w:r>
              <w:rPr>
                <w:color w:val="231F20"/>
                <w:sz w:val="20"/>
              </w:rPr>
              <w:t>11</w:t>
            </w:r>
          </w:p>
        </w:tc>
        <w:tc>
          <w:tcPr>
            <w:tcW w:w="875" w:type="dxa"/>
            <w:tcBorders>
              <w:right w:val="single" w:sz="6" w:space="0" w:color="D4D0C8"/>
            </w:tcBorders>
          </w:tcPr>
          <w:p>
            <w:pPr>
              <w:pStyle w:val="TableParagraph"/>
              <w:spacing w:before="87"/>
              <w:ind w:right="131"/>
              <w:rPr>
                <w:sz w:val="20"/>
              </w:rPr>
            </w:pPr>
            <w:r>
              <w:rPr>
                <w:color w:val="231F20"/>
                <w:w w:val="100"/>
                <w:sz w:val="20"/>
              </w:rPr>
              <w:t>8</w:t>
            </w:r>
          </w:p>
        </w:tc>
      </w:tr>
      <w:tr>
        <w:trPr>
          <w:trHeight w:val="480" w:hRule="exact"/>
        </w:trPr>
        <w:tc>
          <w:tcPr>
            <w:tcW w:w="2428" w:type="dxa"/>
            <w:tcBorders>
              <w:left w:val="single" w:sz="6" w:space="0" w:color="949698"/>
            </w:tcBorders>
          </w:tcPr>
          <w:p>
            <w:pPr>
              <w:pStyle w:val="TableParagraph"/>
              <w:spacing w:line="122" w:lineRule="exact" w:before="23"/>
              <w:ind w:left="559" w:right="433"/>
              <w:rPr>
                <w:sz w:val="13"/>
              </w:rPr>
            </w:pPr>
            <w:r>
              <w:rPr>
                <w:color w:val="231F20"/>
                <w:sz w:val="13"/>
              </w:rPr>
              <w:t>2+</w:t>
            </w:r>
          </w:p>
          <w:p>
            <w:pPr>
              <w:pStyle w:val="TableParagraph"/>
              <w:spacing w:line="202" w:lineRule="exact" w:before="0"/>
              <w:ind w:left="412" w:right="686"/>
              <w:rPr>
                <w:sz w:val="20"/>
              </w:rPr>
            </w:pPr>
            <w:r>
              <w:rPr>
                <w:color w:val="231F20"/>
                <w:sz w:val="20"/>
              </w:rPr>
              <w:t>Ca</w:t>
            </w:r>
          </w:p>
        </w:tc>
        <w:tc>
          <w:tcPr>
            <w:tcW w:w="1741" w:type="dxa"/>
          </w:tcPr>
          <w:p>
            <w:pPr/>
          </w:p>
        </w:tc>
        <w:tc>
          <w:tcPr>
            <w:tcW w:w="947" w:type="dxa"/>
          </w:tcPr>
          <w:p>
            <w:pPr>
              <w:pStyle w:val="TableParagraph"/>
              <w:spacing w:before="87"/>
              <w:ind w:right="130"/>
              <w:rPr>
                <w:sz w:val="20"/>
              </w:rPr>
            </w:pPr>
            <w:r>
              <w:rPr>
                <w:color w:val="231F20"/>
                <w:w w:val="100"/>
                <w:sz w:val="20"/>
              </w:rPr>
              <w:t>7</w:t>
            </w:r>
          </w:p>
        </w:tc>
        <w:tc>
          <w:tcPr>
            <w:tcW w:w="947" w:type="dxa"/>
          </w:tcPr>
          <w:p>
            <w:pPr>
              <w:pStyle w:val="TableParagraph"/>
              <w:spacing w:before="87"/>
              <w:ind w:left="261"/>
              <w:jc w:val="left"/>
              <w:rPr>
                <w:sz w:val="20"/>
              </w:rPr>
            </w:pPr>
            <w:r>
              <w:rPr>
                <w:color w:val="231F20"/>
                <w:sz w:val="20"/>
              </w:rPr>
              <w:t>46</w:t>
            </w:r>
          </w:p>
        </w:tc>
        <w:tc>
          <w:tcPr>
            <w:tcW w:w="947" w:type="dxa"/>
          </w:tcPr>
          <w:p>
            <w:pPr>
              <w:pStyle w:val="TableParagraph"/>
              <w:spacing w:before="87"/>
              <w:ind w:left="80" w:right="210"/>
              <w:rPr>
                <w:sz w:val="20"/>
              </w:rPr>
            </w:pPr>
            <w:r>
              <w:rPr>
                <w:color w:val="231F20"/>
                <w:sz w:val="20"/>
              </w:rPr>
              <w:t>13</w:t>
            </w:r>
          </w:p>
        </w:tc>
        <w:tc>
          <w:tcPr>
            <w:tcW w:w="875" w:type="dxa"/>
            <w:tcBorders>
              <w:right w:val="single" w:sz="6" w:space="0" w:color="D4D0C8"/>
            </w:tcBorders>
          </w:tcPr>
          <w:p>
            <w:pPr>
              <w:pStyle w:val="TableParagraph"/>
              <w:spacing w:before="87"/>
              <w:ind w:right="131"/>
              <w:rPr>
                <w:sz w:val="20"/>
              </w:rPr>
            </w:pPr>
            <w:r>
              <w:rPr>
                <w:color w:val="231F20"/>
                <w:w w:val="100"/>
                <w:sz w:val="20"/>
              </w:rPr>
              <w:t>8</w:t>
            </w:r>
          </w:p>
        </w:tc>
      </w:tr>
      <w:tr>
        <w:trPr>
          <w:trHeight w:val="480" w:hRule="exact"/>
        </w:trPr>
        <w:tc>
          <w:tcPr>
            <w:tcW w:w="2428" w:type="dxa"/>
            <w:tcBorders>
              <w:left w:val="single" w:sz="6" w:space="0" w:color="949698"/>
            </w:tcBorders>
          </w:tcPr>
          <w:p>
            <w:pPr>
              <w:pStyle w:val="TableParagraph"/>
              <w:spacing w:line="122" w:lineRule="exact" w:before="23"/>
              <w:ind w:left="126"/>
              <w:rPr>
                <w:sz w:val="13"/>
              </w:rPr>
            </w:pPr>
            <w:r>
              <w:rPr>
                <w:color w:val="231F20"/>
                <w:w w:val="99"/>
                <w:sz w:val="13"/>
              </w:rPr>
              <w:t>+</w:t>
            </w:r>
          </w:p>
          <w:p>
            <w:pPr>
              <w:pStyle w:val="TableParagraph"/>
              <w:spacing w:line="202" w:lineRule="exact" w:before="0"/>
              <w:ind w:left="484" w:right="686"/>
              <w:rPr>
                <w:sz w:val="20"/>
              </w:rPr>
            </w:pPr>
            <w:r>
              <w:rPr>
                <w:color w:val="231F20"/>
                <w:sz w:val="20"/>
              </w:rPr>
              <w:t>Na</w:t>
            </w:r>
          </w:p>
        </w:tc>
        <w:tc>
          <w:tcPr>
            <w:tcW w:w="1741" w:type="dxa"/>
          </w:tcPr>
          <w:p>
            <w:pPr>
              <w:pStyle w:val="TableParagraph"/>
              <w:spacing w:before="87"/>
              <w:ind w:left="117" w:right="244"/>
              <w:rPr>
                <w:sz w:val="20"/>
              </w:rPr>
            </w:pPr>
            <w:r>
              <w:rPr>
                <w:color w:val="231F20"/>
                <w:sz w:val="20"/>
              </w:rPr>
              <w:t>200</w:t>
            </w:r>
          </w:p>
        </w:tc>
        <w:tc>
          <w:tcPr>
            <w:tcW w:w="947" w:type="dxa"/>
          </w:tcPr>
          <w:p>
            <w:pPr>
              <w:pStyle w:val="TableParagraph"/>
              <w:spacing w:before="87"/>
              <w:ind w:right="130"/>
              <w:rPr>
                <w:sz w:val="20"/>
              </w:rPr>
            </w:pPr>
            <w:r>
              <w:rPr>
                <w:color w:val="231F20"/>
                <w:w w:val="100"/>
                <w:sz w:val="20"/>
              </w:rPr>
              <w:t>9</w:t>
            </w:r>
          </w:p>
        </w:tc>
        <w:tc>
          <w:tcPr>
            <w:tcW w:w="947" w:type="dxa"/>
          </w:tcPr>
          <w:p>
            <w:pPr>
              <w:pStyle w:val="TableParagraph"/>
              <w:spacing w:before="87"/>
              <w:ind w:left="261"/>
              <w:jc w:val="left"/>
              <w:rPr>
                <w:sz w:val="20"/>
              </w:rPr>
            </w:pPr>
            <w:r>
              <w:rPr>
                <w:color w:val="231F20"/>
                <w:sz w:val="20"/>
              </w:rPr>
              <w:t>45</w:t>
            </w:r>
          </w:p>
        </w:tc>
        <w:tc>
          <w:tcPr>
            <w:tcW w:w="947" w:type="dxa"/>
          </w:tcPr>
          <w:p>
            <w:pPr>
              <w:pStyle w:val="TableParagraph"/>
              <w:spacing w:before="87"/>
              <w:ind w:left="81" w:right="210"/>
              <w:rPr>
                <w:sz w:val="20"/>
              </w:rPr>
            </w:pPr>
            <w:r>
              <w:rPr>
                <w:color w:val="231F20"/>
                <w:sz w:val="20"/>
              </w:rPr>
              <w:t>20</w:t>
            </w:r>
          </w:p>
        </w:tc>
        <w:tc>
          <w:tcPr>
            <w:tcW w:w="875" w:type="dxa"/>
            <w:tcBorders>
              <w:right w:val="single" w:sz="6" w:space="0" w:color="D4D0C8"/>
            </w:tcBorders>
          </w:tcPr>
          <w:p>
            <w:pPr>
              <w:pStyle w:val="TableParagraph"/>
              <w:spacing w:before="87"/>
              <w:ind w:right="131"/>
              <w:rPr>
                <w:sz w:val="20"/>
              </w:rPr>
            </w:pPr>
            <w:r>
              <w:rPr>
                <w:color w:val="231F20"/>
                <w:w w:val="100"/>
                <w:sz w:val="20"/>
              </w:rPr>
              <w:t>8</w:t>
            </w:r>
          </w:p>
        </w:tc>
      </w:tr>
      <w:tr>
        <w:trPr>
          <w:trHeight w:val="420" w:hRule="exact"/>
        </w:trPr>
        <w:tc>
          <w:tcPr>
            <w:tcW w:w="2428" w:type="dxa"/>
            <w:tcBorders>
              <w:left w:val="single" w:sz="6" w:space="0" w:color="949698"/>
            </w:tcBorders>
          </w:tcPr>
          <w:p>
            <w:pPr>
              <w:pStyle w:val="TableParagraph"/>
              <w:spacing w:before="23"/>
              <w:ind w:left="559" w:right="686"/>
              <w:rPr>
                <w:sz w:val="13"/>
              </w:rPr>
            </w:pPr>
            <w:r>
              <w:rPr>
                <w:color w:val="231F20"/>
                <w:position w:val="-9"/>
                <w:sz w:val="20"/>
              </w:rPr>
              <w:t>K</w:t>
            </w:r>
            <w:r>
              <w:rPr>
                <w:color w:val="231F20"/>
                <w:sz w:val="13"/>
              </w:rPr>
              <w:t>+</w:t>
            </w:r>
          </w:p>
        </w:tc>
        <w:tc>
          <w:tcPr>
            <w:tcW w:w="1741" w:type="dxa"/>
          </w:tcPr>
          <w:p>
            <w:pPr/>
          </w:p>
        </w:tc>
        <w:tc>
          <w:tcPr>
            <w:tcW w:w="947" w:type="dxa"/>
          </w:tcPr>
          <w:p>
            <w:pPr>
              <w:pStyle w:val="TableParagraph"/>
              <w:ind w:right="131"/>
              <w:rPr>
                <w:sz w:val="20"/>
              </w:rPr>
            </w:pPr>
            <w:r>
              <w:rPr>
                <w:color w:val="231F20"/>
                <w:w w:val="100"/>
                <w:sz w:val="20"/>
              </w:rPr>
              <w:t>2</w:t>
            </w:r>
          </w:p>
        </w:tc>
        <w:tc>
          <w:tcPr>
            <w:tcW w:w="947" w:type="dxa"/>
          </w:tcPr>
          <w:p>
            <w:pPr>
              <w:pStyle w:val="TableParagraph"/>
              <w:ind w:left="261"/>
              <w:jc w:val="left"/>
              <w:rPr>
                <w:sz w:val="20"/>
              </w:rPr>
            </w:pPr>
            <w:r>
              <w:rPr>
                <w:color w:val="231F20"/>
                <w:sz w:val="20"/>
              </w:rPr>
              <w:t>11</w:t>
            </w:r>
          </w:p>
        </w:tc>
        <w:tc>
          <w:tcPr>
            <w:tcW w:w="947" w:type="dxa"/>
          </w:tcPr>
          <w:p>
            <w:pPr>
              <w:pStyle w:val="TableParagraph"/>
              <w:ind w:right="127"/>
              <w:rPr>
                <w:sz w:val="20"/>
              </w:rPr>
            </w:pPr>
            <w:r>
              <w:rPr>
                <w:color w:val="231F20"/>
                <w:w w:val="100"/>
                <w:sz w:val="20"/>
              </w:rPr>
              <w:t>4</w:t>
            </w:r>
          </w:p>
        </w:tc>
        <w:tc>
          <w:tcPr>
            <w:tcW w:w="875" w:type="dxa"/>
            <w:tcBorders>
              <w:right w:val="single" w:sz="6" w:space="0" w:color="D4D0C8"/>
            </w:tcBorders>
          </w:tcPr>
          <w:p>
            <w:pPr>
              <w:pStyle w:val="TableParagraph"/>
              <w:ind w:right="131"/>
              <w:rPr>
                <w:sz w:val="20"/>
              </w:rPr>
            </w:pPr>
            <w:r>
              <w:rPr>
                <w:color w:val="231F20"/>
                <w:w w:val="100"/>
                <w:sz w:val="20"/>
              </w:rPr>
              <w:t>2</w:t>
            </w:r>
          </w:p>
        </w:tc>
      </w:tr>
      <w:tr>
        <w:trPr>
          <w:trHeight w:val="420" w:hRule="exact"/>
        </w:trPr>
        <w:tc>
          <w:tcPr>
            <w:tcW w:w="2428" w:type="dxa"/>
            <w:tcBorders>
              <w:left w:val="single" w:sz="6" w:space="0" w:color="949698"/>
            </w:tcBorders>
          </w:tcPr>
          <w:p>
            <w:pPr>
              <w:pStyle w:val="TableParagraph"/>
              <w:ind w:left="558" w:right="686"/>
              <w:rPr>
                <w:sz w:val="20"/>
              </w:rPr>
            </w:pPr>
            <w:r>
              <w:rPr>
                <w:color w:val="231F20"/>
                <w:sz w:val="20"/>
              </w:rPr>
              <w:t>Fe</w:t>
            </w:r>
          </w:p>
        </w:tc>
        <w:tc>
          <w:tcPr>
            <w:tcW w:w="1741" w:type="dxa"/>
          </w:tcPr>
          <w:p>
            <w:pPr>
              <w:pStyle w:val="TableParagraph"/>
              <w:ind w:left="117" w:right="244"/>
              <w:rPr>
                <w:sz w:val="20"/>
              </w:rPr>
            </w:pPr>
            <w:r>
              <w:rPr>
                <w:color w:val="231F20"/>
                <w:sz w:val="20"/>
              </w:rPr>
              <w:t>0.30</w:t>
            </w:r>
          </w:p>
        </w:tc>
        <w:tc>
          <w:tcPr>
            <w:tcW w:w="947" w:type="dxa"/>
          </w:tcPr>
          <w:p>
            <w:pPr>
              <w:pStyle w:val="TableParagraph"/>
              <w:ind w:left="81" w:right="210"/>
              <w:rPr>
                <w:sz w:val="20"/>
              </w:rPr>
            </w:pPr>
            <w:r>
              <w:rPr>
                <w:color w:val="231F20"/>
                <w:sz w:val="20"/>
              </w:rPr>
              <w:t>0.01</w:t>
            </w:r>
          </w:p>
        </w:tc>
        <w:tc>
          <w:tcPr>
            <w:tcW w:w="947" w:type="dxa"/>
          </w:tcPr>
          <w:p>
            <w:pPr>
              <w:pStyle w:val="TableParagraph"/>
              <w:ind w:left="178"/>
              <w:jc w:val="left"/>
              <w:rPr>
                <w:sz w:val="20"/>
              </w:rPr>
            </w:pPr>
            <w:r>
              <w:rPr>
                <w:color w:val="231F20"/>
                <w:sz w:val="20"/>
              </w:rPr>
              <w:t>2.51</w:t>
            </w:r>
          </w:p>
        </w:tc>
        <w:tc>
          <w:tcPr>
            <w:tcW w:w="947" w:type="dxa"/>
          </w:tcPr>
          <w:p>
            <w:pPr>
              <w:pStyle w:val="TableParagraph"/>
              <w:ind w:left="82" w:right="208"/>
              <w:rPr>
                <w:sz w:val="20"/>
              </w:rPr>
            </w:pPr>
            <w:r>
              <w:rPr>
                <w:color w:val="231F20"/>
                <w:sz w:val="20"/>
              </w:rPr>
              <w:t>0.15</w:t>
            </w:r>
          </w:p>
        </w:tc>
        <w:tc>
          <w:tcPr>
            <w:tcW w:w="875" w:type="dxa"/>
            <w:tcBorders>
              <w:right w:val="single" w:sz="6" w:space="0" w:color="D4D0C8"/>
            </w:tcBorders>
          </w:tcPr>
          <w:p>
            <w:pPr>
              <w:pStyle w:val="TableParagraph"/>
              <w:ind w:left="135" w:right="265"/>
              <w:rPr>
                <w:sz w:val="20"/>
              </w:rPr>
            </w:pPr>
            <w:r>
              <w:rPr>
                <w:color w:val="231F20"/>
                <w:sz w:val="20"/>
              </w:rPr>
              <w:t>0.39</w:t>
            </w:r>
          </w:p>
        </w:tc>
      </w:tr>
      <w:tr>
        <w:trPr>
          <w:trHeight w:val="392" w:hRule="exact"/>
        </w:trPr>
        <w:tc>
          <w:tcPr>
            <w:tcW w:w="2428" w:type="dxa"/>
            <w:tcBorders>
              <w:left w:val="single" w:sz="6" w:space="0" w:color="949698"/>
              <w:bottom w:val="single" w:sz="6" w:space="0" w:color="D4D0C8"/>
            </w:tcBorders>
          </w:tcPr>
          <w:p>
            <w:pPr>
              <w:pStyle w:val="TableParagraph"/>
              <w:ind w:left="559" w:right="686"/>
              <w:rPr>
                <w:sz w:val="20"/>
              </w:rPr>
            </w:pPr>
            <w:r>
              <w:rPr>
                <w:color w:val="231F20"/>
                <w:sz w:val="20"/>
              </w:rPr>
              <w:t>Mn</w:t>
            </w:r>
          </w:p>
        </w:tc>
        <w:tc>
          <w:tcPr>
            <w:tcW w:w="1741" w:type="dxa"/>
            <w:tcBorders>
              <w:bottom w:val="single" w:sz="6" w:space="0" w:color="D4D0C8"/>
            </w:tcBorders>
          </w:tcPr>
          <w:p>
            <w:pPr>
              <w:pStyle w:val="TableParagraph"/>
              <w:ind w:left="117" w:right="244"/>
              <w:rPr>
                <w:sz w:val="20"/>
              </w:rPr>
            </w:pPr>
            <w:r>
              <w:rPr>
                <w:color w:val="231F20"/>
                <w:sz w:val="20"/>
              </w:rPr>
              <w:t>0.15</w:t>
            </w:r>
          </w:p>
        </w:tc>
        <w:tc>
          <w:tcPr>
            <w:tcW w:w="947" w:type="dxa"/>
            <w:tcBorders>
              <w:bottom w:val="single" w:sz="6" w:space="0" w:color="D4D0C8"/>
            </w:tcBorders>
          </w:tcPr>
          <w:p>
            <w:pPr>
              <w:pStyle w:val="TableParagraph"/>
              <w:ind w:left="81" w:right="210"/>
              <w:rPr>
                <w:sz w:val="20"/>
              </w:rPr>
            </w:pPr>
            <w:r>
              <w:rPr>
                <w:color w:val="231F20"/>
                <w:sz w:val="20"/>
              </w:rPr>
              <w:t>0.01</w:t>
            </w:r>
          </w:p>
        </w:tc>
        <w:tc>
          <w:tcPr>
            <w:tcW w:w="947" w:type="dxa"/>
            <w:tcBorders>
              <w:bottom w:val="single" w:sz="6" w:space="0" w:color="D4D0C8"/>
            </w:tcBorders>
          </w:tcPr>
          <w:p>
            <w:pPr>
              <w:pStyle w:val="TableParagraph"/>
              <w:ind w:left="179"/>
              <w:jc w:val="left"/>
              <w:rPr>
                <w:sz w:val="20"/>
              </w:rPr>
            </w:pPr>
            <w:r>
              <w:rPr>
                <w:color w:val="231F20"/>
                <w:sz w:val="20"/>
              </w:rPr>
              <w:t>0.22</w:t>
            </w:r>
          </w:p>
        </w:tc>
        <w:tc>
          <w:tcPr>
            <w:tcW w:w="947" w:type="dxa"/>
            <w:tcBorders>
              <w:bottom w:val="single" w:sz="6" w:space="0" w:color="D4D0C8"/>
            </w:tcBorders>
          </w:tcPr>
          <w:p>
            <w:pPr>
              <w:pStyle w:val="TableParagraph"/>
              <w:ind w:left="82" w:right="208"/>
              <w:rPr>
                <w:sz w:val="20"/>
              </w:rPr>
            </w:pPr>
            <w:r>
              <w:rPr>
                <w:color w:val="231F20"/>
                <w:sz w:val="20"/>
              </w:rPr>
              <w:t>0.03</w:t>
            </w:r>
          </w:p>
        </w:tc>
        <w:tc>
          <w:tcPr>
            <w:tcW w:w="875" w:type="dxa"/>
            <w:tcBorders>
              <w:bottom w:val="single" w:sz="6" w:space="0" w:color="D4D0C8"/>
              <w:right w:val="single" w:sz="6" w:space="0" w:color="D4D0C8"/>
            </w:tcBorders>
          </w:tcPr>
          <w:p>
            <w:pPr>
              <w:pStyle w:val="TableParagraph"/>
              <w:ind w:left="135" w:right="265"/>
              <w:rPr>
                <w:sz w:val="20"/>
              </w:rPr>
            </w:pPr>
            <w:r>
              <w:rPr>
                <w:color w:val="231F20"/>
                <w:sz w:val="20"/>
              </w:rPr>
              <w:t>0.04</w:t>
            </w:r>
          </w:p>
        </w:tc>
      </w:tr>
    </w:tbl>
    <w:p>
      <w:pPr>
        <w:pStyle w:val="BodyText"/>
        <w:rPr>
          <w:b/>
          <w:sz w:val="20"/>
        </w:rPr>
      </w:pPr>
    </w:p>
    <w:p>
      <w:pPr>
        <w:pStyle w:val="BodyText"/>
        <w:rPr>
          <w:b/>
          <w:sz w:val="20"/>
        </w:rPr>
      </w:pPr>
    </w:p>
    <w:p>
      <w:pPr>
        <w:pStyle w:val="BodyText"/>
        <w:spacing w:before="3"/>
        <w:rPr>
          <w:b/>
          <w:sz w:val="23"/>
        </w:rPr>
      </w:pPr>
    </w:p>
    <w:p>
      <w:pPr>
        <w:pStyle w:val="Heading1"/>
        <w:spacing w:before="70"/>
      </w:pPr>
      <w:r>
        <w:rPr>
          <w:color w:val="231F20"/>
        </w:rPr>
        <w:t>Conclusiones</w:t>
      </w:r>
    </w:p>
    <w:p>
      <w:pPr>
        <w:pStyle w:val="BodyText"/>
        <w:spacing w:before="3"/>
        <w:rPr>
          <w:b/>
          <w:sz w:val="22"/>
        </w:rPr>
      </w:pPr>
    </w:p>
    <w:p>
      <w:pPr>
        <w:pStyle w:val="BodyText"/>
        <w:spacing w:line="360" w:lineRule="auto" w:before="1"/>
        <w:ind w:left="151" w:right="141"/>
        <w:jc w:val="both"/>
      </w:pPr>
      <w:r>
        <w:rPr>
          <w:color w:val="231F20"/>
        </w:rPr>
        <w:t>El agua subterránea del acuífero profundo del Valle de Toluca presenta una baja mineralización. El anión más abundante es el bicarbonato y entre los cationes, el magnesio y el sodio. Este quimísmo es el resultado de la mezcla de dos aguas, la que procede de los acuíferos volcánicos fracturados que bordean el valle y la del agua de lluvia y riego que se infiltra aunque con el tiempo se ha incorporado un flujo regional con mayor salinidad, mayores temperaturas y  altos contenidos en</w:t>
      </w:r>
      <w:r>
        <w:rPr>
          <w:color w:val="231F20"/>
          <w:spacing w:val="-17"/>
        </w:rPr>
        <w:t> </w:t>
      </w:r>
      <w:r>
        <w:rPr>
          <w:color w:val="231F20"/>
        </w:rPr>
        <w:t>potasio.</w:t>
      </w:r>
    </w:p>
    <w:p>
      <w:pPr>
        <w:pStyle w:val="BodyText"/>
        <w:spacing w:line="360" w:lineRule="auto" w:before="124"/>
        <w:ind w:left="151" w:right="143"/>
        <w:jc w:val="both"/>
      </w:pPr>
      <w:r>
        <w:rPr>
          <w:color w:val="231F20"/>
        </w:rPr>
        <w:t>Los análisis químicos indican un bajo grado de contaminación; únicamente se encuentran concentraciones superiores a la norma vigente para agua potable en México en el caso del Fe, Mn y nitratos.</w:t>
      </w:r>
    </w:p>
    <w:p>
      <w:pPr>
        <w:spacing w:after="0" w:line="360" w:lineRule="auto"/>
        <w:jc w:val="both"/>
        <w:sectPr>
          <w:pgSz w:w="12240" w:h="15840"/>
          <w:pgMar w:header="0" w:footer="258" w:top="860" w:bottom="440" w:left="1720" w:right="1720"/>
        </w:sectPr>
      </w:pPr>
    </w:p>
    <w:p>
      <w:pPr>
        <w:pStyle w:val="BodyText"/>
        <w:spacing w:line="360" w:lineRule="auto" w:before="55"/>
        <w:ind w:left="151" w:right="141"/>
        <w:jc w:val="both"/>
      </w:pPr>
      <w:r>
        <w:rPr>
          <w:color w:val="231F20"/>
        </w:rPr>
        <w:t>Finalmente, se puede señalar que, a pesar del alto grado de contaminación que presenta la cuenca, el agua subterránea del acuífero profundo presenta un mínimo grado de contaminación por efecto de la protección que ejercen los materiales suprayacentes, algunos de los cuales conforman acuitardos.</w:t>
      </w:r>
    </w:p>
    <w:p>
      <w:pPr>
        <w:pStyle w:val="BodyText"/>
      </w:pPr>
    </w:p>
    <w:p>
      <w:pPr>
        <w:pStyle w:val="BodyText"/>
        <w:spacing w:before="4"/>
        <w:rPr>
          <w:sz w:val="30"/>
        </w:rPr>
      </w:pPr>
    </w:p>
    <w:p>
      <w:pPr>
        <w:spacing w:before="0"/>
        <w:ind w:left="151" w:right="0" w:firstLine="0"/>
        <w:jc w:val="both"/>
        <w:rPr>
          <w:b/>
          <w:sz w:val="22"/>
        </w:rPr>
      </w:pPr>
      <w:r>
        <w:rPr>
          <w:b/>
          <w:color w:val="231F20"/>
          <w:sz w:val="22"/>
        </w:rPr>
        <w:t>Referencias bibliográficas</w:t>
      </w:r>
    </w:p>
    <w:p>
      <w:pPr>
        <w:pStyle w:val="ListParagraph"/>
        <w:numPr>
          <w:ilvl w:val="0"/>
          <w:numId w:val="1"/>
        </w:numPr>
        <w:tabs>
          <w:tab w:pos="512" w:val="left" w:leader="none"/>
        </w:tabs>
        <w:spacing w:line="240" w:lineRule="auto" w:before="119" w:after="0"/>
        <w:ind w:left="634" w:right="144" w:hanging="483"/>
        <w:jc w:val="left"/>
        <w:rPr>
          <w:sz w:val="22"/>
        </w:rPr>
      </w:pPr>
      <w:r>
        <w:rPr>
          <w:color w:val="231F20"/>
          <w:sz w:val="22"/>
        </w:rPr>
        <w:t>Simmers </w:t>
      </w:r>
      <w:r>
        <w:rPr>
          <w:color w:val="231F20"/>
          <w:sz w:val="22"/>
        </w:rPr>
        <w:t>I., </w:t>
      </w:r>
      <w:r>
        <w:rPr>
          <w:color w:val="231F20"/>
          <w:sz w:val="22"/>
        </w:rPr>
        <w:t>Villarroya </w:t>
      </w:r>
      <w:r>
        <w:rPr>
          <w:color w:val="231F20"/>
          <w:sz w:val="22"/>
        </w:rPr>
        <w:t>F., </w:t>
      </w:r>
      <w:r>
        <w:rPr>
          <w:color w:val="231F20"/>
          <w:sz w:val="22"/>
        </w:rPr>
        <w:t>Rebollo </w:t>
      </w:r>
      <w:r>
        <w:rPr>
          <w:color w:val="231F20"/>
          <w:sz w:val="22"/>
        </w:rPr>
        <w:t>L.F., </w:t>
      </w:r>
      <w:r>
        <w:rPr>
          <w:color w:val="231F20"/>
          <w:sz w:val="22"/>
        </w:rPr>
        <w:t>1992: </w:t>
      </w:r>
      <w:r>
        <w:rPr>
          <w:color w:val="231F20"/>
          <w:sz w:val="22"/>
        </w:rPr>
        <w:t>Selected </w:t>
      </w:r>
      <w:r>
        <w:rPr>
          <w:color w:val="231F20"/>
          <w:sz w:val="22"/>
        </w:rPr>
        <w:t>papers </w:t>
      </w:r>
      <w:r>
        <w:rPr>
          <w:color w:val="231F20"/>
          <w:sz w:val="22"/>
        </w:rPr>
        <w:t>on </w:t>
      </w:r>
      <w:r>
        <w:rPr>
          <w:color w:val="231F20"/>
          <w:sz w:val="22"/>
        </w:rPr>
        <w:t>aquifer </w:t>
      </w:r>
      <w:r>
        <w:rPr>
          <w:color w:val="231F20"/>
          <w:sz w:val="22"/>
        </w:rPr>
        <w:t>overex- </w:t>
      </w:r>
      <w:r>
        <w:rPr>
          <w:color w:val="231F20"/>
          <w:sz w:val="22"/>
        </w:rPr>
        <w:t>ploitation. </w:t>
      </w:r>
      <w:r>
        <w:rPr>
          <w:color w:val="231F20"/>
          <w:sz w:val="22"/>
        </w:rPr>
        <w:t>Verlang </w:t>
      </w:r>
      <w:r>
        <w:rPr>
          <w:color w:val="231F20"/>
          <w:sz w:val="22"/>
        </w:rPr>
        <w:t>Heinz </w:t>
      </w:r>
      <w:r>
        <w:rPr>
          <w:color w:val="231F20"/>
          <w:sz w:val="22"/>
        </w:rPr>
        <w:t>Heisa,</w:t>
      </w:r>
      <w:r>
        <w:rPr>
          <w:color w:val="231F20"/>
          <w:spacing w:val="-12"/>
          <w:sz w:val="22"/>
        </w:rPr>
        <w:t> </w:t>
      </w:r>
      <w:r>
        <w:rPr>
          <w:color w:val="231F20"/>
          <w:sz w:val="22"/>
        </w:rPr>
        <w:t>Hannover/Germany.</w:t>
      </w:r>
    </w:p>
    <w:p>
      <w:pPr>
        <w:pStyle w:val="ListParagraph"/>
        <w:numPr>
          <w:ilvl w:val="0"/>
          <w:numId w:val="1"/>
        </w:numPr>
        <w:tabs>
          <w:tab w:pos="512" w:val="left" w:leader="none"/>
        </w:tabs>
        <w:spacing w:line="240" w:lineRule="auto" w:before="120" w:after="0"/>
        <w:ind w:left="511" w:right="0" w:hanging="360"/>
        <w:jc w:val="left"/>
        <w:rPr>
          <w:sz w:val="22"/>
        </w:rPr>
      </w:pPr>
      <w:r>
        <w:rPr>
          <w:color w:val="231F20"/>
          <w:sz w:val="22"/>
        </w:rPr>
        <w:t>Llamas  </w:t>
      </w:r>
      <w:r>
        <w:rPr>
          <w:color w:val="231F20"/>
          <w:sz w:val="22"/>
        </w:rPr>
        <w:t>R.,  </w:t>
      </w:r>
      <w:r>
        <w:rPr>
          <w:color w:val="231F20"/>
          <w:sz w:val="22"/>
        </w:rPr>
        <w:t>Custodio  </w:t>
      </w:r>
      <w:r>
        <w:rPr>
          <w:color w:val="231F20"/>
          <w:sz w:val="22"/>
        </w:rPr>
        <w:t>E.,  </w:t>
      </w:r>
      <w:r>
        <w:rPr>
          <w:color w:val="231F20"/>
          <w:sz w:val="22"/>
        </w:rPr>
        <w:t>2003:  </w:t>
      </w:r>
      <w:r>
        <w:rPr>
          <w:color w:val="231F20"/>
          <w:sz w:val="22"/>
        </w:rPr>
        <w:t>Intensive  </w:t>
      </w:r>
      <w:r>
        <w:rPr>
          <w:color w:val="231F20"/>
          <w:sz w:val="22"/>
        </w:rPr>
        <w:t>use  </w:t>
      </w:r>
      <w:r>
        <w:rPr>
          <w:color w:val="231F20"/>
          <w:sz w:val="22"/>
        </w:rPr>
        <w:t>of  </w:t>
      </w:r>
      <w:r>
        <w:rPr>
          <w:color w:val="231F20"/>
          <w:sz w:val="22"/>
        </w:rPr>
        <w:t>groundwater  </w:t>
      </w:r>
      <w:r>
        <w:rPr>
          <w:color w:val="231F20"/>
          <w:sz w:val="22"/>
        </w:rPr>
        <w:t>-  </w:t>
      </w:r>
      <w:r>
        <w:rPr>
          <w:color w:val="231F20"/>
          <w:sz w:val="22"/>
        </w:rPr>
        <w:t>Challenges</w:t>
      </w:r>
      <w:r>
        <w:rPr>
          <w:color w:val="231F20"/>
          <w:spacing w:val="-19"/>
          <w:sz w:val="22"/>
        </w:rPr>
        <w:t> </w:t>
      </w:r>
      <w:r>
        <w:rPr>
          <w:color w:val="231F20"/>
          <w:sz w:val="22"/>
        </w:rPr>
        <w:t>and</w:t>
      </w:r>
    </w:p>
    <w:p>
      <w:pPr>
        <w:spacing w:before="0"/>
        <w:ind w:left="633" w:right="76" w:firstLine="0"/>
        <w:jc w:val="left"/>
        <w:rPr>
          <w:sz w:val="22"/>
        </w:rPr>
      </w:pPr>
      <w:r>
        <w:rPr>
          <w:color w:val="231F20"/>
          <w:sz w:val="22"/>
        </w:rPr>
        <w:t>opportunities. A.A. Balkema Publishers, Lisse.</w:t>
      </w:r>
    </w:p>
    <w:p>
      <w:pPr>
        <w:pStyle w:val="ListParagraph"/>
        <w:numPr>
          <w:ilvl w:val="0"/>
          <w:numId w:val="1"/>
        </w:numPr>
        <w:tabs>
          <w:tab w:pos="512" w:val="left" w:leader="none"/>
        </w:tabs>
        <w:spacing w:line="240" w:lineRule="auto" w:before="120" w:after="0"/>
        <w:ind w:left="511" w:right="0" w:hanging="360"/>
        <w:jc w:val="left"/>
        <w:rPr>
          <w:sz w:val="22"/>
        </w:rPr>
      </w:pPr>
      <w:r>
        <w:rPr>
          <w:color w:val="231F20"/>
          <w:sz w:val="22"/>
        </w:rPr>
        <w:t>Vrba</w:t>
      </w:r>
      <w:r>
        <w:rPr>
          <w:color w:val="231F20"/>
          <w:spacing w:val="52"/>
          <w:sz w:val="22"/>
        </w:rPr>
        <w:t> </w:t>
      </w:r>
      <w:r>
        <w:rPr>
          <w:color w:val="231F20"/>
          <w:sz w:val="22"/>
        </w:rPr>
        <w:t>J.,</w:t>
      </w:r>
      <w:r>
        <w:rPr>
          <w:color w:val="231F20"/>
          <w:spacing w:val="52"/>
          <w:sz w:val="22"/>
        </w:rPr>
        <w:t> </w:t>
      </w:r>
      <w:r>
        <w:rPr>
          <w:color w:val="231F20"/>
          <w:sz w:val="22"/>
        </w:rPr>
        <w:t>2003:</w:t>
      </w:r>
      <w:r>
        <w:rPr>
          <w:color w:val="231F20"/>
          <w:spacing w:val="52"/>
          <w:sz w:val="22"/>
        </w:rPr>
        <w:t> </w:t>
      </w:r>
      <w:r>
        <w:rPr>
          <w:color w:val="231F20"/>
          <w:sz w:val="22"/>
        </w:rPr>
        <w:t>The</w:t>
      </w:r>
      <w:r>
        <w:rPr>
          <w:color w:val="231F20"/>
          <w:spacing w:val="52"/>
          <w:sz w:val="22"/>
        </w:rPr>
        <w:t> </w:t>
      </w:r>
      <w:r>
        <w:rPr>
          <w:color w:val="231F20"/>
          <w:sz w:val="22"/>
        </w:rPr>
        <w:t>impact</w:t>
      </w:r>
      <w:r>
        <w:rPr>
          <w:color w:val="231F20"/>
          <w:spacing w:val="52"/>
          <w:sz w:val="22"/>
        </w:rPr>
        <w:t> </w:t>
      </w:r>
      <w:r>
        <w:rPr>
          <w:color w:val="231F20"/>
          <w:sz w:val="22"/>
        </w:rPr>
        <w:t>of</w:t>
      </w:r>
      <w:r>
        <w:rPr>
          <w:color w:val="231F20"/>
          <w:spacing w:val="52"/>
          <w:sz w:val="22"/>
        </w:rPr>
        <w:t> </w:t>
      </w:r>
      <w:r>
        <w:rPr>
          <w:color w:val="231F20"/>
          <w:sz w:val="22"/>
        </w:rPr>
        <w:t>aquifer</w:t>
      </w:r>
      <w:r>
        <w:rPr>
          <w:color w:val="231F20"/>
          <w:spacing w:val="52"/>
          <w:sz w:val="22"/>
        </w:rPr>
        <w:t> </w:t>
      </w:r>
      <w:r>
        <w:rPr>
          <w:color w:val="231F20"/>
          <w:sz w:val="22"/>
        </w:rPr>
        <w:t>intensive</w:t>
      </w:r>
      <w:r>
        <w:rPr>
          <w:color w:val="231F20"/>
          <w:spacing w:val="52"/>
          <w:sz w:val="22"/>
        </w:rPr>
        <w:t> </w:t>
      </w:r>
      <w:r>
        <w:rPr>
          <w:color w:val="231F20"/>
          <w:sz w:val="22"/>
        </w:rPr>
        <w:t>use</w:t>
      </w:r>
      <w:r>
        <w:rPr>
          <w:color w:val="231F20"/>
          <w:spacing w:val="52"/>
          <w:sz w:val="22"/>
        </w:rPr>
        <w:t> </w:t>
      </w:r>
      <w:r>
        <w:rPr>
          <w:color w:val="231F20"/>
          <w:sz w:val="22"/>
        </w:rPr>
        <w:t>on</w:t>
      </w:r>
      <w:r>
        <w:rPr>
          <w:color w:val="231F20"/>
          <w:spacing w:val="52"/>
          <w:sz w:val="22"/>
        </w:rPr>
        <w:t> </w:t>
      </w:r>
      <w:r>
        <w:rPr>
          <w:color w:val="231F20"/>
          <w:sz w:val="22"/>
        </w:rPr>
        <w:t>groundwater</w:t>
      </w:r>
      <w:r>
        <w:rPr>
          <w:color w:val="231F20"/>
          <w:spacing w:val="52"/>
          <w:sz w:val="22"/>
        </w:rPr>
        <w:t> </w:t>
      </w:r>
      <w:r>
        <w:rPr>
          <w:color w:val="231F20"/>
          <w:sz w:val="22"/>
        </w:rPr>
        <w:t>quality.</w:t>
      </w:r>
      <w:r>
        <w:rPr>
          <w:color w:val="231F20"/>
          <w:spacing w:val="52"/>
          <w:sz w:val="22"/>
        </w:rPr>
        <w:t> </w:t>
      </w:r>
      <w:r>
        <w:rPr>
          <w:color w:val="231F20"/>
          <w:sz w:val="22"/>
        </w:rPr>
        <w:t>In:</w:t>
      </w:r>
    </w:p>
    <w:p>
      <w:pPr>
        <w:spacing w:before="0"/>
        <w:ind w:left="633" w:right="76" w:firstLine="0"/>
        <w:jc w:val="left"/>
        <w:rPr>
          <w:sz w:val="22"/>
        </w:rPr>
      </w:pPr>
      <w:r>
        <w:rPr>
          <w:color w:val="231F20"/>
          <w:sz w:val="22"/>
        </w:rPr>
        <w:t>Llamas R., Custodio E. (eds.), Intensive use of groundwater - Challenges and opportunities. A.A. Balkema Publishers, Lisse. pp. 113-132.</w:t>
      </w:r>
    </w:p>
    <w:p>
      <w:pPr>
        <w:pStyle w:val="ListParagraph"/>
        <w:numPr>
          <w:ilvl w:val="0"/>
          <w:numId w:val="1"/>
        </w:numPr>
        <w:tabs>
          <w:tab w:pos="512" w:val="left" w:leader="none"/>
        </w:tabs>
        <w:spacing w:line="240" w:lineRule="auto" w:before="120" w:after="0"/>
        <w:ind w:left="634" w:right="143" w:hanging="483"/>
        <w:jc w:val="both"/>
        <w:rPr>
          <w:sz w:val="22"/>
        </w:rPr>
      </w:pPr>
      <w:r>
        <w:rPr>
          <w:color w:val="231F20"/>
          <w:sz w:val="22"/>
        </w:rPr>
        <w:t>Herrera </w:t>
      </w:r>
      <w:r>
        <w:rPr>
          <w:color w:val="231F20"/>
          <w:sz w:val="22"/>
        </w:rPr>
        <w:t>M.E., </w:t>
      </w:r>
      <w:r>
        <w:rPr>
          <w:color w:val="231F20"/>
          <w:sz w:val="22"/>
        </w:rPr>
        <w:t>Sánchez </w:t>
      </w:r>
      <w:r>
        <w:rPr>
          <w:color w:val="231F20"/>
          <w:sz w:val="22"/>
        </w:rPr>
        <w:t>J.L., </w:t>
      </w:r>
      <w:r>
        <w:rPr>
          <w:color w:val="231F20"/>
          <w:sz w:val="22"/>
        </w:rPr>
        <w:t>1994: </w:t>
      </w:r>
      <w:r>
        <w:rPr>
          <w:color w:val="231F20"/>
          <w:sz w:val="22"/>
        </w:rPr>
        <w:t>Estratificación </w:t>
      </w:r>
      <w:r>
        <w:rPr>
          <w:color w:val="231F20"/>
          <w:sz w:val="22"/>
        </w:rPr>
        <w:t>y </w:t>
      </w:r>
      <w:r>
        <w:rPr>
          <w:color w:val="231F20"/>
          <w:sz w:val="22"/>
        </w:rPr>
        <w:t>recursos </w:t>
      </w:r>
      <w:r>
        <w:rPr>
          <w:color w:val="231F20"/>
          <w:sz w:val="22"/>
        </w:rPr>
        <w:t>minerales </w:t>
      </w:r>
      <w:r>
        <w:rPr>
          <w:color w:val="231F20"/>
          <w:sz w:val="22"/>
        </w:rPr>
        <w:t>del </w:t>
      </w:r>
      <w:r>
        <w:rPr>
          <w:color w:val="231F20"/>
          <w:sz w:val="22"/>
        </w:rPr>
        <w:t>Estado </w:t>
      </w:r>
      <w:r>
        <w:rPr>
          <w:color w:val="231F20"/>
          <w:sz w:val="22"/>
        </w:rPr>
        <w:t>de </w:t>
      </w:r>
      <w:r>
        <w:rPr>
          <w:color w:val="231F20"/>
          <w:sz w:val="22"/>
        </w:rPr>
        <w:t>México </w:t>
      </w:r>
      <w:r>
        <w:rPr>
          <w:color w:val="231F20"/>
          <w:sz w:val="22"/>
        </w:rPr>
        <w:t>- </w:t>
      </w:r>
      <w:r>
        <w:rPr>
          <w:color w:val="231F20"/>
          <w:sz w:val="22"/>
        </w:rPr>
        <w:t>Memoria </w:t>
      </w:r>
      <w:r>
        <w:rPr>
          <w:color w:val="231F20"/>
          <w:sz w:val="22"/>
        </w:rPr>
        <w:t>y </w:t>
      </w:r>
      <w:r>
        <w:rPr>
          <w:color w:val="231F20"/>
          <w:sz w:val="22"/>
        </w:rPr>
        <w:t>mapas. </w:t>
      </w:r>
      <w:r>
        <w:rPr>
          <w:color w:val="231F20"/>
          <w:sz w:val="22"/>
        </w:rPr>
        <w:t>Gobierno </w:t>
      </w:r>
      <w:r>
        <w:rPr>
          <w:color w:val="231F20"/>
          <w:sz w:val="22"/>
        </w:rPr>
        <w:t>del </w:t>
      </w:r>
      <w:r>
        <w:rPr>
          <w:color w:val="231F20"/>
          <w:sz w:val="22"/>
        </w:rPr>
        <w:t>Estado </w:t>
      </w:r>
      <w:r>
        <w:rPr>
          <w:color w:val="231F20"/>
          <w:sz w:val="22"/>
        </w:rPr>
        <w:t>de </w:t>
      </w:r>
      <w:r>
        <w:rPr>
          <w:color w:val="231F20"/>
          <w:sz w:val="22"/>
        </w:rPr>
        <w:t>México. </w:t>
      </w:r>
      <w:r>
        <w:rPr>
          <w:color w:val="231F20"/>
          <w:sz w:val="22"/>
        </w:rPr>
        <w:t>Secretaria </w:t>
      </w:r>
      <w:r>
        <w:rPr>
          <w:color w:val="231F20"/>
          <w:sz w:val="22"/>
        </w:rPr>
        <w:t>de </w:t>
      </w:r>
      <w:r>
        <w:rPr>
          <w:color w:val="231F20"/>
          <w:sz w:val="22"/>
        </w:rPr>
        <w:t>Desarrollo</w:t>
      </w:r>
      <w:r>
        <w:rPr>
          <w:color w:val="231F20"/>
          <w:spacing w:val="-5"/>
          <w:sz w:val="22"/>
        </w:rPr>
        <w:t> </w:t>
      </w:r>
      <w:r>
        <w:rPr>
          <w:color w:val="231F20"/>
          <w:sz w:val="22"/>
        </w:rPr>
        <w:t>Económico.</w:t>
      </w:r>
    </w:p>
    <w:p>
      <w:pPr>
        <w:pStyle w:val="ListParagraph"/>
        <w:numPr>
          <w:ilvl w:val="0"/>
          <w:numId w:val="1"/>
        </w:numPr>
        <w:tabs>
          <w:tab w:pos="512" w:val="left" w:leader="none"/>
        </w:tabs>
        <w:spacing w:line="240" w:lineRule="auto" w:before="120" w:after="0"/>
        <w:ind w:left="511" w:right="0" w:hanging="360"/>
        <w:jc w:val="left"/>
        <w:rPr>
          <w:sz w:val="22"/>
        </w:rPr>
      </w:pPr>
      <w:r>
        <w:rPr>
          <w:color w:val="231F20"/>
          <w:sz w:val="22"/>
        </w:rPr>
        <w:t>UNITECNIA, </w:t>
      </w:r>
      <w:r>
        <w:rPr>
          <w:color w:val="231F20"/>
          <w:sz w:val="22"/>
        </w:rPr>
        <w:t>S.A. </w:t>
      </w:r>
      <w:r>
        <w:rPr>
          <w:color w:val="231F20"/>
          <w:sz w:val="22"/>
        </w:rPr>
        <w:t>de </w:t>
      </w:r>
      <w:r>
        <w:rPr>
          <w:color w:val="231F20"/>
          <w:sz w:val="22"/>
        </w:rPr>
        <w:t>C.V., </w:t>
      </w:r>
      <w:r>
        <w:rPr>
          <w:color w:val="231F20"/>
          <w:sz w:val="22"/>
        </w:rPr>
        <w:t>1996: </w:t>
      </w:r>
      <w:r>
        <w:rPr>
          <w:color w:val="231F20"/>
          <w:sz w:val="22"/>
        </w:rPr>
        <w:t>Estudio </w:t>
      </w:r>
      <w:r>
        <w:rPr>
          <w:color w:val="231F20"/>
          <w:sz w:val="22"/>
        </w:rPr>
        <w:t>para </w:t>
      </w:r>
      <w:r>
        <w:rPr>
          <w:color w:val="231F20"/>
          <w:sz w:val="22"/>
        </w:rPr>
        <w:t>el </w:t>
      </w:r>
      <w:r>
        <w:rPr>
          <w:color w:val="231F20"/>
          <w:sz w:val="22"/>
        </w:rPr>
        <w:t>diseño </w:t>
      </w:r>
      <w:r>
        <w:rPr>
          <w:color w:val="231F20"/>
          <w:sz w:val="22"/>
        </w:rPr>
        <w:t>de </w:t>
      </w:r>
      <w:r>
        <w:rPr>
          <w:color w:val="231F20"/>
          <w:sz w:val="22"/>
        </w:rPr>
        <w:t>redes </w:t>
      </w:r>
      <w:r>
        <w:rPr>
          <w:color w:val="231F20"/>
          <w:sz w:val="22"/>
        </w:rPr>
        <w:t>de </w:t>
      </w:r>
      <w:r>
        <w:rPr>
          <w:color w:val="231F20"/>
          <w:sz w:val="22"/>
        </w:rPr>
        <w:t>monitoreo  </w:t>
      </w:r>
      <w:r>
        <w:rPr>
          <w:color w:val="231F20"/>
          <w:spacing w:val="7"/>
          <w:sz w:val="22"/>
        </w:rPr>
        <w:t> </w:t>
      </w:r>
      <w:r>
        <w:rPr>
          <w:color w:val="231F20"/>
          <w:sz w:val="22"/>
        </w:rPr>
        <w:t>de</w:t>
      </w:r>
    </w:p>
    <w:p>
      <w:pPr>
        <w:spacing w:after="0" w:line="240" w:lineRule="auto"/>
        <w:jc w:val="left"/>
        <w:rPr>
          <w:sz w:val="22"/>
        </w:rPr>
        <w:sectPr>
          <w:pgSz w:w="12240" w:h="15840"/>
          <w:pgMar w:header="0" w:footer="258" w:top="860" w:bottom="440" w:left="1720" w:right="1720"/>
        </w:sectPr>
      </w:pPr>
    </w:p>
    <w:p>
      <w:pPr>
        <w:spacing w:before="0"/>
        <w:ind w:left="633" w:right="-12" w:firstLine="0"/>
        <w:jc w:val="left"/>
        <w:rPr>
          <w:sz w:val="22"/>
        </w:rPr>
      </w:pPr>
      <w:r>
        <w:rPr>
          <w:color w:val="231F20"/>
          <w:sz w:val="22"/>
        </w:rPr>
        <w:t>los  acuíferos  de  los</w:t>
      </w:r>
      <w:r>
        <w:rPr>
          <w:color w:val="231F20"/>
          <w:spacing w:val="-21"/>
          <w:sz w:val="22"/>
        </w:rPr>
        <w:t> </w:t>
      </w:r>
      <w:r>
        <w:rPr>
          <w:color w:val="231F20"/>
          <w:sz w:val="22"/>
        </w:rPr>
        <w:t>Valles</w:t>
      </w:r>
    </w:p>
    <w:p>
      <w:pPr>
        <w:spacing w:before="0"/>
        <w:ind w:left="64" w:right="0" w:firstLine="0"/>
        <w:jc w:val="left"/>
        <w:rPr>
          <w:sz w:val="22"/>
        </w:rPr>
      </w:pPr>
      <w:r>
        <w:rPr/>
        <w:br w:type="column"/>
      </w:r>
      <w:r>
        <w:rPr>
          <w:color w:val="231F20"/>
          <w:sz w:val="22"/>
        </w:rPr>
        <w:t>de Toluca y Atlacomulco-Ixtlahuaca, en    el</w:t>
      </w:r>
    </w:p>
    <w:p>
      <w:pPr>
        <w:spacing w:before="0"/>
        <w:ind w:left="63" w:right="0" w:firstLine="0"/>
        <w:jc w:val="left"/>
        <w:rPr>
          <w:sz w:val="22"/>
        </w:rPr>
      </w:pPr>
      <w:r>
        <w:rPr/>
        <w:br w:type="column"/>
      </w:r>
      <w:r>
        <w:rPr>
          <w:color w:val="231F20"/>
          <w:sz w:val="22"/>
        </w:rPr>
        <w:t>Edo. de</w:t>
      </w:r>
    </w:p>
    <w:p>
      <w:pPr>
        <w:spacing w:after="0"/>
        <w:jc w:val="left"/>
        <w:rPr>
          <w:sz w:val="22"/>
        </w:rPr>
        <w:sectPr>
          <w:type w:val="continuous"/>
          <w:pgSz w:w="12240" w:h="15840"/>
          <w:pgMar w:top="920" w:bottom="440" w:left="1720" w:right="1720"/>
          <w:cols w:num="3" w:equalWidth="0">
            <w:col w:w="3360" w:space="40"/>
            <w:col w:w="4352" w:space="40"/>
            <w:col w:w="1008"/>
          </w:cols>
        </w:sectPr>
      </w:pPr>
    </w:p>
    <w:p>
      <w:pPr>
        <w:spacing w:line="252" w:lineRule="exact" w:before="0"/>
        <w:ind w:left="633" w:right="76" w:firstLine="0"/>
        <w:jc w:val="left"/>
        <w:rPr>
          <w:sz w:val="22"/>
        </w:rPr>
      </w:pPr>
      <w:r>
        <w:rPr>
          <w:color w:val="231F20"/>
          <w:sz w:val="22"/>
        </w:rPr>
        <w:t>México. Comisión Nacional del Agua. 66 pp., planos y anexos.</w:t>
      </w:r>
    </w:p>
    <w:p>
      <w:pPr>
        <w:pStyle w:val="ListParagraph"/>
        <w:numPr>
          <w:ilvl w:val="0"/>
          <w:numId w:val="1"/>
        </w:numPr>
        <w:tabs>
          <w:tab w:pos="512" w:val="left" w:leader="none"/>
        </w:tabs>
        <w:spacing w:line="240" w:lineRule="auto" w:before="120" w:after="0"/>
        <w:ind w:left="511" w:right="0" w:hanging="360"/>
        <w:jc w:val="left"/>
        <w:rPr>
          <w:sz w:val="22"/>
        </w:rPr>
      </w:pPr>
      <w:r>
        <w:rPr>
          <w:color w:val="231F20"/>
          <w:sz w:val="22"/>
        </w:rPr>
        <w:t>CNA,</w:t>
      </w:r>
      <w:r>
        <w:rPr>
          <w:color w:val="231F20"/>
          <w:spacing w:val="39"/>
          <w:sz w:val="22"/>
        </w:rPr>
        <w:t> </w:t>
      </w:r>
      <w:r>
        <w:rPr>
          <w:color w:val="231F20"/>
          <w:sz w:val="22"/>
        </w:rPr>
        <w:t>2002:</w:t>
      </w:r>
      <w:r>
        <w:rPr>
          <w:color w:val="231F20"/>
          <w:spacing w:val="40"/>
          <w:sz w:val="22"/>
        </w:rPr>
        <w:t> </w:t>
      </w:r>
      <w:r>
        <w:rPr>
          <w:color w:val="231F20"/>
          <w:sz w:val="22"/>
        </w:rPr>
        <w:t>Determinación</w:t>
      </w:r>
      <w:r>
        <w:rPr>
          <w:color w:val="231F20"/>
          <w:spacing w:val="39"/>
          <w:sz w:val="22"/>
        </w:rPr>
        <w:t> </w:t>
      </w:r>
      <w:r>
        <w:rPr>
          <w:color w:val="231F20"/>
          <w:sz w:val="22"/>
        </w:rPr>
        <w:t>de</w:t>
      </w:r>
      <w:r>
        <w:rPr>
          <w:color w:val="231F20"/>
          <w:spacing w:val="39"/>
          <w:sz w:val="22"/>
        </w:rPr>
        <w:t> </w:t>
      </w:r>
      <w:r>
        <w:rPr>
          <w:color w:val="231F20"/>
          <w:sz w:val="22"/>
        </w:rPr>
        <w:t>la</w:t>
      </w:r>
      <w:r>
        <w:rPr>
          <w:color w:val="231F20"/>
          <w:spacing w:val="39"/>
          <w:sz w:val="22"/>
        </w:rPr>
        <w:t> </w:t>
      </w:r>
      <w:r>
        <w:rPr>
          <w:color w:val="231F20"/>
          <w:sz w:val="22"/>
        </w:rPr>
        <w:t>disponibilidad</w:t>
      </w:r>
      <w:r>
        <w:rPr>
          <w:color w:val="231F20"/>
          <w:spacing w:val="38"/>
          <w:sz w:val="22"/>
        </w:rPr>
        <w:t> </w:t>
      </w:r>
      <w:r>
        <w:rPr>
          <w:color w:val="231F20"/>
          <w:sz w:val="22"/>
        </w:rPr>
        <w:t>de</w:t>
      </w:r>
      <w:r>
        <w:rPr>
          <w:color w:val="231F20"/>
          <w:spacing w:val="39"/>
          <w:sz w:val="22"/>
        </w:rPr>
        <w:t> </w:t>
      </w:r>
      <w:r>
        <w:rPr>
          <w:color w:val="231F20"/>
          <w:sz w:val="22"/>
        </w:rPr>
        <w:t>agua</w:t>
      </w:r>
      <w:r>
        <w:rPr>
          <w:color w:val="231F20"/>
          <w:spacing w:val="39"/>
          <w:sz w:val="22"/>
        </w:rPr>
        <w:t> </w:t>
      </w:r>
      <w:r>
        <w:rPr>
          <w:color w:val="231F20"/>
          <w:sz w:val="22"/>
        </w:rPr>
        <w:t>en</w:t>
      </w:r>
      <w:r>
        <w:rPr>
          <w:color w:val="231F20"/>
          <w:spacing w:val="39"/>
          <w:sz w:val="22"/>
        </w:rPr>
        <w:t> </w:t>
      </w:r>
      <w:r>
        <w:rPr>
          <w:color w:val="231F20"/>
          <w:sz w:val="22"/>
        </w:rPr>
        <w:t>el</w:t>
      </w:r>
      <w:r>
        <w:rPr>
          <w:color w:val="231F20"/>
          <w:spacing w:val="39"/>
          <w:sz w:val="22"/>
        </w:rPr>
        <w:t> </w:t>
      </w:r>
      <w:r>
        <w:rPr>
          <w:color w:val="231F20"/>
          <w:sz w:val="22"/>
        </w:rPr>
        <w:t>acuífero</w:t>
      </w:r>
      <w:r>
        <w:rPr>
          <w:color w:val="231F20"/>
          <w:spacing w:val="39"/>
          <w:sz w:val="22"/>
        </w:rPr>
        <w:t> </w:t>
      </w:r>
      <w:r>
        <w:rPr>
          <w:color w:val="231F20"/>
          <w:sz w:val="22"/>
        </w:rPr>
        <w:t>Valle</w:t>
      </w:r>
      <w:r>
        <w:rPr>
          <w:color w:val="231F20"/>
          <w:spacing w:val="39"/>
          <w:sz w:val="22"/>
        </w:rPr>
        <w:t> </w:t>
      </w:r>
      <w:r>
        <w:rPr>
          <w:color w:val="231F20"/>
          <w:sz w:val="22"/>
        </w:rPr>
        <w:t>de</w:t>
      </w:r>
    </w:p>
    <w:p>
      <w:pPr>
        <w:spacing w:after="0" w:line="240" w:lineRule="auto"/>
        <w:jc w:val="left"/>
        <w:rPr>
          <w:sz w:val="22"/>
        </w:rPr>
        <w:sectPr>
          <w:type w:val="continuous"/>
          <w:pgSz w:w="12240" w:h="15840"/>
          <w:pgMar w:top="920" w:bottom="440" w:left="1720" w:right="1720"/>
        </w:sectPr>
      </w:pPr>
    </w:p>
    <w:p>
      <w:pPr>
        <w:spacing w:before="0"/>
        <w:ind w:left="633" w:right="0" w:firstLine="0"/>
        <w:jc w:val="left"/>
        <w:rPr>
          <w:sz w:val="22"/>
        </w:rPr>
      </w:pPr>
      <w:r>
        <w:rPr>
          <w:color w:val="231F20"/>
          <w:sz w:val="22"/>
        </w:rPr>
        <w:t>Toluca, Estado de México. Comisión Nacional del Agua. México.</w:t>
      </w:r>
    </w:p>
    <w:p>
      <w:pPr>
        <w:pStyle w:val="ListParagraph"/>
        <w:numPr>
          <w:ilvl w:val="0"/>
          <w:numId w:val="1"/>
        </w:numPr>
        <w:tabs>
          <w:tab w:pos="512" w:val="left" w:leader="none"/>
        </w:tabs>
        <w:spacing w:line="240" w:lineRule="auto" w:before="120" w:after="0"/>
        <w:ind w:left="511" w:right="0" w:hanging="360"/>
        <w:jc w:val="left"/>
        <w:rPr>
          <w:sz w:val="22"/>
        </w:rPr>
      </w:pPr>
      <w:r>
        <w:rPr>
          <w:color w:val="231F20"/>
          <w:sz w:val="22"/>
        </w:rPr>
        <w:t>Esteller  </w:t>
      </w:r>
      <w:r>
        <w:rPr>
          <w:color w:val="231F20"/>
          <w:sz w:val="22"/>
        </w:rPr>
        <w:t>M.V.,  </w:t>
      </w:r>
      <w:r>
        <w:rPr>
          <w:color w:val="231F20"/>
          <w:sz w:val="22"/>
        </w:rPr>
        <w:t>Díaz-Delgado  </w:t>
      </w:r>
      <w:r>
        <w:rPr>
          <w:color w:val="231F20"/>
          <w:sz w:val="22"/>
        </w:rPr>
        <w:t>C.,  </w:t>
      </w:r>
      <w:r>
        <w:rPr>
          <w:color w:val="231F20"/>
          <w:sz w:val="22"/>
        </w:rPr>
        <w:t>2002.  </w:t>
      </w:r>
      <w:r>
        <w:rPr>
          <w:color w:val="231F20"/>
          <w:sz w:val="22"/>
        </w:rPr>
        <w:t>Environmental  </w:t>
      </w:r>
      <w:r>
        <w:rPr>
          <w:color w:val="231F20"/>
          <w:sz w:val="22"/>
        </w:rPr>
        <w:t>effects</w:t>
      </w:r>
      <w:r>
        <w:rPr>
          <w:color w:val="231F20"/>
          <w:spacing w:val="34"/>
          <w:sz w:val="22"/>
        </w:rPr>
        <w:t> </w:t>
      </w:r>
      <w:r>
        <w:rPr>
          <w:color w:val="231F20"/>
          <w:sz w:val="22"/>
        </w:rPr>
        <w:t>of</w:t>
      </w:r>
    </w:p>
    <w:p>
      <w:pPr>
        <w:pStyle w:val="BodyText"/>
        <w:spacing w:before="5"/>
        <w:rPr>
          <w:sz w:val="32"/>
        </w:rPr>
      </w:pPr>
      <w:r>
        <w:rPr/>
        <w:br w:type="column"/>
      </w:r>
      <w:r>
        <w:rPr>
          <w:sz w:val="32"/>
        </w:rPr>
      </w:r>
    </w:p>
    <w:p>
      <w:pPr>
        <w:spacing w:before="0"/>
        <w:ind w:left="79" w:right="0" w:firstLine="0"/>
        <w:jc w:val="left"/>
        <w:rPr>
          <w:sz w:val="22"/>
        </w:rPr>
      </w:pPr>
      <w:r>
        <w:rPr>
          <w:color w:val="231F20"/>
          <w:sz w:val="22"/>
        </w:rPr>
        <w:t>aquifer</w:t>
      </w:r>
      <w:r>
        <w:rPr>
          <w:color w:val="231F20"/>
          <w:spacing w:val="55"/>
          <w:sz w:val="22"/>
        </w:rPr>
        <w:t> </w:t>
      </w:r>
      <w:r>
        <w:rPr>
          <w:color w:val="231F20"/>
          <w:sz w:val="22"/>
        </w:rPr>
        <w:t>overex-</w:t>
      </w:r>
    </w:p>
    <w:p>
      <w:pPr>
        <w:spacing w:after="0"/>
        <w:jc w:val="left"/>
        <w:rPr>
          <w:sz w:val="22"/>
        </w:rPr>
        <w:sectPr>
          <w:type w:val="continuous"/>
          <w:pgSz w:w="12240" w:h="15840"/>
          <w:pgMar w:top="920" w:bottom="440" w:left="1720" w:right="1720"/>
          <w:cols w:num="2" w:equalWidth="0">
            <w:col w:w="7011" w:space="40"/>
            <w:col w:w="1749"/>
          </w:cols>
        </w:sectPr>
      </w:pPr>
    </w:p>
    <w:p>
      <w:pPr>
        <w:spacing w:before="0"/>
        <w:ind w:left="633" w:right="144" w:firstLine="0"/>
        <w:jc w:val="left"/>
        <w:rPr>
          <w:sz w:val="22"/>
        </w:rPr>
      </w:pPr>
      <w:r>
        <w:rPr>
          <w:color w:val="231F20"/>
          <w:sz w:val="22"/>
        </w:rPr>
        <w:t>ploitation: a case study in the highlands of Mexico. Environ. Management 29 (2), 266-278.</w:t>
      </w:r>
    </w:p>
    <w:p>
      <w:pPr>
        <w:pStyle w:val="ListParagraph"/>
        <w:numPr>
          <w:ilvl w:val="0"/>
          <w:numId w:val="1"/>
        </w:numPr>
        <w:tabs>
          <w:tab w:pos="512" w:val="left" w:leader="none"/>
        </w:tabs>
        <w:spacing w:line="240" w:lineRule="auto" w:before="120" w:after="0"/>
        <w:ind w:left="634" w:right="143" w:hanging="483"/>
        <w:jc w:val="both"/>
        <w:rPr>
          <w:sz w:val="22"/>
        </w:rPr>
      </w:pPr>
      <w:r>
        <w:rPr>
          <w:color w:val="231F20"/>
          <w:sz w:val="22"/>
        </w:rPr>
        <w:t>Appelo </w:t>
      </w:r>
      <w:r>
        <w:rPr>
          <w:color w:val="231F20"/>
          <w:sz w:val="22"/>
        </w:rPr>
        <w:t>C.A..J., </w:t>
      </w:r>
      <w:r>
        <w:rPr>
          <w:color w:val="231F20"/>
          <w:sz w:val="22"/>
        </w:rPr>
        <w:t>Postman </w:t>
      </w:r>
      <w:r>
        <w:rPr>
          <w:color w:val="231F20"/>
          <w:sz w:val="22"/>
        </w:rPr>
        <w:t>D., </w:t>
      </w:r>
      <w:r>
        <w:rPr>
          <w:color w:val="231F20"/>
          <w:sz w:val="22"/>
        </w:rPr>
        <w:t>1993: </w:t>
      </w:r>
      <w:r>
        <w:rPr>
          <w:color w:val="231F20"/>
          <w:sz w:val="22"/>
        </w:rPr>
        <w:t>Geochemistry, </w:t>
      </w:r>
      <w:r>
        <w:rPr>
          <w:color w:val="231F20"/>
          <w:sz w:val="22"/>
        </w:rPr>
        <w:t>groundwater </w:t>
      </w:r>
      <w:r>
        <w:rPr>
          <w:color w:val="231F20"/>
          <w:sz w:val="22"/>
        </w:rPr>
        <w:t>and </w:t>
      </w:r>
      <w:r>
        <w:rPr>
          <w:color w:val="231F20"/>
          <w:sz w:val="22"/>
        </w:rPr>
        <w:t>pollution. </w:t>
      </w:r>
      <w:r>
        <w:rPr>
          <w:color w:val="231F20"/>
          <w:sz w:val="22"/>
        </w:rPr>
        <w:t>A.A. </w:t>
      </w:r>
      <w:r>
        <w:rPr>
          <w:color w:val="231F20"/>
          <w:sz w:val="22"/>
        </w:rPr>
        <w:t>Balkema, </w:t>
      </w:r>
      <w:r>
        <w:rPr>
          <w:color w:val="231F20"/>
          <w:sz w:val="22"/>
        </w:rPr>
        <w:t>Rotterdam, </w:t>
      </w:r>
      <w:r>
        <w:rPr>
          <w:color w:val="231F20"/>
          <w:sz w:val="22"/>
        </w:rPr>
        <w:t>Brookfield. </w:t>
      </w:r>
      <w:r>
        <w:rPr>
          <w:color w:val="231F20"/>
          <w:sz w:val="22"/>
        </w:rPr>
        <w:t>536</w:t>
      </w:r>
      <w:r>
        <w:rPr>
          <w:color w:val="231F20"/>
          <w:spacing w:val="-9"/>
          <w:sz w:val="22"/>
        </w:rPr>
        <w:t> </w:t>
      </w:r>
      <w:r>
        <w:rPr>
          <w:color w:val="231F20"/>
          <w:sz w:val="22"/>
        </w:rPr>
        <w:t>pp.</w:t>
      </w:r>
    </w:p>
    <w:p>
      <w:pPr>
        <w:pStyle w:val="ListParagraph"/>
        <w:numPr>
          <w:ilvl w:val="0"/>
          <w:numId w:val="1"/>
        </w:numPr>
        <w:tabs>
          <w:tab w:pos="512" w:val="left" w:leader="none"/>
        </w:tabs>
        <w:spacing w:line="240" w:lineRule="auto" w:before="120" w:after="0"/>
        <w:ind w:left="634" w:right="142" w:hanging="483"/>
        <w:jc w:val="both"/>
        <w:rPr>
          <w:sz w:val="22"/>
        </w:rPr>
      </w:pPr>
      <w:r>
        <w:rPr>
          <w:color w:val="231F20"/>
          <w:sz w:val="22"/>
        </w:rPr>
        <w:t>Esteller </w:t>
      </w:r>
      <w:r>
        <w:rPr>
          <w:color w:val="231F20"/>
          <w:sz w:val="22"/>
        </w:rPr>
        <w:t>M.V., </w:t>
      </w:r>
      <w:r>
        <w:rPr>
          <w:color w:val="231F20"/>
          <w:sz w:val="22"/>
        </w:rPr>
        <w:t>Andreu </w:t>
      </w:r>
      <w:r>
        <w:rPr>
          <w:color w:val="231F20"/>
          <w:sz w:val="22"/>
        </w:rPr>
        <w:t>J.M., </w:t>
      </w:r>
      <w:r>
        <w:rPr>
          <w:color w:val="231F20"/>
          <w:sz w:val="22"/>
        </w:rPr>
        <w:t>2005: </w:t>
      </w:r>
      <w:r>
        <w:rPr>
          <w:color w:val="231F20"/>
          <w:sz w:val="22"/>
        </w:rPr>
        <w:t>Anthropogenic </w:t>
      </w:r>
      <w:r>
        <w:rPr>
          <w:color w:val="231F20"/>
          <w:sz w:val="22"/>
        </w:rPr>
        <w:t>effects </w:t>
      </w:r>
      <w:r>
        <w:rPr>
          <w:color w:val="231F20"/>
          <w:sz w:val="22"/>
        </w:rPr>
        <w:t>on </w:t>
      </w:r>
      <w:r>
        <w:rPr>
          <w:color w:val="231F20"/>
          <w:sz w:val="22"/>
        </w:rPr>
        <w:t>hydrochemical </w:t>
      </w:r>
      <w:r>
        <w:rPr>
          <w:color w:val="231F20"/>
          <w:sz w:val="22"/>
        </w:rPr>
        <w:t>characteristics </w:t>
      </w:r>
      <w:r>
        <w:rPr>
          <w:color w:val="231F20"/>
          <w:sz w:val="22"/>
        </w:rPr>
        <w:t>of </w:t>
      </w:r>
      <w:r>
        <w:rPr>
          <w:color w:val="231F20"/>
          <w:sz w:val="22"/>
        </w:rPr>
        <w:t>the </w:t>
      </w:r>
      <w:r>
        <w:rPr>
          <w:color w:val="231F20"/>
          <w:sz w:val="22"/>
        </w:rPr>
        <w:t>Valle </w:t>
      </w:r>
      <w:r>
        <w:rPr>
          <w:color w:val="231F20"/>
          <w:sz w:val="22"/>
        </w:rPr>
        <w:t>de </w:t>
      </w:r>
      <w:r>
        <w:rPr>
          <w:color w:val="231F20"/>
          <w:sz w:val="22"/>
        </w:rPr>
        <w:t>Toluca </w:t>
      </w:r>
      <w:r>
        <w:rPr>
          <w:color w:val="231F20"/>
          <w:sz w:val="22"/>
        </w:rPr>
        <w:t>aquifer </w:t>
      </w:r>
      <w:r>
        <w:rPr>
          <w:color w:val="231F20"/>
          <w:sz w:val="22"/>
        </w:rPr>
        <w:t>(Central </w:t>
      </w:r>
      <w:r>
        <w:rPr>
          <w:color w:val="231F20"/>
          <w:sz w:val="22"/>
        </w:rPr>
        <w:t>Mexico). </w:t>
      </w:r>
      <w:r>
        <w:rPr>
          <w:color w:val="231F20"/>
          <w:sz w:val="22"/>
        </w:rPr>
        <w:t>Hydrogeol. </w:t>
      </w:r>
      <w:r>
        <w:rPr>
          <w:color w:val="231F20"/>
          <w:sz w:val="22"/>
        </w:rPr>
        <w:t>J. </w:t>
      </w:r>
      <w:r>
        <w:rPr>
          <w:color w:val="231F20"/>
          <w:sz w:val="22"/>
        </w:rPr>
        <w:t>13, </w:t>
      </w:r>
      <w:r>
        <w:rPr>
          <w:color w:val="231F20"/>
          <w:sz w:val="22"/>
        </w:rPr>
        <w:t>378-390.</w:t>
      </w:r>
    </w:p>
    <w:sectPr>
      <w:type w:val="continuous"/>
      <w:pgSz w:w="12240" w:h="15840"/>
      <w:pgMar w:top="920" w:bottom="44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7.439667pt;margin-top:768.095947pt;width:17.350pt;height:14pt;mso-position-horizontal-relative:page;mso-position-vertical-relative:page;z-index:-14392" type="#_x0000_t202" filled="false" stroked="false">
          <v:textbox inset="0,0,0,0">
            <w:txbxContent>
              <w:p>
                <w:pPr>
                  <w:pStyle w:val="BodyText"/>
                  <w:spacing w:line="265" w:lineRule="exact"/>
                  <w:ind w:left="40"/>
                </w:pPr>
                <w:r>
                  <w:rPr/>
                  <w:fldChar w:fldCharType="begin"/>
                </w:r>
                <w:r>
                  <w:rPr>
                    <w:color w:val="231F20"/>
                  </w:rPr>
                  <w:instrText> PAGE </w:instrText>
                </w:r>
                <w:r>
                  <w:rPr/>
                  <w:fldChar w:fldCharType="separate"/>
                </w:r>
                <w:r>
                  <w:rPr/>
                  <w:t>33</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634" w:hanging="361"/>
        <w:jc w:val="left"/>
      </w:pPr>
      <w:rPr>
        <w:rFonts w:hint="default" w:ascii="Arial" w:hAnsi="Arial" w:eastAsia="Arial" w:cs="Arial"/>
        <w:color w:val="231F20"/>
        <w:w w:val="99"/>
        <w:sz w:val="22"/>
        <w:szCs w:val="22"/>
      </w:rPr>
    </w:lvl>
    <w:lvl w:ilvl="1">
      <w:start w:val="1"/>
      <w:numFmt w:val="bullet"/>
      <w:lvlText w:val="•"/>
      <w:lvlJc w:val="left"/>
      <w:pPr>
        <w:ind w:left="1456" w:hanging="361"/>
      </w:pPr>
      <w:rPr>
        <w:rFonts w:hint="default"/>
      </w:rPr>
    </w:lvl>
    <w:lvl w:ilvl="2">
      <w:start w:val="1"/>
      <w:numFmt w:val="bullet"/>
      <w:lvlText w:val="•"/>
      <w:lvlJc w:val="left"/>
      <w:pPr>
        <w:ind w:left="2272" w:hanging="361"/>
      </w:pPr>
      <w:rPr>
        <w:rFonts w:hint="default"/>
      </w:rPr>
    </w:lvl>
    <w:lvl w:ilvl="3">
      <w:start w:val="1"/>
      <w:numFmt w:val="bullet"/>
      <w:lvlText w:val="•"/>
      <w:lvlJc w:val="left"/>
      <w:pPr>
        <w:ind w:left="3088" w:hanging="361"/>
      </w:pPr>
      <w:rPr>
        <w:rFonts w:hint="default"/>
      </w:rPr>
    </w:lvl>
    <w:lvl w:ilvl="4">
      <w:start w:val="1"/>
      <w:numFmt w:val="bullet"/>
      <w:lvlText w:val="•"/>
      <w:lvlJc w:val="left"/>
      <w:pPr>
        <w:ind w:left="3904" w:hanging="361"/>
      </w:pPr>
      <w:rPr>
        <w:rFonts w:hint="default"/>
      </w:rPr>
    </w:lvl>
    <w:lvl w:ilvl="5">
      <w:start w:val="1"/>
      <w:numFmt w:val="bullet"/>
      <w:lvlText w:val="•"/>
      <w:lvlJc w:val="left"/>
      <w:pPr>
        <w:ind w:left="4720" w:hanging="361"/>
      </w:pPr>
      <w:rPr>
        <w:rFonts w:hint="default"/>
      </w:rPr>
    </w:lvl>
    <w:lvl w:ilvl="6">
      <w:start w:val="1"/>
      <w:numFmt w:val="bullet"/>
      <w:lvlText w:val="•"/>
      <w:lvlJc w:val="left"/>
      <w:pPr>
        <w:ind w:left="5536" w:hanging="361"/>
      </w:pPr>
      <w:rPr>
        <w:rFonts w:hint="default"/>
      </w:rPr>
    </w:lvl>
    <w:lvl w:ilvl="7">
      <w:start w:val="1"/>
      <w:numFmt w:val="bullet"/>
      <w:lvlText w:val="•"/>
      <w:lvlJc w:val="left"/>
      <w:pPr>
        <w:ind w:left="6352" w:hanging="361"/>
      </w:pPr>
      <w:rPr>
        <w:rFonts w:hint="default"/>
      </w:rPr>
    </w:lvl>
    <w:lvl w:ilvl="8">
      <w:start w:val="1"/>
      <w:numFmt w:val="bullet"/>
      <w:lvlText w:val="•"/>
      <w:lvlJc w:val="left"/>
      <w:pPr>
        <w:ind w:left="7168" w:hanging="361"/>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51"/>
      <w:jc w:val="both"/>
      <w:outlineLvl w:val="1"/>
    </w:pPr>
    <w:rPr>
      <w:rFonts w:ascii="Arial" w:hAnsi="Arial" w:eastAsia="Arial" w:cs="Arial"/>
      <w:b/>
      <w:bCs/>
      <w:sz w:val="24"/>
      <w:szCs w:val="24"/>
    </w:rPr>
  </w:style>
  <w:style w:styleId="ListParagraph" w:type="paragraph">
    <w:name w:val="List Paragraph"/>
    <w:basedOn w:val="Normal"/>
    <w:uiPriority w:val="1"/>
    <w:qFormat/>
    <w:pPr>
      <w:spacing w:before="120"/>
      <w:ind w:left="511" w:hanging="360"/>
    </w:pPr>
    <w:rPr>
      <w:rFonts w:ascii="Arial" w:hAnsi="Arial" w:eastAsia="Arial" w:cs="Arial"/>
    </w:rPr>
  </w:style>
  <w:style w:styleId="TableParagraph" w:type="paragraph">
    <w:name w:val="Table Paragraph"/>
    <w:basedOn w:val="Normal"/>
    <w:uiPriority w:val="1"/>
    <w:qFormat/>
    <w:pPr>
      <w:spacing w:before="57"/>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mvestellera@uaemex.mx" TargetMode="Externa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dc:title>ININ_BTU_WorkshopProceed_2010.pdf</dc:title>
  <dcterms:created xsi:type="dcterms:W3CDTF">2017-05-26T21:42:29Z</dcterms:created>
  <dcterms:modified xsi:type="dcterms:W3CDTF">2017-05-26T21:42:29Z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2016-10-27T00:00:00Z</vt:filetime>
  </property>
  <property fmtid="{D5CDD505-2E9C-101B-9397-08002B2CF9AE}" pid="3" name="Creator">
    <vt:lpwstr>Adobe Acrobat 11.0.18</vt:lpwstr>
  </property>
  <property fmtid="{D5CDD505-2E9C-101B-9397-08002B2CF9AE}" pid="4" name="LastSaved">
    <vt:filetime>2017-05-26T00:00:00Z</vt:filetime>
  </property>
</Properties>
</file>