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word/footer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40" w:lineRule="auto"/>
        <w:ind w:left="112" w:right="0" w:firstLine="0"/>
        <w:rPr>
          <w:rFonts w:ascii="Times New Roman"/>
          <w:sz w:val="20"/>
        </w:rPr>
      </w:pPr>
      <w:r>
        <w:rPr>
          <w:rFonts w:ascii="Times New Roman"/>
          <w:spacing w:val="-49"/>
          <w:sz w:val="20"/>
        </w:rPr>
        <w:t> </w:t>
      </w:r>
      <w:r>
        <w:rPr>
          <w:rFonts w:ascii="Times New Roman"/>
          <w:spacing w:val="-49"/>
          <w:sz w:val="20"/>
        </w:rPr>
        <w:pict>
          <v:shape style="width:436.65pt;height:60pt;mso-position-horizontal-relative:char;mso-position-vertical-relative:line" type="#_x0000_t202" filled="false" stroked="true" strokeweight=".48pt" strokecolor="#231f20">
            <w10:anchorlock/>
            <v:textbox inset="0,0,0,0">
              <w:txbxContent>
                <w:p>
                  <w:pPr>
                    <w:spacing w:before="17"/>
                    <w:ind w:left="963" w:right="696" w:hanging="261"/>
                    <w:jc w:val="left"/>
                    <w:rPr>
                      <w:sz w:val="20"/>
                    </w:rPr>
                  </w:pPr>
                  <w:r>
                    <w:rPr>
                      <w:color w:val="231F20"/>
                      <w:sz w:val="20"/>
                    </w:rPr>
                    <w:t>Z.I. Gonzalez-Acevedo &amp; D. Lessmann (eds.), 2010: Proceedings of the Workshop “Pollution Monitoring in the Upper Course of the Lerma River and Application</w:t>
                  </w:r>
                </w:p>
                <w:p>
                  <w:pPr>
                    <w:spacing w:line="230" w:lineRule="exact" w:before="4"/>
                    <w:ind w:left="1110" w:right="1108" w:hanging="1"/>
                    <w:jc w:val="center"/>
                    <w:rPr>
                      <w:sz w:val="20"/>
                    </w:rPr>
                  </w:pPr>
                  <w:r>
                    <w:rPr>
                      <w:color w:val="231F20"/>
                      <w:sz w:val="20"/>
                    </w:rPr>
                    <w:t>of Clean Technologies in Water Treatment”, 17</w:t>
                  </w:r>
                  <w:r>
                    <w:rPr>
                      <w:color w:val="231F20"/>
                      <w:position w:val="10"/>
                      <w:sz w:val="13"/>
                    </w:rPr>
                    <w:t>th </w:t>
                  </w:r>
                  <w:r>
                    <w:rPr>
                      <w:color w:val="231F20"/>
                      <w:sz w:val="20"/>
                    </w:rPr>
                    <w:t>and 18</w:t>
                  </w:r>
                  <w:r>
                    <w:rPr>
                      <w:color w:val="231F20"/>
                      <w:position w:val="10"/>
                      <w:sz w:val="13"/>
                    </w:rPr>
                    <w:t>th </w:t>
                  </w:r>
                  <w:r>
                    <w:rPr>
                      <w:color w:val="231F20"/>
                      <w:sz w:val="20"/>
                    </w:rPr>
                    <w:t>February 2009 at the Instituto Nacional de Investigaciones Nucleares (ININ), Mexico-City ISBN 978-3-940471-14-7</w:t>
                  </w:r>
                </w:p>
              </w:txbxContent>
            </v:textbox>
          </v:shape>
        </w:pict>
      </w:r>
      <w:r>
        <w:rPr>
          <w:rFonts w:ascii="Times New Roman"/>
          <w:spacing w:val="-49"/>
          <w:sz w:val="20"/>
        </w:rPr>
      </w:r>
    </w:p>
    <w:p>
      <w:pPr>
        <w:pStyle w:val="BodyText"/>
        <w:rPr>
          <w:rFonts w:ascii="Times New Roman"/>
          <w:sz w:val="20"/>
        </w:rPr>
      </w:pPr>
    </w:p>
    <w:p>
      <w:pPr>
        <w:pStyle w:val="Heading1"/>
        <w:spacing w:line="360" w:lineRule="auto" w:before="216"/>
      </w:pPr>
      <w:r>
        <w:rPr>
          <w:color w:val="231F20"/>
        </w:rPr>
        <w:t>DISEÑO E IMPLEMENTACIÓN DE UN PROCESO DE PLANEACIÓN ESTRATÉGICA</w:t>
      </w:r>
      <w:r>
        <w:rPr>
          <w:color w:val="231F20"/>
          <w:spacing w:val="-8"/>
        </w:rPr>
        <w:t> </w:t>
      </w:r>
      <w:r>
        <w:rPr>
          <w:color w:val="231F20"/>
        </w:rPr>
        <w:t>PARTICIPATIVA PARA LA GESTIÓN</w:t>
      </w:r>
      <w:r>
        <w:rPr>
          <w:color w:val="231F20"/>
          <w:spacing w:val="-13"/>
        </w:rPr>
        <w:t> </w:t>
      </w:r>
      <w:r>
        <w:rPr>
          <w:color w:val="231F20"/>
        </w:rPr>
        <w:t>INTEGRADA</w:t>
      </w:r>
    </w:p>
    <w:p>
      <w:pPr>
        <w:spacing w:line="360" w:lineRule="auto" w:before="4"/>
        <w:ind w:left="1636" w:right="1628" w:firstLine="0"/>
        <w:jc w:val="center"/>
        <w:rPr>
          <w:b/>
          <w:sz w:val="28"/>
        </w:rPr>
      </w:pPr>
      <w:r>
        <w:rPr>
          <w:b/>
          <w:color w:val="231F20"/>
          <w:sz w:val="28"/>
        </w:rPr>
        <w:t>DE RECURSOS HÍDRICOS DE LA CUENCA LERMA-CHAPALA-SANTIAGO</w:t>
      </w:r>
    </w:p>
    <w:p>
      <w:pPr>
        <w:pStyle w:val="BodyText"/>
        <w:spacing w:line="360" w:lineRule="auto" w:before="2"/>
        <w:ind w:left="517" w:right="507" w:hanging="1"/>
        <w:jc w:val="center"/>
      </w:pPr>
      <w:r>
        <w:rPr>
          <w:color w:val="231F20"/>
        </w:rPr>
        <w:t>DESIGN AND IMPLEMENTATION OF A STRATEGIC PROCESS FOR AN INTEGRATED MANAGEMENT OF THE HYDROLOGIC</w:t>
      </w:r>
      <w:r>
        <w:rPr>
          <w:color w:val="231F20"/>
          <w:spacing w:val="-19"/>
        </w:rPr>
        <w:t> </w:t>
      </w:r>
      <w:r>
        <w:rPr>
          <w:color w:val="231F20"/>
        </w:rPr>
        <w:t>RESOURSES OF THE LERMA-CHAPALA-SANTIAGO</w:t>
      </w:r>
      <w:r>
        <w:rPr>
          <w:color w:val="231F20"/>
          <w:spacing w:val="-18"/>
        </w:rPr>
        <w:t> </w:t>
      </w:r>
      <w:r>
        <w:rPr>
          <w:color w:val="231F20"/>
        </w:rPr>
        <w:t>WATERSHED</w:t>
      </w:r>
    </w:p>
    <w:p>
      <w:pPr>
        <w:pStyle w:val="ListParagraph"/>
        <w:numPr>
          <w:ilvl w:val="0"/>
          <w:numId w:val="1"/>
        </w:numPr>
        <w:tabs>
          <w:tab w:pos="644" w:val="left" w:leader="none"/>
        </w:tabs>
        <w:spacing w:line="240" w:lineRule="auto" w:before="210" w:after="0"/>
        <w:ind w:left="643" w:right="0" w:hanging="307"/>
        <w:jc w:val="left"/>
        <w:rPr>
          <w:i/>
          <w:sz w:val="24"/>
        </w:rPr>
      </w:pPr>
      <w:r>
        <w:rPr>
          <w:i/>
          <w:color w:val="231F20"/>
          <w:sz w:val="24"/>
        </w:rPr>
        <w:t>Díaz-Delgado</w:t>
      </w:r>
      <w:r>
        <w:rPr>
          <w:i/>
          <w:color w:val="231F20"/>
          <w:position w:val="11"/>
          <w:sz w:val="16"/>
        </w:rPr>
        <w:t>1,2</w:t>
      </w:r>
      <w:r>
        <w:rPr>
          <w:i/>
          <w:color w:val="231F20"/>
          <w:sz w:val="24"/>
        </w:rPr>
        <w:t>, </w:t>
      </w:r>
      <w:r>
        <w:rPr>
          <w:i/>
          <w:color w:val="231F20"/>
          <w:sz w:val="24"/>
        </w:rPr>
        <w:t>M.V. </w:t>
      </w:r>
      <w:r>
        <w:rPr>
          <w:i/>
          <w:color w:val="231F20"/>
          <w:sz w:val="24"/>
        </w:rPr>
        <w:t>Esteller</w:t>
      </w:r>
      <w:r>
        <w:rPr>
          <w:i/>
          <w:color w:val="231F20"/>
          <w:position w:val="11"/>
          <w:sz w:val="16"/>
        </w:rPr>
        <w:t>1,2</w:t>
      </w:r>
      <w:r>
        <w:rPr>
          <w:i/>
          <w:color w:val="231F20"/>
          <w:sz w:val="24"/>
        </w:rPr>
        <w:t>, </w:t>
      </w:r>
      <w:r>
        <w:rPr>
          <w:i/>
          <w:color w:val="231F20"/>
          <w:sz w:val="24"/>
        </w:rPr>
        <w:t>A. </w:t>
      </w:r>
      <w:r>
        <w:rPr>
          <w:i/>
          <w:color w:val="231F20"/>
          <w:sz w:val="24"/>
        </w:rPr>
        <w:t>Velasco-Chilpa</w:t>
      </w:r>
      <w:r>
        <w:rPr>
          <w:i/>
          <w:color w:val="231F20"/>
          <w:position w:val="11"/>
          <w:sz w:val="16"/>
        </w:rPr>
        <w:t>2</w:t>
      </w:r>
      <w:r>
        <w:rPr>
          <w:i/>
          <w:color w:val="231F20"/>
          <w:sz w:val="24"/>
        </w:rPr>
        <w:t>, </w:t>
      </w:r>
      <w:r>
        <w:rPr>
          <w:i/>
          <w:color w:val="231F20"/>
          <w:sz w:val="24"/>
        </w:rPr>
        <w:t>C.M.</w:t>
      </w:r>
      <w:r>
        <w:rPr>
          <w:i/>
          <w:color w:val="231F20"/>
          <w:spacing w:val="-41"/>
          <w:sz w:val="24"/>
        </w:rPr>
        <w:t> </w:t>
      </w:r>
      <w:r>
        <w:rPr>
          <w:i/>
          <w:color w:val="231F20"/>
          <w:sz w:val="24"/>
        </w:rPr>
        <w:t>Arriaga-Jordán</w:t>
      </w:r>
      <w:r>
        <w:rPr>
          <w:i/>
          <w:color w:val="231F20"/>
          <w:position w:val="11"/>
          <w:sz w:val="16"/>
        </w:rPr>
        <w:t>3</w:t>
      </w:r>
      <w:r>
        <w:rPr>
          <w:i/>
          <w:color w:val="231F20"/>
          <w:sz w:val="24"/>
        </w:rPr>
        <w:t>,</w:t>
      </w:r>
    </w:p>
    <w:p>
      <w:pPr>
        <w:pStyle w:val="ListParagraph"/>
        <w:numPr>
          <w:ilvl w:val="1"/>
          <w:numId w:val="1"/>
        </w:numPr>
        <w:tabs>
          <w:tab w:pos="1311" w:val="left" w:leader="none"/>
        </w:tabs>
        <w:spacing w:line="240" w:lineRule="auto" w:before="103" w:after="0"/>
        <w:ind w:left="1310" w:right="0" w:hanging="254"/>
        <w:jc w:val="left"/>
        <w:rPr>
          <w:i/>
          <w:sz w:val="24"/>
        </w:rPr>
      </w:pPr>
      <w:r>
        <w:rPr>
          <w:i/>
          <w:color w:val="231F20"/>
          <w:sz w:val="24"/>
        </w:rPr>
        <w:t>Martínez-Vilchis</w:t>
      </w:r>
      <w:r>
        <w:rPr>
          <w:i/>
          <w:color w:val="231F20"/>
          <w:position w:val="11"/>
          <w:sz w:val="16"/>
        </w:rPr>
        <w:t>4</w:t>
      </w:r>
      <w:r>
        <w:rPr>
          <w:i/>
          <w:color w:val="231F20"/>
          <w:sz w:val="24"/>
        </w:rPr>
        <w:t>, </w:t>
      </w:r>
      <w:r>
        <w:rPr>
          <w:i/>
          <w:color w:val="231F20"/>
          <w:sz w:val="24"/>
        </w:rPr>
        <w:t>M. </w:t>
      </w:r>
      <w:r>
        <w:rPr>
          <w:i/>
          <w:color w:val="231F20"/>
          <w:sz w:val="24"/>
        </w:rPr>
        <w:t>Colín-Mercado</w:t>
      </w:r>
      <w:r>
        <w:rPr>
          <w:i/>
          <w:color w:val="231F20"/>
          <w:position w:val="11"/>
          <w:sz w:val="16"/>
        </w:rPr>
        <w:t>2</w:t>
      </w:r>
      <w:r>
        <w:rPr>
          <w:i/>
          <w:color w:val="231F20"/>
          <w:sz w:val="24"/>
        </w:rPr>
        <w:t>, </w:t>
      </w:r>
      <w:r>
        <w:rPr>
          <w:i/>
          <w:color w:val="231F20"/>
          <w:sz w:val="24"/>
        </w:rPr>
        <w:t>J.I. </w:t>
      </w:r>
      <w:r>
        <w:rPr>
          <w:i/>
          <w:color w:val="231F20"/>
          <w:sz w:val="24"/>
        </w:rPr>
        <w:t>Ojeda-Chihuahua</w:t>
      </w:r>
      <w:r>
        <w:rPr>
          <w:i/>
          <w:color w:val="231F20"/>
          <w:position w:val="11"/>
          <w:sz w:val="16"/>
        </w:rPr>
        <w:t>2</w:t>
      </w:r>
      <w:r>
        <w:rPr>
          <w:i/>
          <w:color w:val="231F20"/>
          <w:spacing w:val="-14"/>
          <w:position w:val="11"/>
          <w:sz w:val="16"/>
        </w:rPr>
        <w:t> </w:t>
      </w:r>
      <w:r>
        <w:rPr>
          <w:i/>
          <w:color w:val="231F20"/>
          <w:sz w:val="24"/>
        </w:rPr>
        <w:t>y</w:t>
      </w:r>
    </w:p>
    <w:p>
      <w:pPr>
        <w:pStyle w:val="ListParagraph"/>
        <w:numPr>
          <w:ilvl w:val="2"/>
          <w:numId w:val="1"/>
        </w:numPr>
        <w:tabs>
          <w:tab w:pos="3821" w:val="left" w:leader="none"/>
        </w:tabs>
        <w:spacing w:line="240" w:lineRule="auto" w:before="103" w:after="0"/>
        <w:ind w:left="3820" w:right="0" w:hanging="481"/>
        <w:jc w:val="left"/>
        <w:rPr>
          <w:i/>
          <w:sz w:val="16"/>
        </w:rPr>
      </w:pPr>
      <w:r>
        <w:rPr>
          <w:i/>
          <w:color w:val="231F20"/>
          <w:sz w:val="24"/>
        </w:rPr>
        <w:t>Ramírez-Zierold</w:t>
      </w:r>
      <w:r>
        <w:rPr>
          <w:i/>
          <w:color w:val="231F20"/>
          <w:position w:val="11"/>
          <w:sz w:val="16"/>
        </w:rPr>
        <w:t>2</w:t>
      </w:r>
    </w:p>
    <w:p>
      <w:pPr>
        <w:pStyle w:val="BodyText"/>
        <w:spacing w:before="9"/>
        <w:rPr>
          <w:i/>
          <w:sz w:val="29"/>
        </w:rPr>
      </w:pPr>
    </w:p>
    <w:p>
      <w:pPr>
        <w:spacing w:before="0"/>
        <w:ind w:left="382" w:right="374" w:firstLine="0"/>
        <w:jc w:val="center"/>
        <w:rPr>
          <w:sz w:val="20"/>
        </w:rPr>
      </w:pPr>
      <w:r>
        <w:rPr>
          <w:color w:val="231F20"/>
          <w:position w:val="10"/>
          <w:sz w:val="13"/>
        </w:rPr>
        <w:t>1 </w:t>
      </w:r>
      <w:r>
        <w:rPr>
          <w:color w:val="231F20"/>
          <w:sz w:val="20"/>
        </w:rPr>
        <w:t>Centro Interamericano de Recursos del Agua (CIRA), Universidad Autónoma del Estado de México, Carretera Toluca-Atlacomulco km 14.5, Unidad San Cayetano, C.P. 50200,</w:t>
      </w:r>
    </w:p>
    <w:p>
      <w:pPr>
        <w:spacing w:line="229" w:lineRule="exact" w:before="0"/>
        <w:ind w:left="1634" w:right="1628" w:firstLine="0"/>
        <w:jc w:val="center"/>
        <w:rPr>
          <w:sz w:val="20"/>
        </w:rPr>
      </w:pPr>
      <w:r>
        <w:rPr>
          <w:color w:val="231F20"/>
          <w:sz w:val="20"/>
        </w:rPr>
        <w:t>Toluca, Edo. México</w:t>
      </w:r>
    </w:p>
    <w:p>
      <w:pPr>
        <w:spacing w:before="86"/>
        <w:ind w:left="379" w:right="374" w:firstLine="0"/>
        <w:jc w:val="center"/>
        <w:rPr>
          <w:sz w:val="20"/>
        </w:rPr>
      </w:pPr>
      <w:r>
        <w:rPr>
          <w:color w:val="231F20"/>
          <w:position w:val="10"/>
          <w:sz w:val="13"/>
        </w:rPr>
        <w:t>2 </w:t>
      </w:r>
      <w:r>
        <w:rPr>
          <w:color w:val="231F20"/>
          <w:sz w:val="20"/>
        </w:rPr>
        <w:t>Coordinación General de la Red-Lerma, Universidad Autónoma del Estado de México, Facultad de Ingeniería, Cerro de Coatepec, Ciudad Universitaria, Toluca, Edo. México,</w:t>
      </w:r>
    </w:p>
    <w:p>
      <w:pPr>
        <w:spacing w:line="229" w:lineRule="exact" w:before="0"/>
        <w:ind w:left="2695" w:right="0" w:firstLine="0"/>
        <w:jc w:val="left"/>
        <w:rPr>
          <w:sz w:val="20"/>
        </w:rPr>
      </w:pPr>
      <w:r>
        <w:rPr>
          <w:color w:val="231F20"/>
          <w:sz w:val="20"/>
        </w:rPr>
        <w:t>C.P. 50110; e-mail: </w:t>
      </w:r>
      <w:hyperlink r:id="rId6">
        <w:r>
          <w:rPr>
            <w:color w:val="231F20"/>
            <w:sz w:val="20"/>
          </w:rPr>
          <w:t>cdiazd@uaemex.mx</w:t>
        </w:r>
      </w:hyperlink>
    </w:p>
    <w:p>
      <w:pPr>
        <w:spacing w:before="86"/>
        <w:ind w:left="638" w:right="631" w:firstLine="0"/>
        <w:jc w:val="center"/>
        <w:rPr>
          <w:sz w:val="20"/>
        </w:rPr>
      </w:pPr>
      <w:r>
        <w:rPr>
          <w:color w:val="231F20"/>
          <w:position w:val="10"/>
          <w:sz w:val="13"/>
        </w:rPr>
        <w:t>3 </w:t>
      </w:r>
      <w:r>
        <w:rPr>
          <w:color w:val="231F20"/>
          <w:sz w:val="20"/>
        </w:rPr>
        <w:t>Secretaría de Investigación y Estudios Avanzados, Universidad Autónoma del Estado de México, Cerro de Coatepec, Ciudad Universitaria, Toluca, Edo. México, C.P. 50110</w:t>
      </w:r>
    </w:p>
    <w:p>
      <w:pPr>
        <w:spacing w:before="85"/>
        <w:ind w:left="382" w:right="374" w:firstLine="0"/>
        <w:jc w:val="center"/>
        <w:rPr>
          <w:sz w:val="20"/>
        </w:rPr>
      </w:pPr>
      <w:r>
        <w:rPr>
          <w:color w:val="231F20"/>
          <w:position w:val="10"/>
          <w:sz w:val="13"/>
        </w:rPr>
        <w:t>4 </w:t>
      </w:r>
      <w:r>
        <w:rPr>
          <w:color w:val="231F20"/>
          <w:sz w:val="20"/>
        </w:rPr>
        <w:t>Rectoría de la Universidad Autónoma del Estado de México, Instituto Literario 100, Centro, 50000 Toluca, Edo. México</w:t>
      </w:r>
    </w:p>
    <w:p>
      <w:pPr>
        <w:pStyle w:val="BodyText"/>
        <w:rPr>
          <w:sz w:val="20"/>
        </w:rPr>
      </w:pPr>
    </w:p>
    <w:p>
      <w:pPr>
        <w:pStyle w:val="BodyText"/>
        <w:rPr>
          <w:sz w:val="20"/>
        </w:rPr>
      </w:pPr>
    </w:p>
    <w:p>
      <w:pPr>
        <w:pStyle w:val="BodyText"/>
        <w:spacing w:before="11"/>
        <w:rPr>
          <w:sz w:val="16"/>
        </w:rPr>
      </w:pPr>
    </w:p>
    <w:p>
      <w:pPr>
        <w:pStyle w:val="Heading2"/>
        <w:ind w:left="231"/>
      </w:pPr>
      <w:r>
        <w:rPr>
          <w:color w:val="231F20"/>
        </w:rPr>
        <w:t>Abstract</w:t>
      </w:r>
    </w:p>
    <w:p>
      <w:pPr>
        <w:pStyle w:val="BodyText"/>
        <w:spacing w:line="264" w:lineRule="auto" w:before="146"/>
        <w:ind w:left="231" w:right="220"/>
        <w:jc w:val="both"/>
      </w:pPr>
      <w:r>
        <w:rPr>
          <w:color w:val="231F20"/>
        </w:rPr>
        <w:t>The Lerma-Net’s objective is to facilitate the development of all regional capabi- lities in order to improve the environmental conditions as well  as  people’s quality of life in the Lerma-Chapala-Santiago Basin. For this, the Lerma-Net has created a methodological guide focused on Integrated Water Resources Management (IWRM) through a Strategic and Participative Planning process, using Pressure-State-Impact-Response (PSIR) indicators under a Net working frame. The Guide constitutes a base document for all decision-makers to converge in multidisciplinary and inter-institutional spaces of a local Network, the Interdisciplinary Working Unit (IWU). In the states of Mexico, Nayarit, Guanajuato  and  Michoacan  the  IWU’s  formation  process  has  already</w:t>
      </w:r>
      <w:r>
        <w:rPr>
          <w:color w:val="231F20"/>
          <w:spacing w:val="9"/>
        </w:rPr>
        <w:t> </w:t>
      </w:r>
      <w:r>
        <w:rPr>
          <w:color w:val="231F20"/>
        </w:rPr>
        <w:t>been</w:t>
      </w:r>
    </w:p>
    <w:p>
      <w:pPr>
        <w:spacing w:after="0" w:line="264" w:lineRule="auto"/>
        <w:jc w:val="both"/>
        <w:sectPr>
          <w:footerReference w:type="default" r:id="rId5"/>
          <w:type w:val="continuous"/>
          <w:pgSz w:w="12240" w:h="15840"/>
          <w:pgMar w:footer="258" w:top="920" w:bottom="440" w:left="1640" w:right="1640"/>
          <w:pgNumType w:start="24"/>
        </w:sectPr>
      </w:pPr>
    </w:p>
    <w:p>
      <w:pPr>
        <w:pStyle w:val="BodyText"/>
        <w:spacing w:before="55"/>
        <w:ind w:left="151"/>
      </w:pPr>
      <w:r>
        <w:rPr>
          <w:color w:val="231F20"/>
        </w:rPr>
        <w:t>started. In the State of Mexico the Lerma-Net participates as a strategic</w:t>
      </w:r>
      <w:r>
        <w:rPr>
          <w:color w:val="231F20"/>
          <w:spacing w:val="53"/>
        </w:rPr>
        <w:t> </w:t>
      </w:r>
      <w:r>
        <w:rPr>
          <w:color w:val="231F20"/>
        </w:rPr>
        <w:t>partner</w:t>
      </w:r>
    </w:p>
    <w:p>
      <w:pPr>
        <w:pStyle w:val="BodyText"/>
        <w:spacing w:before="27"/>
        <w:ind w:left="151"/>
      </w:pPr>
      <w:r>
        <w:rPr>
          <w:color w:val="231F20"/>
        </w:rPr>
        <w:t>of the Government’s Master Plan for the recovery of the Upper Lerma River</w:t>
      </w:r>
    </w:p>
    <w:p>
      <w:pPr>
        <w:pStyle w:val="BodyText"/>
        <w:spacing w:line="264" w:lineRule="auto" w:before="27"/>
        <w:ind w:left="151" w:right="140"/>
        <w:jc w:val="both"/>
      </w:pPr>
      <w:r>
        <w:rPr>
          <w:color w:val="231F20"/>
        </w:rPr>
        <w:t>Basin, as well as in the development of the workshop for Environmental Education and Social Participation, both promoted by the Autonomous University and the Government of the State of Mexico.</w:t>
      </w:r>
    </w:p>
    <w:p>
      <w:pPr>
        <w:pStyle w:val="BodyText"/>
      </w:pPr>
    </w:p>
    <w:p>
      <w:pPr>
        <w:pStyle w:val="BodyText"/>
        <w:spacing w:before="5"/>
        <w:rPr>
          <w:sz w:val="23"/>
        </w:rPr>
      </w:pPr>
    </w:p>
    <w:p>
      <w:pPr>
        <w:pStyle w:val="Heading2"/>
      </w:pPr>
      <w:r>
        <w:rPr>
          <w:color w:val="231F20"/>
        </w:rPr>
        <w:t>Resumen</w:t>
      </w:r>
    </w:p>
    <w:p>
      <w:pPr>
        <w:pStyle w:val="BodyText"/>
        <w:spacing w:line="264" w:lineRule="auto" w:before="146"/>
        <w:ind w:left="151" w:right="142"/>
        <w:jc w:val="both"/>
      </w:pPr>
      <w:r>
        <w:rPr>
          <w:color w:val="231F20"/>
        </w:rPr>
        <w:t>La Red-Lerma tiene por objetivo facilitar y contribuir al fortalecimiento de las capacidades de la cuenca Lerma-Chapala-Santiago, a través de la  generación</w:t>
      </w:r>
    </w:p>
    <w:p>
      <w:pPr>
        <w:pStyle w:val="BodyText"/>
        <w:spacing w:before="1"/>
        <w:ind w:left="151"/>
      </w:pPr>
      <w:r>
        <w:rPr>
          <w:color w:val="231F20"/>
        </w:rPr>
        <w:t>conjunta de conocimientos, la formación de especialistas y la elaboración de</w:t>
      </w:r>
    </w:p>
    <w:p>
      <w:pPr>
        <w:pStyle w:val="BodyText"/>
        <w:spacing w:before="27"/>
        <w:ind w:left="151"/>
      </w:pPr>
      <w:r>
        <w:rPr>
          <w:color w:val="231F20"/>
        </w:rPr>
        <w:t>alternativas a los problemas que los recursos hídricos enfrentan en la zona,</w:t>
      </w:r>
    </w:p>
    <w:p>
      <w:pPr>
        <w:spacing w:after="0"/>
        <w:sectPr>
          <w:pgSz w:w="12240" w:h="15840"/>
          <w:pgMar w:header="0" w:footer="258" w:top="860" w:bottom="440" w:left="1720" w:right="1720"/>
        </w:sectPr>
      </w:pPr>
    </w:p>
    <w:p>
      <w:pPr>
        <w:pStyle w:val="BodyText"/>
        <w:spacing w:before="27"/>
        <w:ind w:left="151"/>
      </w:pPr>
      <w:r>
        <w:rPr>
          <w:color w:val="231F20"/>
        </w:rPr>
        <w:t>permitiendo mejorar</w:t>
      </w:r>
    </w:p>
    <w:p>
      <w:pPr>
        <w:pStyle w:val="BodyText"/>
        <w:spacing w:before="27"/>
        <w:ind w:left="69"/>
      </w:pPr>
      <w:r>
        <w:rPr/>
        <w:br w:type="column"/>
      </w:r>
      <w:r>
        <w:rPr>
          <w:color w:val="231F20"/>
        </w:rPr>
        <w:t>la calidad de vida de sus    habitantes</w:t>
      </w:r>
    </w:p>
    <w:p>
      <w:pPr>
        <w:pStyle w:val="BodyText"/>
        <w:spacing w:before="27"/>
        <w:ind w:left="69"/>
      </w:pPr>
      <w:r>
        <w:rPr/>
        <w:br w:type="column"/>
      </w:r>
      <w:r>
        <w:rPr>
          <w:color w:val="231F20"/>
        </w:rPr>
        <w:t>y  su  ambiente. En</w:t>
      </w:r>
    </w:p>
    <w:p>
      <w:pPr>
        <w:spacing w:after="0"/>
        <w:sectPr>
          <w:type w:val="continuous"/>
          <w:pgSz w:w="12240" w:h="15840"/>
          <w:pgMar w:top="920" w:bottom="440" w:left="1720" w:right="1720"/>
          <w:cols w:num="3" w:equalWidth="0">
            <w:col w:w="2327" w:space="40"/>
            <w:col w:w="4130" w:space="40"/>
            <w:col w:w="2263"/>
          </w:cols>
        </w:sectPr>
      </w:pPr>
    </w:p>
    <w:p>
      <w:pPr>
        <w:pStyle w:val="BodyText"/>
        <w:spacing w:before="27"/>
        <w:ind w:left="151"/>
      </w:pPr>
      <w:r>
        <w:rPr>
          <w:color w:val="231F20"/>
        </w:rPr>
        <w:t>este contexto, la Red Lerma desarrolló una guía estructurada en torno a la</w:t>
      </w:r>
    </w:p>
    <w:p>
      <w:pPr>
        <w:pStyle w:val="BodyText"/>
        <w:spacing w:line="264" w:lineRule="auto" w:before="27"/>
        <w:ind w:left="151" w:right="140"/>
        <w:jc w:val="both"/>
      </w:pPr>
      <w:r>
        <w:rPr>
          <w:color w:val="231F20"/>
        </w:rPr>
        <w:t>Gestión Integrada de Recursos Hídricos (GIRH), con base en un proceso de planeación estratégica participativa, usando los indicadores Presión-Estado- Impacto-Respuesta y bajo un esquema de Trabajo en Red, útil para los tomadores de decisiones de gobierno (Federal, Estatal y Municipal), organiza- ciones e instituciones, que convergen en un espacio inter-institucional e inter- disciplinario de una red local (Unidad Interdisciplinaria de Trabajo-UIT). En el ámbito regional, se han iniciado los procesos de integración de las UIT’s en los estados de México, Nayarit, Guanajuato y Michoacán. Se participa además en el desarrollo y seguimiento del Plan Estratégico para la recuperación de la Cuenca Alta del Río Lerma (CARL), así como en los trabajos de la Mesa Técnica de Educación Ambiental y Participación Social, ambos impulsados por la Universidad Autónoma del Estado de México y el Gobierno del Estado de México (GEM).</w:t>
      </w:r>
    </w:p>
    <w:p>
      <w:pPr>
        <w:pStyle w:val="BodyText"/>
        <w:rPr>
          <w:sz w:val="20"/>
        </w:rPr>
      </w:pPr>
    </w:p>
    <w:p>
      <w:pPr>
        <w:pStyle w:val="BodyText"/>
        <w:rPr>
          <w:sz w:val="20"/>
        </w:rPr>
      </w:pPr>
    </w:p>
    <w:p>
      <w:pPr>
        <w:pStyle w:val="Heading2"/>
        <w:spacing w:before="196"/>
        <w:jc w:val="left"/>
      </w:pPr>
      <w:r>
        <w:rPr>
          <w:color w:val="231F20"/>
        </w:rPr>
        <w:t>Introducción</w:t>
      </w:r>
    </w:p>
    <w:p>
      <w:pPr>
        <w:pStyle w:val="BodyText"/>
        <w:spacing w:before="3"/>
        <w:rPr>
          <w:b/>
          <w:sz w:val="16"/>
        </w:rPr>
      </w:pPr>
    </w:p>
    <w:p>
      <w:pPr>
        <w:pStyle w:val="BodyText"/>
        <w:spacing w:line="350" w:lineRule="auto" w:before="70"/>
        <w:ind w:left="151" w:right="142"/>
        <w:jc w:val="both"/>
      </w:pPr>
      <w:r>
        <w:rPr>
          <w:color w:val="231F20"/>
        </w:rPr>
        <w:t>Uno de los objetivos centrales de la gestión integrada de cuencas es lograr esquemas de desarrollo basados en sistemas productivos sustentables</w:t>
      </w:r>
      <w:r>
        <w:rPr>
          <w:color w:val="231F20"/>
          <w:position w:val="11"/>
          <w:sz w:val="16"/>
        </w:rPr>
        <w:t>(1)</w:t>
      </w:r>
      <w:r>
        <w:rPr>
          <w:color w:val="231F20"/>
        </w:rPr>
        <w:t>. </w:t>
      </w:r>
      <w:r>
        <w:rPr>
          <w:color w:val="141415"/>
        </w:rPr>
        <w:t>Al reconocer al agua como una variable crítica, integradora y fundamental para el desarrollo sostenible de la cuenca, se genera la necesidad de buscar    alterna-</w:t>
      </w:r>
    </w:p>
    <w:p>
      <w:pPr>
        <w:pStyle w:val="BodyText"/>
        <w:spacing w:line="360" w:lineRule="auto" w:before="14"/>
        <w:ind w:left="151" w:right="143"/>
        <w:jc w:val="both"/>
      </w:pPr>
      <w:r>
        <w:rPr>
          <w:color w:val="141415"/>
        </w:rPr>
        <w:t>tivas convergentes y sistemáticas para hacer frente común al progresivo deterioro social, económico y ambiental de la región (Figura 1).</w:t>
      </w:r>
    </w:p>
    <w:p>
      <w:pPr>
        <w:pStyle w:val="BodyText"/>
        <w:spacing w:line="360" w:lineRule="auto" w:before="124"/>
        <w:ind w:left="151" w:right="140"/>
        <w:jc w:val="both"/>
      </w:pPr>
      <w:r>
        <w:rPr>
          <w:color w:val="141415"/>
        </w:rPr>
        <w:t>De esta manera, al modelar la problemática de la cuenca de forma integrada, la Red Lerma impulsa, propicia y promueve que los esfuerzos de investigación ofrezcan propuestas planeadas, incluyendo el desarrollo de políticas públicas adecuadas, proyectos de infraestructura y de gestión, fungiendo no sólo como catalizador,  sino  también  como  un  ente  articulador  activo,  propositivo     </w:t>
      </w:r>
      <w:r>
        <w:rPr>
          <w:color w:val="141415"/>
          <w:spacing w:val="59"/>
        </w:rPr>
        <w:t> </w:t>
      </w:r>
      <w:r>
        <w:rPr>
          <w:color w:val="141415"/>
        </w:rPr>
        <w:t>e</w:t>
      </w:r>
    </w:p>
    <w:p>
      <w:pPr>
        <w:spacing w:after="0" w:line="360" w:lineRule="auto"/>
        <w:jc w:val="both"/>
        <w:sectPr>
          <w:type w:val="continuous"/>
          <w:pgSz w:w="12240" w:h="15840"/>
          <w:pgMar w:top="920" w:bottom="440" w:left="1720" w:right="1720"/>
        </w:sectPr>
      </w:pPr>
    </w:p>
    <w:p>
      <w:pPr>
        <w:pStyle w:val="BodyText"/>
        <w:spacing w:line="352" w:lineRule="auto" w:before="55"/>
        <w:ind w:left="151" w:right="142"/>
        <w:jc w:val="both"/>
      </w:pPr>
      <w:r>
        <w:rPr>
          <w:color w:val="141415"/>
        </w:rPr>
        <w:t>involucrado con la comunidad. Para ello, la Red Lerma generó una guía metodológica que plantea una propuesta innovadora, con enfoque de Gestión Integrada de Recursos Hídricos (GIRH), desde una perspectiva de planeación estratégica participativa y empleando el sistema de indicadores Presión- Estado-Impacto-Respuesta (Indicadores PEIR). La GIRH</w:t>
      </w:r>
      <w:r>
        <w:rPr>
          <w:color w:val="141415"/>
          <w:position w:val="11"/>
          <w:sz w:val="16"/>
        </w:rPr>
        <w:t>(2)</w:t>
      </w:r>
      <w:r>
        <w:rPr>
          <w:color w:val="141415"/>
        </w:rPr>
        <w:t>, es un proceso  que</w:t>
      </w:r>
    </w:p>
    <w:p>
      <w:pPr>
        <w:pStyle w:val="BodyText"/>
        <w:spacing w:line="360" w:lineRule="auto"/>
        <w:ind w:left="151" w:right="142"/>
        <w:jc w:val="both"/>
      </w:pPr>
      <w:r>
        <w:rPr>
          <w:color w:val="141415"/>
        </w:rPr>
        <w:t>permite coordinar y organizar actividades para resolver los problemas relacionados con el agua, promoviendo una mejor toma de decisiones en respuesta a necesidades y situaciones cambiantes.</w:t>
      </w:r>
    </w:p>
    <w:p>
      <w:pPr>
        <w:pStyle w:val="BodyText"/>
        <w:rPr>
          <w:sz w:val="20"/>
        </w:rPr>
      </w:pPr>
    </w:p>
    <w:p>
      <w:pPr>
        <w:pStyle w:val="BodyText"/>
        <w:rPr>
          <w:sz w:val="20"/>
        </w:rPr>
      </w:pPr>
    </w:p>
    <w:p>
      <w:pPr>
        <w:pStyle w:val="BodyText"/>
        <w:spacing w:before="9"/>
        <w:rPr>
          <w:sz w:val="16"/>
        </w:rPr>
      </w:pPr>
      <w:r>
        <w:rPr/>
        <w:drawing>
          <wp:anchor distT="0" distB="0" distL="0" distR="0" allowOverlap="1" layoutInCell="1" locked="0" behindDoc="0" simplePos="0" relativeHeight="1048">
            <wp:simplePos x="0" y="0"/>
            <wp:positionH relativeFrom="page">
              <wp:posOffset>1281427</wp:posOffset>
            </wp:positionH>
            <wp:positionV relativeFrom="paragraph">
              <wp:posOffset>147523</wp:posOffset>
            </wp:positionV>
            <wp:extent cx="5222009" cy="3008376"/>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7" cstate="print"/>
                    <a:stretch>
                      <a:fillRect/>
                    </a:stretch>
                  </pic:blipFill>
                  <pic:spPr>
                    <a:xfrm>
                      <a:off x="0" y="0"/>
                      <a:ext cx="5222009" cy="3008376"/>
                    </a:xfrm>
                    <a:prstGeom prst="rect">
                      <a:avLst/>
                    </a:prstGeom>
                  </pic:spPr>
                </pic:pic>
              </a:graphicData>
            </a:graphic>
          </wp:anchor>
        </w:drawing>
      </w:r>
    </w:p>
    <w:p>
      <w:pPr>
        <w:pStyle w:val="BodyText"/>
        <w:spacing w:before="1"/>
        <w:rPr>
          <w:sz w:val="14"/>
        </w:rPr>
      </w:pPr>
    </w:p>
    <w:p>
      <w:pPr>
        <w:tabs>
          <w:tab w:pos="1232" w:val="left" w:leader="none"/>
        </w:tabs>
        <w:spacing w:before="75"/>
        <w:ind w:left="1231" w:right="274" w:hanging="1080"/>
        <w:jc w:val="left"/>
        <w:rPr>
          <w:b/>
          <w:sz w:val="20"/>
        </w:rPr>
      </w:pPr>
      <w:r>
        <w:rPr>
          <w:b/>
          <w:color w:val="231F20"/>
          <w:sz w:val="20"/>
        </w:rPr>
        <w:t>Figura</w:t>
      </w:r>
      <w:r>
        <w:rPr>
          <w:b/>
          <w:color w:val="231F20"/>
          <w:spacing w:val="-1"/>
          <w:sz w:val="20"/>
        </w:rPr>
        <w:t> </w:t>
      </w:r>
      <w:r>
        <w:rPr>
          <w:b/>
          <w:color w:val="231F20"/>
          <w:sz w:val="20"/>
        </w:rPr>
        <w:t>1.</w:t>
      </w:r>
      <w:r>
        <w:rPr>
          <w:rFonts w:ascii="Times New Roman" w:hAnsi="Times New Roman"/>
          <w:color w:val="231F20"/>
          <w:sz w:val="20"/>
        </w:rPr>
        <w:tab/>
        <w:tab/>
      </w:r>
      <w:r>
        <w:rPr>
          <w:b/>
          <w:color w:val="231F20"/>
          <w:sz w:val="20"/>
        </w:rPr>
        <w:t>El </w:t>
      </w:r>
      <w:r>
        <w:rPr>
          <w:b/>
          <w:color w:val="231F20"/>
          <w:sz w:val="20"/>
        </w:rPr>
        <w:t>agua </w:t>
      </w:r>
      <w:r>
        <w:rPr>
          <w:b/>
          <w:color w:val="231F20"/>
          <w:sz w:val="20"/>
        </w:rPr>
        <w:t>como </w:t>
      </w:r>
      <w:r>
        <w:rPr>
          <w:b/>
          <w:color w:val="231F20"/>
          <w:sz w:val="20"/>
        </w:rPr>
        <w:t>eje </w:t>
      </w:r>
      <w:r>
        <w:rPr>
          <w:b/>
          <w:color w:val="231F20"/>
          <w:sz w:val="20"/>
        </w:rPr>
        <w:t>integrador </w:t>
      </w:r>
      <w:r>
        <w:rPr>
          <w:b/>
          <w:color w:val="231F20"/>
          <w:sz w:val="20"/>
        </w:rPr>
        <w:t>de </w:t>
      </w:r>
      <w:r>
        <w:rPr>
          <w:b/>
          <w:color w:val="231F20"/>
          <w:sz w:val="20"/>
        </w:rPr>
        <w:t>esfuerzos </w:t>
      </w:r>
      <w:r>
        <w:rPr>
          <w:b/>
          <w:color w:val="231F20"/>
          <w:sz w:val="20"/>
        </w:rPr>
        <w:t>y </w:t>
      </w:r>
      <w:r>
        <w:rPr>
          <w:b/>
          <w:color w:val="231F20"/>
          <w:sz w:val="20"/>
        </w:rPr>
        <w:t>acciones </w:t>
      </w:r>
      <w:r>
        <w:rPr>
          <w:b/>
          <w:color w:val="231F20"/>
          <w:sz w:val="20"/>
        </w:rPr>
        <w:t>encaminadas </w:t>
      </w:r>
      <w:r>
        <w:rPr>
          <w:b/>
          <w:color w:val="231F20"/>
          <w:sz w:val="20"/>
        </w:rPr>
        <w:t>a</w:t>
      </w:r>
      <w:r>
        <w:rPr>
          <w:b/>
          <w:color w:val="231F20"/>
          <w:spacing w:val="-27"/>
          <w:sz w:val="20"/>
        </w:rPr>
        <w:t> </w:t>
      </w:r>
      <w:r>
        <w:rPr>
          <w:b/>
          <w:color w:val="231F20"/>
          <w:sz w:val="20"/>
        </w:rPr>
        <w:t>la</w:t>
      </w:r>
      <w:r>
        <w:rPr>
          <w:b/>
          <w:color w:val="231F20"/>
          <w:spacing w:val="-3"/>
          <w:sz w:val="20"/>
        </w:rPr>
        <w:t> </w:t>
      </w:r>
      <w:r>
        <w:rPr>
          <w:b/>
          <w:color w:val="231F20"/>
          <w:sz w:val="20"/>
        </w:rPr>
        <w:t>recu-</w:t>
      </w:r>
      <w:r>
        <w:rPr>
          <w:rFonts w:ascii="Times New Roman" w:hAnsi="Times New Roman"/>
          <w:color w:val="231F20"/>
          <w:w w:val="100"/>
          <w:sz w:val="20"/>
        </w:rPr>
        <w:t> </w:t>
      </w:r>
      <w:r>
        <w:rPr>
          <w:b/>
          <w:color w:val="231F20"/>
          <w:sz w:val="20"/>
        </w:rPr>
        <w:t>peración </w:t>
      </w:r>
      <w:r>
        <w:rPr>
          <w:b/>
          <w:color w:val="231F20"/>
          <w:sz w:val="20"/>
        </w:rPr>
        <w:t>de </w:t>
      </w:r>
      <w:r>
        <w:rPr>
          <w:b/>
          <w:color w:val="231F20"/>
          <w:sz w:val="20"/>
        </w:rPr>
        <w:t>la </w:t>
      </w:r>
      <w:r>
        <w:rPr>
          <w:b/>
          <w:color w:val="231F20"/>
          <w:sz w:val="20"/>
        </w:rPr>
        <w:t>cuenca</w:t>
      </w:r>
      <w:r>
        <w:rPr>
          <w:b/>
          <w:color w:val="231F20"/>
          <w:spacing w:val="-21"/>
          <w:sz w:val="20"/>
        </w:rPr>
        <w:t> </w:t>
      </w:r>
      <w:r>
        <w:rPr>
          <w:b/>
          <w:color w:val="231F20"/>
          <w:sz w:val="20"/>
        </w:rPr>
        <w:t>Lerma-Chapala-Santiago.</w:t>
      </w:r>
    </w:p>
    <w:p>
      <w:pPr>
        <w:tabs>
          <w:tab w:pos="1232" w:val="left" w:leader="none"/>
        </w:tabs>
        <w:spacing w:before="120"/>
        <w:ind w:left="1231" w:right="187" w:hanging="1080"/>
        <w:jc w:val="left"/>
        <w:rPr>
          <w:b/>
          <w:sz w:val="20"/>
        </w:rPr>
      </w:pPr>
      <w:r>
        <w:rPr>
          <w:b/>
          <w:color w:val="231F20"/>
          <w:sz w:val="20"/>
        </w:rPr>
        <w:t>Figure</w:t>
      </w:r>
      <w:r>
        <w:rPr>
          <w:b/>
          <w:color w:val="231F20"/>
          <w:spacing w:val="-1"/>
          <w:sz w:val="20"/>
        </w:rPr>
        <w:t> </w:t>
      </w:r>
      <w:r>
        <w:rPr>
          <w:b/>
          <w:color w:val="231F20"/>
          <w:sz w:val="20"/>
        </w:rPr>
        <w:t>1.</w:t>
      </w:r>
      <w:r>
        <w:rPr>
          <w:rFonts w:ascii="Times New Roman"/>
          <w:color w:val="231F20"/>
          <w:sz w:val="20"/>
        </w:rPr>
        <w:tab/>
        <w:tab/>
      </w:r>
      <w:r>
        <w:rPr>
          <w:b/>
          <w:color w:val="231F20"/>
          <w:sz w:val="20"/>
        </w:rPr>
        <w:t>Water </w:t>
      </w:r>
      <w:r>
        <w:rPr>
          <w:b/>
          <w:color w:val="231F20"/>
          <w:sz w:val="20"/>
        </w:rPr>
        <w:t>as </w:t>
      </w:r>
      <w:r>
        <w:rPr>
          <w:b/>
          <w:color w:val="231F20"/>
          <w:sz w:val="20"/>
        </w:rPr>
        <w:t>an </w:t>
      </w:r>
      <w:r>
        <w:rPr>
          <w:b/>
          <w:color w:val="231F20"/>
          <w:sz w:val="20"/>
        </w:rPr>
        <w:t>integrating </w:t>
      </w:r>
      <w:r>
        <w:rPr>
          <w:b/>
          <w:color w:val="231F20"/>
          <w:sz w:val="20"/>
        </w:rPr>
        <w:t>axis </w:t>
      </w:r>
      <w:r>
        <w:rPr>
          <w:b/>
          <w:color w:val="231F20"/>
          <w:sz w:val="20"/>
        </w:rPr>
        <w:t>of </w:t>
      </w:r>
      <w:r>
        <w:rPr>
          <w:b/>
          <w:color w:val="231F20"/>
          <w:sz w:val="20"/>
        </w:rPr>
        <w:t>all </w:t>
      </w:r>
      <w:r>
        <w:rPr>
          <w:b/>
          <w:color w:val="231F20"/>
          <w:sz w:val="20"/>
        </w:rPr>
        <w:t>human </w:t>
      </w:r>
      <w:r>
        <w:rPr>
          <w:b/>
          <w:color w:val="231F20"/>
          <w:sz w:val="20"/>
        </w:rPr>
        <w:t>activities </w:t>
      </w:r>
      <w:r>
        <w:rPr>
          <w:b/>
          <w:color w:val="231F20"/>
          <w:sz w:val="20"/>
        </w:rPr>
        <w:t>oriented </w:t>
      </w:r>
      <w:r>
        <w:rPr>
          <w:b/>
          <w:color w:val="231F20"/>
          <w:sz w:val="20"/>
        </w:rPr>
        <w:t>to </w:t>
      </w:r>
      <w:r>
        <w:rPr>
          <w:b/>
          <w:color w:val="231F20"/>
          <w:sz w:val="20"/>
        </w:rPr>
        <w:t>the</w:t>
      </w:r>
      <w:r>
        <w:rPr>
          <w:b/>
          <w:color w:val="231F20"/>
          <w:spacing w:val="-24"/>
          <w:sz w:val="20"/>
        </w:rPr>
        <w:t> </w:t>
      </w:r>
      <w:r>
        <w:rPr>
          <w:b/>
          <w:color w:val="231F20"/>
          <w:sz w:val="20"/>
        </w:rPr>
        <w:t>recovery</w:t>
      </w:r>
      <w:r>
        <w:rPr>
          <w:b/>
          <w:color w:val="231F20"/>
          <w:spacing w:val="-3"/>
          <w:sz w:val="20"/>
        </w:rPr>
        <w:t> </w:t>
      </w:r>
      <w:r>
        <w:rPr>
          <w:b/>
          <w:color w:val="231F20"/>
          <w:sz w:val="20"/>
        </w:rPr>
        <w:t>of</w:t>
      </w:r>
      <w:r>
        <w:rPr>
          <w:rFonts w:ascii="Times New Roman"/>
          <w:color w:val="231F20"/>
          <w:w w:val="100"/>
          <w:sz w:val="20"/>
        </w:rPr>
        <w:t> </w:t>
      </w:r>
      <w:r>
        <w:rPr>
          <w:b/>
          <w:color w:val="231F20"/>
          <w:sz w:val="20"/>
        </w:rPr>
        <w:t>the </w:t>
      </w:r>
      <w:r>
        <w:rPr>
          <w:b/>
          <w:color w:val="231F20"/>
          <w:sz w:val="20"/>
        </w:rPr>
        <w:t>Lerma-Chapala-Santiago</w:t>
      </w:r>
      <w:r>
        <w:rPr>
          <w:b/>
          <w:color w:val="231F20"/>
          <w:spacing w:val="-15"/>
          <w:sz w:val="20"/>
        </w:rPr>
        <w:t> </w:t>
      </w:r>
      <w:r>
        <w:rPr>
          <w:b/>
          <w:color w:val="231F20"/>
          <w:sz w:val="20"/>
        </w:rPr>
        <w:t>Basin.</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3"/>
        </w:rPr>
      </w:pPr>
    </w:p>
    <w:p>
      <w:pPr>
        <w:pStyle w:val="Heading2"/>
        <w:jc w:val="left"/>
      </w:pPr>
      <w:r>
        <w:rPr>
          <w:color w:val="231F20"/>
        </w:rPr>
        <w:t>Área de estudio</w:t>
      </w:r>
    </w:p>
    <w:p>
      <w:pPr>
        <w:pStyle w:val="BodyText"/>
        <w:spacing w:before="3"/>
        <w:rPr>
          <w:b/>
          <w:sz w:val="16"/>
        </w:rPr>
      </w:pPr>
    </w:p>
    <w:p>
      <w:pPr>
        <w:pStyle w:val="BodyText"/>
        <w:spacing w:line="345" w:lineRule="auto" w:before="70"/>
        <w:ind w:left="151" w:right="141"/>
        <w:jc w:val="both"/>
      </w:pPr>
      <w:r>
        <w:rPr>
          <w:color w:val="141415"/>
        </w:rPr>
        <w:t>La cuenca Lerma-Chapala-Santiago (L-CH-S) abarca 9 entidades federativas, con una extensión superficial de 132,724 km</w:t>
      </w:r>
      <w:r>
        <w:rPr>
          <w:color w:val="141415"/>
          <w:position w:val="11"/>
          <w:sz w:val="16"/>
        </w:rPr>
        <w:t>2 </w:t>
      </w:r>
      <w:r>
        <w:rPr>
          <w:color w:val="141415"/>
        </w:rPr>
        <w:t>(7% del territorio nacional), es la segunda cuenca más importante desde el punto de vista económico, social y ambiental</w:t>
      </w:r>
      <w:r>
        <w:rPr>
          <w:color w:val="141415"/>
          <w:position w:val="11"/>
          <w:sz w:val="16"/>
        </w:rPr>
        <w:t>(3)</w:t>
      </w:r>
      <w:r>
        <w:rPr>
          <w:color w:val="141415"/>
        </w:rPr>
        <w:t>, e incluye las cuencas cerradas de Pátzcuaro, Cuitzeo y Sayula - San Marcos (Figura 2).</w:t>
      </w:r>
    </w:p>
    <w:p>
      <w:pPr>
        <w:spacing w:after="0" w:line="345" w:lineRule="auto"/>
        <w:jc w:val="both"/>
        <w:sectPr>
          <w:pgSz w:w="12240" w:h="15840"/>
          <w:pgMar w:header="0" w:footer="258" w:top="860" w:bottom="440" w:left="1720" w:right="1720"/>
        </w:sectPr>
      </w:pPr>
    </w:p>
    <w:p>
      <w:pPr>
        <w:pStyle w:val="BodyText"/>
        <w:ind w:left="248"/>
        <w:rPr>
          <w:sz w:val="20"/>
        </w:rPr>
      </w:pPr>
      <w:r>
        <w:rPr>
          <w:sz w:val="20"/>
        </w:rPr>
        <w:drawing>
          <wp:inline distT="0" distB="0" distL="0" distR="0">
            <wp:extent cx="5237825" cy="3720560"/>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8" cstate="print"/>
                    <a:stretch>
                      <a:fillRect/>
                    </a:stretch>
                  </pic:blipFill>
                  <pic:spPr>
                    <a:xfrm>
                      <a:off x="0" y="0"/>
                      <a:ext cx="5237825" cy="3720560"/>
                    </a:xfrm>
                    <a:prstGeom prst="rect">
                      <a:avLst/>
                    </a:prstGeom>
                  </pic:spPr>
                </pic:pic>
              </a:graphicData>
            </a:graphic>
          </wp:inline>
        </w:drawing>
      </w:r>
      <w:r>
        <w:rPr>
          <w:sz w:val="20"/>
        </w:rPr>
      </w:r>
    </w:p>
    <w:p>
      <w:pPr>
        <w:pStyle w:val="BodyText"/>
        <w:spacing w:before="3"/>
        <w:rPr>
          <w:sz w:val="19"/>
        </w:rPr>
      </w:pPr>
    </w:p>
    <w:p>
      <w:pPr>
        <w:tabs>
          <w:tab w:pos="1232" w:val="left" w:leader="none"/>
        </w:tabs>
        <w:spacing w:before="75"/>
        <w:ind w:left="1231" w:right="519" w:hanging="1080"/>
        <w:jc w:val="left"/>
        <w:rPr>
          <w:b/>
          <w:sz w:val="20"/>
        </w:rPr>
      </w:pPr>
      <w:r>
        <w:rPr>
          <w:b/>
          <w:color w:val="231F20"/>
          <w:sz w:val="20"/>
        </w:rPr>
        <w:t>Figura</w:t>
      </w:r>
      <w:r>
        <w:rPr>
          <w:b/>
          <w:color w:val="231F20"/>
          <w:spacing w:val="-1"/>
          <w:sz w:val="20"/>
        </w:rPr>
        <w:t> </w:t>
      </w:r>
      <w:r>
        <w:rPr>
          <w:b/>
          <w:color w:val="231F20"/>
          <w:sz w:val="20"/>
        </w:rPr>
        <w:t>2.</w:t>
      </w:r>
      <w:r>
        <w:rPr>
          <w:rFonts w:ascii="Times New Roman" w:hAnsi="Times New Roman"/>
          <w:color w:val="231F20"/>
          <w:sz w:val="20"/>
        </w:rPr>
        <w:tab/>
        <w:tab/>
      </w:r>
      <w:r>
        <w:rPr>
          <w:b/>
          <w:color w:val="231F20"/>
          <w:sz w:val="20"/>
        </w:rPr>
        <w:t>Cuenca </w:t>
      </w:r>
      <w:r>
        <w:rPr>
          <w:b/>
          <w:color w:val="231F20"/>
          <w:sz w:val="20"/>
        </w:rPr>
        <w:t>Lerma-Chapala-Santiago. </w:t>
      </w:r>
      <w:r>
        <w:rPr>
          <w:b/>
          <w:color w:val="231F20"/>
          <w:sz w:val="20"/>
        </w:rPr>
        <w:t>En </w:t>
      </w:r>
      <w:r>
        <w:rPr>
          <w:b/>
          <w:color w:val="231F20"/>
          <w:sz w:val="20"/>
        </w:rPr>
        <w:t>el </w:t>
      </w:r>
      <w:r>
        <w:rPr>
          <w:b/>
          <w:color w:val="231F20"/>
          <w:sz w:val="20"/>
        </w:rPr>
        <w:t>recuadro </w:t>
      </w:r>
      <w:r>
        <w:rPr>
          <w:b/>
          <w:color w:val="231F20"/>
          <w:sz w:val="20"/>
        </w:rPr>
        <w:t>se </w:t>
      </w:r>
      <w:r>
        <w:rPr>
          <w:b/>
          <w:color w:val="231F20"/>
          <w:sz w:val="20"/>
        </w:rPr>
        <w:t>muestran</w:t>
      </w:r>
      <w:r>
        <w:rPr>
          <w:b/>
          <w:color w:val="231F20"/>
          <w:spacing w:val="-29"/>
          <w:sz w:val="20"/>
        </w:rPr>
        <w:t> </w:t>
      </w:r>
      <w:r>
        <w:rPr>
          <w:b/>
          <w:color w:val="231F20"/>
          <w:sz w:val="20"/>
        </w:rPr>
        <w:t>los</w:t>
      </w:r>
      <w:r>
        <w:rPr>
          <w:b/>
          <w:color w:val="231F20"/>
          <w:spacing w:val="-4"/>
          <w:sz w:val="20"/>
        </w:rPr>
        <w:t> </w:t>
      </w:r>
      <w:r>
        <w:rPr>
          <w:b/>
          <w:color w:val="231F20"/>
          <w:sz w:val="20"/>
        </w:rPr>
        <w:t>Estados</w:t>
      </w:r>
      <w:r>
        <w:rPr>
          <w:rFonts w:ascii="Times New Roman" w:hAnsi="Times New Roman"/>
          <w:color w:val="231F20"/>
          <w:w w:val="100"/>
          <w:sz w:val="20"/>
        </w:rPr>
        <w:t> </w:t>
      </w:r>
      <w:r>
        <w:rPr>
          <w:b/>
          <w:color w:val="231F20"/>
          <w:sz w:val="20"/>
        </w:rPr>
        <w:t>que </w:t>
      </w:r>
      <w:r>
        <w:rPr>
          <w:b/>
          <w:color w:val="231F20"/>
          <w:sz w:val="20"/>
        </w:rPr>
        <w:t>comprenden </w:t>
      </w:r>
      <w:r>
        <w:rPr>
          <w:b/>
          <w:color w:val="231F20"/>
          <w:sz w:val="20"/>
        </w:rPr>
        <w:t>la </w:t>
      </w:r>
      <w:r>
        <w:rPr>
          <w:b/>
          <w:color w:val="231F20"/>
          <w:sz w:val="20"/>
        </w:rPr>
        <w:t>cuenca </w:t>
      </w:r>
      <w:r>
        <w:rPr>
          <w:b/>
          <w:color w:val="231F20"/>
          <w:sz w:val="20"/>
        </w:rPr>
        <w:t>y </w:t>
      </w:r>
      <w:r>
        <w:rPr>
          <w:b/>
          <w:color w:val="231F20"/>
          <w:sz w:val="20"/>
        </w:rPr>
        <w:t>el </w:t>
      </w:r>
      <w:r>
        <w:rPr>
          <w:b/>
          <w:color w:val="231F20"/>
          <w:sz w:val="20"/>
        </w:rPr>
        <w:t>curso </w:t>
      </w:r>
      <w:r>
        <w:rPr>
          <w:b/>
          <w:color w:val="231F20"/>
          <w:sz w:val="20"/>
        </w:rPr>
        <w:t>de </w:t>
      </w:r>
      <w:r>
        <w:rPr>
          <w:b/>
          <w:color w:val="231F20"/>
          <w:sz w:val="20"/>
        </w:rPr>
        <w:t>los </w:t>
      </w:r>
      <w:r>
        <w:rPr>
          <w:b/>
          <w:color w:val="231F20"/>
          <w:sz w:val="20"/>
        </w:rPr>
        <w:t>ríos </w:t>
      </w:r>
      <w:r>
        <w:rPr>
          <w:b/>
          <w:color w:val="231F20"/>
          <w:sz w:val="20"/>
        </w:rPr>
        <w:t>Lerma </w:t>
      </w:r>
      <w:r>
        <w:rPr>
          <w:b/>
          <w:color w:val="231F20"/>
          <w:sz w:val="20"/>
        </w:rPr>
        <w:t>y</w:t>
      </w:r>
      <w:r>
        <w:rPr>
          <w:b/>
          <w:color w:val="231F20"/>
          <w:spacing w:val="-23"/>
          <w:sz w:val="20"/>
        </w:rPr>
        <w:t> </w:t>
      </w:r>
      <w:r>
        <w:rPr>
          <w:b/>
          <w:color w:val="231F20"/>
          <w:sz w:val="20"/>
        </w:rPr>
        <w:t>Santiago.</w:t>
      </w:r>
    </w:p>
    <w:p>
      <w:pPr>
        <w:tabs>
          <w:tab w:pos="1232" w:val="left" w:leader="none"/>
        </w:tabs>
        <w:spacing w:before="119"/>
        <w:ind w:left="1231" w:right="331" w:hanging="1080"/>
        <w:jc w:val="left"/>
        <w:rPr>
          <w:b/>
          <w:sz w:val="20"/>
        </w:rPr>
      </w:pPr>
      <w:r>
        <w:rPr>
          <w:b/>
          <w:color w:val="231F20"/>
          <w:sz w:val="20"/>
        </w:rPr>
        <w:t>Figure</w:t>
      </w:r>
      <w:r>
        <w:rPr>
          <w:b/>
          <w:color w:val="231F20"/>
          <w:spacing w:val="-1"/>
          <w:sz w:val="20"/>
        </w:rPr>
        <w:t> </w:t>
      </w:r>
      <w:r>
        <w:rPr>
          <w:b/>
          <w:color w:val="231F20"/>
          <w:sz w:val="20"/>
        </w:rPr>
        <w:t>2.</w:t>
      </w:r>
      <w:r>
        <w:rPr>
          <w:rFonts w:ascii="Times New Roman"/>
          <w:color w:val="231F20"/>
          <w:sz w:val="20"/>
        </w:rPr>
        <w:tab/>
        <w:tab/>
      </w:r>
      <w:r>
        <w:rPr>
          <w:b/>
          <w:color w:val="231F20"/>
          <w:sz w:val="20"/>
        </w:rPr>
        <w:t>Lerma-Chapala-Santiago </w:t>
      </w:r>
      <w:r>
        <w:rPr>
          <w:b/>
          <w:color w:val="231F20"/>
          <w:sz w:val="20"/>
        </w:rPr>
        <w:t>Basin. </w:t>
      </w:r>
      <w:r>
        <w:rPr>
          <w:b/>
          <w:color w:val="231F20"/>
          <w:sz w:val="20"/>
        </w:rPr>
        <w:t>The </w:t>
      </w:r>
      <w:r>
        <w:rPr>
          <w:b/>
          <w:color w:val="231F20"/>
          <w:sz w:val="20"/>
        </w:rPr>
        <w:t>dotted </w:t>
      </w:r>
      <w:r>
        <w:rPr>
          <w:b/>
          <w:color w:val="231F20"/>
          <w:sz w:val="20"/>
        </w:rPr>
        <w:t>line </w:t>
      </w:r>
      <w:r>
        <w:rPr>
          <w:b/>
          <w:color w:val="231F20"/>
          <w:sz w:val="20"/>
        </w:rPr>
        <w:t>represents </w:t>
      </w:r>
      <w:r>
        <w:rPr>
          <w:b/>
          <w:color w:val="231F20"/>
          <w:sz w:val="20"/>
        </w:rPr>
        <w:t>the </w:t>
      </w:r>
      <w:r>
        <w:rPr>
          <w:b/>
          <w:color w:val="231F20"/>
          <w:sz w:val="20"/>
        </w:rPr>
        <w:t>course</w:t>
      </w:r>
      <w:r>
        <w:rPr>
          <w:b/>
          <w:color w:val="231F20"/>
          <w:spacing w:val="-32"/>
          <w:sz w:val="20"/>
        </w:rPr>
        <w:t> </w:t>
      </w:r>
      <w:r>
        <w:rPr>
          <w:b/>
          <w:color w:val="231F20"/>
          <w:sz w:val="20"/>
        </w:rPr>
        <w:t>of</w:t>
      </w:r>
      <w:r>
        <w:rPr>
          <w:b/>
          <w:color w:val="231F20"/>
          <w:spacing w:val="-4"/>
          <w:sz w:val="20"/>
        </w:rPr>
        <w:t> </w:t>
      </w:r>
      <w:r>
        <w:rPr>
          <w:b/>
          <w:color w:val="231F20"/>
          <w:sz w:val="20"/>
        </w:rPr>
        <w:t>the</w:t>
      </w:r>
      <w:r>
        <w:rPr>
          <w:rFonts w:ascii="Times New Roman"/>
          <w:color w:val="231F20"/>
          <w:w w:val="100"/>
          <w:sz w:val="20"/>
        </w:rPr>
        <w:t> </w:t>
      </w:r>
      <w:r>
        <w:rPr>
          <w:b/>
          <w:color w:val="231F20"/>
          <w:sz w:val="20"/>
        </w:rPr>
        <w:t>Lerma </w:t>
      </w:r>
      <w:r>
        <w:rPr>
          <w:b/>
          <w:color w:val="231F20"/>
          <w:sz w:val="20"/>
        </w:rPr>
        <w:t>and </w:t>
      </w:r>
      <w:r>
        <w:rPr>
          <w:b/>
          <w:color w:val="231F20"/>
          <w:sz w:val="20"/>
        </w:rPr>
        <w:t>Santiago</w:t>
      </w:r>
      <w:r>
        <w:rPr>
          <w:b/>
          <w:color w:val="231F20"/>
          <w:spacing w:val="-11"/>
          <w:sz w:val="20"/>
        </w:rPr>
        <w:t> </w:t>
      </w:r>
      <w:r>
        <w:rPr>
          <w:b/>
          <w:color w:val="231F20"/>
          <w:sz w:val="20"/>
        </w:rPr>
        <w:t>rivers.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3"/>
        </w:rPr>
      </w:pPr>
    </w:p>
    <w:p>
      <w:pPr>
        <w:pStyle w:val="BodyText"/>
        <w:spacing w:line="360" w:lineRule="auto"/>
        <w:ind w:left="151"/>
      </w:pPr>
      <w:r>
        <w:rPr>
          <w:color w:val="141415"/>
        </w:rPr>
        <w:t>Los problemas de los recursos hídricos de L-Ch-S se pueden expresar en términos de:</w:t>
      </w:r>
    </w:p>
    <w:p>
      <w:pPr>
        <w:pStyle w:val="ListParagraph"/>
        <w:numPr>
          <w:ilvl w:val="0"/>
          <w:numId w:val="2"/>
        </w:numPr>
        <w:tabs>
          <w:tab w:pos="1230" w:val="left" w:leader="none"/>
          <w:tab w:pos="1231" w:val="left" w:leader="none"/>
        </w:tabs>
        <w:spacing w:line="240" w:lineRule="auto" w:before="124" w:after="0"/>
        <w:ind w:left="1231" w:right="0" w:hanging="720"/>
        <w:jc w:val="left"/>
        <w:rPr>
          <w:sz w:val="24"/>
        </w:rPr>
      </w:pPr>
      <w:r>
        <w:rPr>
          <w:color w:val="141415"/>
          <w:sz w:val="24"/>
        </w:rPr>
        <w:t>Un </w:t>
      </w:r>
      <w:r>
        <w:rPr>
          <w:color w:val="141415"/>
          <w:sz w:val="24"/>
        </w:rPr>
        <w:t>crecimiento </w:t>
      </w:r>
      <w:r>
        <w:rPr>
          <w:color w:val="141415"/>
          <w:sz w:val="24"/>
        </w:rPr>
        <w:t>constante </w:t>
      </w:r>
      <w:r>
        <w:rPr>
          <w:color w:val="141415"/>
          <w:sz w:val="24"/>
        </w:rPr>
        <w:t>de </w:t>
      </w:r>
      <w:r>
        <w:rPr>
          <w:color w:val="141415"/>
          <w:sz w:val="24"/>
        </w:rPr>
        <w:t>la</w:t>
      </w:r>
      <w:r>
        <w:rPr>
          <w:color w:val="141415"/>
          <w:spacing w:val="-24"/>
          <w:sz w:val="24"/>
        </w:rPr>
        <w:t> </w:t>
      </w:r>
      <w:r>
        <w:rPr>
          <w:color w:val="141415"/>
          <w:sz w:val="24"/>
        </w:rPr>
        <w:t>población,</w:t>
      </w:r>
    </w:p>
    <w:p>
      <w:pPr>
        <w:pStyle w:val="BodyText"/>
        <w:spacing w:before="5"/>
        <w:rPr>
          <w:sz w:val="22"/>
        </w:rPr>
      </w:pPr>
    </w:p>
    <w:p>
      <w:pPr>
        <w:pStyle w:val="ListParagraph"/>
        <w:numPr>
          <w:ilvl w:val="0"/>
          <w:numId w:val="2"/>
        </w:numPr>
        <w:tabs>
          <w:tab w:pos="1230" w:val="left" w:leader="none"/>
          <w:tab w:pos="1231" w:val="left" w:leader="none"/>
        </w:tabs>
        <w:spacing w:line="240" w:lineRule="auto" w:before="0" w:after="0"/>
        <w:ind w:left="1231" w:right="0" w:hanging="720"/>
        <w:jc w:val="left"/>
        <w:rPr>
          <w:sz w:val="24"/>
        </w:rPr>
      </w:pPr>
      <w:r>
        <w:rPr>
          <w:color w:val="141415"/>
          <w:sz w:val="24"/>
        </w:rPr>
        <w:t>Una </w:t>
      </w:r>
      <w:r>
        <w:rPr>
          <w:color w:val="141415"/>
          <w:sz w:val="24"/>
        </w:rPr>
        <w:t>disminución </w:t>
      </w:r>
      <w:r>
        <w:rPr>
          <w:color w:val="141415"/>
          <w:sz w:val="24"/>
        </w:rPr>
        <w:t>progresiva </w:t>
      </w:r>
      <w:r>
        <w:rPr>
          <w:color w:val="141415"/>
          <w:sz w:val="24"/>
        </w:rPr>
        <w:t>en </w:t>
      </w:r>
      <w:r>
        <w:rPr>
          <w:color w:val="141415"/>
          <w:sz w:val="24"/>
        </w:rPr>
        <w:t>la </w:t>
      </w:r>
      <w:r>
        <w:rPr>
          <w:color w:val="141415"/>
          <w:sz w:val="24"/>
        </w:rPr>
        <w:t>disponibilidad </w:t>
      </w:r>
      <w:r>
        <w:rPr>
          <w:color w:val="141415"/>
          <w:sz w:val="24"/>
        </w:rPr>
        <w:t>de</w:t>
      </w:r>
      <w:r>
        <w:rPr>
          <w:color w:val="141415"/>
          <w:spacing w:val="-34"/>
          <w:sz w:val="24"/>
        </w:rPr>
        <w:t> </w:t>
      </w:r>
      <w:r>
        <w:rPr>
          <w:color w:val="141415"/>
          <w:sz w:val="24"/>
        </w:rPr>
        <w:t>agua,</w:t>
      </w:r>
    </w:p>
    <w:p>
      <w:pPr>
        <w:pStyle w:val="BodyText"/>
        <w:spacing w:before="4"/>
        <w:rPr>
          <w:sz w:val="16"/>
        </w:rPr>
      </w:pPr>
    </w:p>
    <w:p>
      <w:pPr>
        <w:pStyle w:val="ListParagraph"/>
        <w:numPr>
          <w:ilvl w:val="0"/>
          <w:numId w:val="2"/>
        </w:numPr>
        <w:tabs>
          <w:tab w:pos="1232" w:val="left" w:leader="none"/>
          <w:tab w:pos="1233" w:val="left" w:leader="none"/>
        </w:tabs>
        <w:spacing w:line="240" w:lineRule="auto" w:before="70" w:after="0"/>
        <w:ind w:left="1232" w:right="0" w:hanging="721"/>
        <w:jc w:val="left"/>
        <w:rPr>
          <w:sz w:val="24"/>
        </w:rPr>
      </w:pPr>
      <w:r>
        <w:rPr>
          <w:color w:val="141415"/>
          <w:sz w:val="24"/>
        </w:rPr>
        <w:t>Un </w:t>
      </w:r>
      <w:r>
        <w:rPr>
          <w:color w:val="141415"/>
          <w:sz w:val="24"/>
        </w:rPr>
        <w:t>deterioro </w:t>
      </w:r>
      <w:r>
        <w:rPr>
          <w:color w:val="141415"/>
          <w:sz w:val="24"/>
        </w:rPr>
        <w:t>del </w:t>
      </w:r>
      <w:r>
        <w:rPr>
          <w:color w:val="141415"/>
          <w:sz w:val="24"/>
        </w:rPr>
        <w:t>medio</w:t>
      </w:r>
      <w:r>
        <w:rPr>
          <w:color w:val="141415"/>
          <w:spacing w:val="-19"/>
          <w:sz w:val="24"/>
        </w:rPr>
        <w:t> </w:t>
      </w:r>
      <w:r>
        <w:rPr>
          <w:color w:val="141415"/>
          <w:sz w:val="24"/>
        </w:rPr>
        <w:t>ambiente,</w:t>
      </w:r>
    </w:p>
    <w:p>
      <w:pPr>
        <w:pStyle w:val="BodyText"/>
        <w:spacing w:before="5"/>
        <w:rPr>
          <w:sz w:val="22"/>
        </w:rPr>
      </w:pPr>
    </w:p>
    <w:p>
      <w:pPr>
        <w:pStyle w:val="ListParagraph"/>
        <w:numPr>
          <w:ilvl w:val="0"/>
          <w:numId w:val="2"/>
        </w:numPr>
        <w:tabs>
          <w:tab w:pos="1230" w:val="left" w:leader="none"/>
          <w:tab w:pos="1231" w:val="left" w:leader="none"/>
        </w:tabs>
        <w:spacing w:line="240" w:lineRule="auto" w:before="0" w:after="0"/>
        <w:ind w:left="1230" w:right="0" w:hanging="719"/>
        <w:jc w:val="left"/>
        <w:rPr>
          <w:sz w:val="24"/>
        </w:rPr>
      </w:pPr>
      <w:r>
        <w:rPr>
          <w:color w:val="141415"/>
          <w:sz w:val="24"/>
        </w:rPr>
        <w:t>Una </w:t>
      </w:r>
      <w:r>
        <w:rPr>
          <w:color w:val="141415"/>
          <w:sz w:val="24"/>
        </w:rPr>
        <w:t>vulnerabilidad </w:t>
      </w:r>
      <w:r>
        <w:rPr>
          <w:color w:val="141415"/>
          <w:sz w:val="24"/>
        </w:rPr>
        <w:t>creciente </w:t>
      </w:r>
      <w:r>
        <w:rPr>
          <w:color w:val="141415"/>
          <w:sz w:val="24"/>
        </w:rPr>
        <w:t>ante </w:t>
      </w:r>
      <w:r>
        <w:rPr>
          <w:color w:val="141415"/>
          <w:sz w:val="24"/>
        </w:rPr>
        <w:t>fenómenos</w:t>
      </w:r>
      <w:r>
        <w:rPr>
          <w:color w:val="141415"/>
          <w:spacing w:val="-44"/>
          <w:sz w:val="24"/>
        </w:rPr>
        <w:t> </w:t>
      </w:r>
      <w:r>
        <w:rPr>
          <w:color w:val="141415"/>
          <w:sz w:val="24"/>
        </w:rPr>
        <w:t>hidro-meteorológicos,</w:t>
      </w:r>
    </w:p>
    <w:p>
      <w:pPr>
        <w:pStyle w:val="BodyText"/>
        <w:spacing w:before="5"/>
        <w:rPr>
          <w:sz w:val="22"/>
        </w:rPr>
      </w:pPr>
    </w:p>
    <w:p>
      <w:pPr>
        <w:pStyle w:val="ListParagraph"/>
        <w:numPr>
          <w:ilvl w:val="0"/>
          <w:numId w:val="2"/>
        </w:numPr>
        <w:tabs>
          <w:tab w:pos="1231" w:val="left" w:leader="none"/>
          <w:tab w:pos="1232" w:val="left" w:leader="none"/>
        </w:tabs>
        <w:spacing w:line="360" w:lineRule="auto" w:before="0" w:after="0"/>
        <w:ind w:left="1231" w:right="143" w:hanging="720"/>
        <w:jc w:val="left"/>
        <w:rPr>
          <w:sz w:val="24"/>
        </w:rPr>
      </w:pPr>
      <w:r>
        <w:rPr>
          <w:color w:val="141415"/>
          <w:sz w:val="24"/>
        </w:rPr>
        <w:t>Una </w:t>
      </w:r>
      <w:r>
        <w:rPr>
          <w:color w:val="141415"/>
          <w:sz w:val="24"/>
        </w:rPr>
        <w:t>falta </w:t>
      </w:r>
      <w:r>
        <w:rPr>
          <w:color w:val="141415"/>
          <w:sz w:val="24"/>
        </w:rPr>
        <w:t>de </w:t>
      </w:r>
      <w:r>
        <w:rPr>
          <w:color w:val="141415"/>
          <w:sz w:val="24"/>
        </w:rPr>
        <w:t>gobernanza </w:t>
      </w:r>
      <w:r>
        <w:rPr>
          <w:color w:val="141415"/>
          <w:sz w:val="24"/>
        </w:rPr>
        <w:t>y </w:t>
      </w:r>
      <w:r>
        <w:rPr>
          <w:color w:val="141415"/>
          <w:sz w:val="24"/>
        </w:rPr>
        <w:t>adecuada </w:t>
      </w:r>
      <w:r>
        <w:rPr>
          <w:color w:val="141415"/>
          <w:sz w:val="24"/>
        </w:rPr>
        <w:t>gestión </w:t>
      </w:r>
      <w:r>
        <w:rPr>
          <w:color w:val="141415"/>
          <w:sz w:val="24"/>
        </w:rPr>
        <w:t>inter-institucional, </w:t>
      </w:r>
      <w:r>
        <w:rPr>
          <w:color w:val="141415"/>
          <w:sz w:val="24"/>
        </w:rPr>
        <w:t>así </w:t>
      </w:r>
      <w:r>
        <w:rPr>
          <w:color w:val="141415"/>
          <w:sz w:val="24"/>
        </w:rPr>
        <w:t>como</w:t>
      </w:r>
    </w:p>
    <w:p>
      <w:pPr>
        <w:pStyle w:val="ListParagraph"/>
        <w:numPr>
          <w:ilvl w:val="0"/>
          <w:numId w:val="2"/>
        </w:numPr>
        <w:tabs>
          <w:tab w:pos="1230" w:val="left" w:leader="none"/>
          <w:tab w:pos="1232" w:val="left" w:leader="none"/>
        </w:tabs>
        <w:spacing w:line="360" w:lineRule="auto" w:before="124" w:after="0"/>
        <w:ind w:left="1231" w:right="145" w:hanging="720"/>
        <w:jc w:val="left"/>
        <w:rPr>
          <w:sz w:val="24"/>
        </w:rPr>
      </w:pPr>
      <w:r>
        <w:rPr>
          <w:color w:val="141415"/>
          <w:sz w:val="24"/>
        </w:rPr>
        <w:t>Una </w:t>
      </w:r>
      <w:r>
        <w:rPr>
          <w:color w:val="141415"/>
          <w:sz w:val="24"/>
        </w:rPr>
        <w:t>falta </w:t>
      </w:r>
      <w:r>
        <w:rPr>
          <w:color w:val="141415"/>
          <w:sz w:val="24"/>
        </w:rPr>
        <w:t>de </w:t>
      </w:r>
      <w:r>
        <w:rPr>
          <w:color w:val="141415"/>
          <w:sz w:val="24"/>
        </w:rPr>
        <w:t>información, </w:t>
      </w:r>
      <w:r>
        <w:rPr>
          <w:color w:val="141415"/>
          <w:sz w:val="24"/>
        </w:rPr>
        <w:t>conocimiento </w:t>
      </w:r>
      <w:r>
        <w:rPr>
          <w:color w:val="141415"/>
          <w:sz w:val="24"/>
        </w:rPr>
        <w:t>y </w:t>
      </w:r>
      <w:r>
        <w:rPr>
          <w:color w:val="141415"/>
          <w:sz w:val="24"/>
        </w:rPr>
        <w:t>entendimiento </w:t>
      </w:r>
      <w:r>
        <w:rPr>
          <w:color w:val="141415"/>
          <w:sz w:val="24"/>
        </w:rPr>
        <w:t>de </w:t>
      </w:r>
      <w:r>
        <w:rPr>
          <w:color w:val="141415"/>
          <w:sz w:val="24"/>
        </w:rPr>
        <w:t>la </w:t>
      </w:r>
      <w:r>
        <w:rPr>
          <w:color w:val="141415"/>
          <w:sz w:val="24"/>
        </w:rPr>
        <w:t>proble- </w:t>
      </w:r>
      <w:r>
        <w:rPr>
          <w:color w:val="141415"/>
          <w:sz w:val="24"/>
        </w:rPr>
        <w:t>mática.</w:t>
      </w:r>
    </w:p>
    <w:p>
      <w:pPr>
        <w:spacing w:after="0" w:line="360" w:lineRule="auto"/>
        <w:jc w:val="left"/>
        <w:rPr>
          <w:sz w:val="24"/>
        </w:rPr>
        <w:sectPr>
          <w:pgSz w:w="12240" w:h="15840"/>
          <w:pgMar w:header="0" w:footer="258" w:top="920" w:bottom="440" w:left="1720" w:right="1720"/>
        </w:sectPr>
      </w:pPr>
    </w:p>
    <w:p>
      <w:pPr>
        <w:pStyle w:val="BodyText"/>
        <w:spacing w:line="360" w:lineRule="auto" w:before="55"/>
        <w:ind w:left="151" w:right="142"/>
        <w:jc w:val="both"/>
      </w:pPr>
      <w:r>
        <w:rPr>
          <w:color w:val="231F20"/>
        </w:rPr>
        <w:t>El objetivo principal de este trabajo fue diseñar una herramienta práctica y de consulta, como apoyo metodológico para el desarrollo de un proceso de Planeación Estratégica Participativa con enfoque de GIRH, en el marco de una red regional vinculada al interior de la cuenca con redes locales para la recuperación y el desarrollo sostenible de la cuenca L-Ch-S.</w:t>
      </w:r>
    </w:p>
    <w:p>
      <w:pPr>
        <w:pStyle w:val="BodyText"/>
      </w:pPr>
    </w:p>
    <w:p>
      <w:pPr>
        <w:pStyle w:val="BodyText"/>
        <w:spacing w:before="2"/>
        <w:rPr>
          <w:sz w:val="33"/>
        </w:rPr>
      </w:pPr>
    </w:p>
    <w:p>
      <w:pPr>
        <w:pStyle w:val="Heading2"/>
      </w:pPr>
      <w:r>
        <w:rPr>
          <w:color w:val="231F20"/>
        </w:rPr>
        <w:t>Metodología</w:t>
      </w:r>
    </w:p>
    <w:p>
      <w:pPr>
        <w:pStyle w:val="BodyText"/>
        <w:spacing w:line="410" w:lineRule="atLeast" w:before="122"/>
        <w:ind w:left="151" w:right="141"/>
        <w:jc w:val="both"/>
      </w:pPr>
      <w:r>
        <w:rPr>
          <w:color w:val="231F20"/>
        </w:rPr>
        <w:t>La Guía de Planeación Estratégica Participativa de la Red Lerma</w:t>
      </w:r>
      <w:r>
        <w:rPr>
          <w:color w:val="231F20"/>
          <w:position w:val="11"/>
          <w:sz w:val="16"/>
        </w:rPr>
        <w:t>(4) </w:t>
      </w:r>
      <w:r>
        <w:rPr>
          <w:color w:val="231F20"/>
        </w:rPr>
        <w:t>propone un enfoque GIRH que está diseñado, articulado y conducido por un proceso adaptativo de gestión a través del proceso de planeación estratégica participativa</w:t>
      </w:r>
      <w:r>
        <w:rPr>
          <w:color w:val="231F20"/>
          <w:position w:val="11"/>
          <w:sz w:val="16"/>
        </w:rPr>
        <w:t>(5, 6, 7) </w:t>
      </w:r>
      <w:r>
        <w:rPr>
          <w:color w:val="231F20"/>
        </w:rPr>
        <w:t>que establece concordancia entre sus 3 etapas (pensamiento estratégico, planeación de largo plazo y planeación táctica) con las fases del proceso GIRH (Figura 3), permite combinar la experiencia y el conocimiento para obtener una visión común, estableciendo objetivos globales y específicos.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3"/>
        </w:rPr>
      </w:pPr>
      <w:r>
        <w:rPr/>
        <w:pict>
          <v:group style="position:absolute;margin-left:101.199837pt;margin-top:9.500942pt;width:410.4pt;height:250.2pt;mso-position-horizontal-relative:page;mso-position-vertical-relative:paragraph;z-index:1072;mso-wrap-distance-left:0;mso-wrap-distance-right:0" coordorigin="2024,190" coordsize="8208,5004">
            <v:shape style="position:absolute;left:5180;top:190;width:2142;height:936" type="#_x0000_t75" stroked="false">
              <v:imagedata r:id="rId9" o:title=""/>
            </v:shape>
            <v:shape style="position:absolute;left:2552;top:340;width:2064;height:798" type="#_x0000_t75" stroked="false">
              <v:imagedata r:id="rId10" o:title=""/>
            </v:shape>
            <v:shape style="position:absolute;left:2552;top:1138;width:5094;height:144" type="#_x0000_t75" stroked="false">
              <v:imagedata r:id="rId11" o:title=""/>
            </v:shape>
            <v:shape style="position:absolute;left:4364;top:1282;width:3282;height:264" type="#_x0000_t75" stroked="false">
              <v:imagedata r:id="rId12" o:title=""/>
            </v:shape>
            <v:shape style="position:absolute;left:4358;top:1546;width:5874;height:300" type="#_x0000_t75" stroked="false">
              <v:imagedata r:id="rId13" o:title=""/>
            </v:shape>
            <v:shape style="position:absolute;left:2480;top:1846;width:7752;height:558" type="#_x0000_t75" stroked="false">
              <v:imagedata r:id="rId14" o:title=""/>
            </v:shape>
            <v:shape style="position:absolute;left:2480;top:2404;width:5166;height:150" type="#_x0000_t75" stroked="false">
              <v:imagedata r:id="rId15" o:title=""/>
            </v:shape>
            <v:shape style="position:absolute;left:2024;top:2554;width:5622;height:1026" type="#_x0000_t75" stroked="false">
              <v:imagedata r:id="rId16" o:title=""/>
            </v:shape>
            <v:shape style="position:absolute;left:2024;top:3580;width:8154;height:786" type="#_x0000_t75" stroked="false">
              <v:imagedata r:id="rId17" o:title=""/>
            </v:shape>
            <v:shape style="position:absolute;left:4364;top:4366;width:5814;height:186" type="#_x0000_t75" stroked="false">
              <v:imagedata r:id="rId18" o:title=""/>
            </v:shape>
            <v:shape style="position:absolute;left:4808;top:4558;width:2634;height:636" type="#_x0000_t75" stroked="false">
              <v:imagedata r:id="rId19" o:title=""/>
            </v:shape>
            <w10:wrap type="topAndBottom"/>
          </v:group>
        </w:pict>
      </w:r>
    </w:p>
    <w:p>
      <w:pPr>
        <w:pStyle w:val="BodyText"/>
        <w:spacing w:before="5"/>
        <w:rPr>
          <w:sz w:val="13"/>
        </w:rPr>
      </w:pPr>
    </w:p>
    <w:p>
      <w:pPr>
        <w:tabs>
          <w:tab w:pos="1232" w:val="left" w:leader="none"/>
        </w:tabs>
        <w:spacing w:before="75"/>
        <w:ind w:left="151" w:right="0" w:firstLine="0"/>
        <w:jc w:val="left"/>
        <w:rPr>
          <w:b/>
          <w:sz w:val="20"/>
        </w:rPr>
      </w:pPr>
      <w:r>
        <w:rPr>
          <w:b/>
          <w:color w:val="231F20"/>
          <w:sz w:val="20"/>
        </w:rPr>
        <w:t>Figura</w:t>
      </w:r>
      <w:r>
        <w:rPr>
          <w:b/>
          <w:color w:val="231F20"/>
          <w:spacing w:val="-1"/>
          <w:sz w:val="20"/>
        </w:rPr>
        <w:t> </w:t>
      </w:r>
      <w:r>
        <w:rPr>
          <w:b/>
          <w:color w:val="231F20"/>
          <w:sz w:val="20"/>
        </w:rPr>
        <w:t>3.</w:t>
      </w:r>
      <w:r>
        <w:rPr>
          <w:rFonts w:ascii="Times New Roman" w:hAnsi="Times New Roman"/>
          <w:color w:val="231F20"/>
          <w:sz w:val="20"/>
        </w:rPr>
        <w:tab/>
      </w:r>
      <w:r>
        <w:rPr>
          <w:b/>
          <w:color w:val="231F20"/>
          <w:sz w:val="20"/>
        </w:rPr>
        <w:t>Estructura </w:t>
      </w:r>
      <w:r>
        <w:rPr>
          <w:b/>
          <w:color w:val="231F20"/>
          <w:sz w:val="20"/>
        </w:rPr>
        <w:t>general </w:t>
      </w:r>
      <w:r>
        <w:rPr>
          <w:b/>
          <w:color w:val="231F20"/>
          <w:sz w:val="20"/>
        </w:rPr>
        <w:t>del </w:t>
      </w:r>
      <w:r>
        <w:rPr>
          <w:b/>
          <w:color w:val="231F20"/>
          <w:sz w:val="20"/>
        </w:rPr>
        <w:t>ciclo </w:t>
      </w:r>
      <w:r>
        <w:rPr>
          <w:b/>
          <w:color w:val="231F20"/>
          <w:sz w:val="20"/>
        </w:rPr>
        <w:t>de </w:t>
      </w:r>
      <w:r>
        <w:rPr>
          <w:b/>
          <w:color w:val="231F20"/>
          <w:sz w:val="20"/>
        </w:rPr>
        <w:t>Gestión </w:t>
      </w:r>
      <w:r>
        <w:rPr>
          <w:b/>
          <w:color w:val="231F20"/>
          <w:sz w:val="20"/>
        </w:rPr>
        <w:t>Integrada </w:t>
      </w:r>
      <w:r>
        <w:rPr>
          <w:b/>
          <w:color w:val="231F20"/>
          <w:sz w:val="20"/>
        </w:rPr>
        <w:t>de </w:t>
      </w:r>
      <w:r>
        <w:rPr>
          <w:b/>
          <w:color w:val="231F20"/>
          <w:sz w:val="20"/>
        </w:rPr>
        <w:t>Recursos</w:t>
      </w:r>
      <w:r>
        <w:rPr>
          <w:b/>
          <w:color w:val="231F20"/>
          <w:spacing w:val="-33"/>
          <w:sz w:val="20"/>
        </w:rPr>
        <w:t> </w:t>
      </w:r>
      <w:r>
        <w:rPr>
          <w:b/>
          <w:color w:val="231F20"/>
          <w:sz w:val="20"/>
        </w:rPr>
        <w:t>Hídricos.</w:t>
      </w:r>
    </w:p>
    <w:p>
      <w:pPr>
        <w:pStyle w:val="BodyText"/>
        <w:spacing w:before="10"/>
        <w:rPr>
          <w:b/>
          <w:sz w:val="13"/>
        </w:rPr>
      </w:pPr>
    </w:p>
    <w:p>
      <w:pPr>
        <w:tabs>
          <w:tab w:pos="1232" w:val="left" w:leader="none"/>
        </w:tabs>
        <w:spacing w:before="75"/>
        <w:ind w:left="151" w:right="0" w:firstLine="0"/>
        <w:jc w:val="left"/>
        <w:rPr>
          <w:b/>
          <w:sz w:val="20"/>
        </w:rPr>
      </w:pPr>
      <w:r>
        <w:rPr>
          <w:b/>
          <w:color w:val="231F20"/>
          <w:sz w:val="20"/>
        </w:rPr>
        <w:t>Figure</w:t>
      </w:r>
      <w:r>
        <w:rPr>
          <w:b/>
          <w:color w:val="231F20"/>
          <w:spacing w:val="-1"/>
          <w:sz w:val="20"/>
        </w:rPr>
        <w:t> </w:t>
      </w:r>
      <w:r>
        <w:rPr>
          <w:b/>
          <w:color w:val="231F20"/>
          <w:sz w:val="20"/>
        </w:rPr>
        <w:t>3.</w:t>
      </w:r>
      <w:r>
        <w:rPr>
          <w:rFonts w:ascii="Times New Roman"/>
          <w:color w:val="231F20"/>
          <w:sz w:val="20"/>
        </w:rPr>
        <w:tab/>
      </w:r>
      <w:r>
        <w:rPr>
          <w:b/>
          <w:color w:val="231F20"/>
          <w:sz w:val="20"/>
        </w:rPr>
        <w:t>General </w:t>
      </w:r>
      <w:r>
        <w:rPr>
          <w:b/>
          <w:color w:val="231F20"/>
          <w:sz w:val="20"/>
        </w:rPr>
        <w:t>structure </w:t>
      </w:r>
      <w:r>
        <w:rPr>
          <w:b/>
          <w:color w:val="231F20"/>
          <w:sz w:val="20"/>
        </w:rPr>
        <w:t>of </w:t>
      </w:r>
      <w:r>
        <w:rPr>
          <w:b/>
          <w:color w:val="231F20"/>
          <w:sz w:val="20"/>
        </w:rPr>
        <w:t>the </w:t>
      </w:r>
      <w:r>
        <w:rPr>
          <w:b/>
          <w:color w:val="231F20"/>
          <w:sz w:val="20"/>
        </w:rPr>
        <w:t>integrated </w:t>
      </w:r>
      <w:r>
        <w:rPr>
          <w:b/>
          <w:color w:val="231F20"/>
          <w:sz w:val="20"/>
        </w:rPr>
        <w:t>water </w:t>
      </w:r>
      <w:r>
        <w:rPr>
          <w:b/>
          <w:color w:val="231F20"/>
          <w:sz w:val="20"/>
        </w:rPr>
        <w:t>resources </w:t>
      </w:r>
      <w:r>
        <w:rPr>
          <w:b/>
          <w:color w:val="231F20"/>
          <w:sz w:val="20"/>
        </w:rPr>
        <w:t>management</w:t>
      </w:r>
      <w:r>
        <w:rPr>
          <w:b/>
          <w:color w:val="231F20"/>
          <w:spacing w:val="-36"/>
          <w:sz w:val="20"/>
        </w:rPr>
        <w:t> </w:t>
      </w:r>
      <w:r>
        <w:rPr>
          <w:b/>
          <w:color w:val="231F20"/>
          <w:sz w:val="20"/>
        </w:rPr>
        <w:t>cycle.</w:t>
      </w:r>
    </w:p>
    <w:p>
      <w:pPr>
        <w:spacing w:after="0"/>
        <w:jc w:val="left"/>
        <w:rPr>
          <w:sz w:val="20"/>
        </w:rPr>
        <w:sectPr>
          <w:pgSz w:w="12240" w:h="15840"/>
          <w:pgMar w:header="0" w:footer="258" w:top="860" w:bottom="440" w:left="1720" w:right="1720"/>
        </w:sectPr>
      </w:pPr>
    </w:p>
    <w:p>
      <w:pPr>
        <w:pStyle w:val="BodyText"/>
        <w:spacing w:line="352" w:lineRule="auto" w:before="55"/>
        <w:ind w:left="151" w:right="142"/>
        <w:jc w:val="both"/>
      </w:pPr>
      <w:r>
        <w:rPr>
          <w:color w:val="231F20"/>
        </w:rPr>
        <w:t>Esto facilita la construcción de consensos entre gobiernos e instituciones involucrados y permite acercarse al cumplimiento de las metas. Lo anterior se realiza bajo un análisis causa-efecto de la situación actual, identificando, seleccionando y alineando objetivos estratégicos, para ello se tienen como herramientas: </w:t>
      </w:r>
      <w:r>
        <w:rPr>
          <w:i/>
          <w:color w:val="231F20"/>
        </w:rPr>
        <w:t>(1) </w:t>
      </w:r>
      <w:r>
        <w:rPr>
          <w:color w:val="231F20"/>
        </w:rPr>
        <w:t>Los Indicadores PEIR</w:t>
      </w:r>
      <w:r>
        <w:rPr>
          <w:color w:val="231F20"/>
          <w:position w:val="11"/>
          <w:sz w:val="16"/>
        </w:rPr>
        <w:t>(8)</w:t>
      </w:r>
      <w:r>
        <w:rPr>
          <w:color w:val="231F20"/>
        </w:rPr>
        <w:t>, que expresan los vínculos existentes</w:t>
      </w:r>
    </w:p>
    <w:p>
      <w:pPr>
        <w:pStyle w:val="BodyText"/>
        <w:spacing w:line="270" w:lineRule="exact"/>
        <w:ind w:left="151"/>
        <w:jc w:val="both"/>
        <w:rPr>
          <w:i/>
        </w:rPr>
      </w:pPr>
      <w:r>
        <w:rPr>
          <w:color w:val="231F20"/>
        </w:rPr>
        <w:t>entre los diferentes factores que intervienen en la solución de un problema,  </w:t>
      </w:r>
      <w:r>
        <w:rPr>
          <w:i/>
          <w:color w:val="231F20"/>
        </w:rPr>
        <w:t>(2)</w:t>
      </w:r>
    </w:p>
    <w:p>
      <w:pPr>
        <w:pStyle w:val="BodyText"/>
        <w:spacing w:before="137"/>
        <w:ind w:left="151"/>
        <w:jc w:val="both"/>
      </w:pPr>
      <w:r>
        <w:rPr>
          <w:color w:val="231F20"/>
        </w:rPr>
        <w:t>El Trabajo en RED y </w:t>
      </w:r>
      <w:r>
        <w:rPr>
          <w:i/>
          <w:color w:val="231F20"/>
        </w:rPr>
        <w:t>(3) </w:t>
      </w:r>
      <w:r>
        <w:rPr>
          <w:color w:val="231F20"/>
        </w:rPr>
        <w:t>Las 4 Áreas Estratégicas de Planeación y  Articulación</w:t>
      </w:r>
    </w:p>
    <w:p>
      <w:pPr>
        <w:pStyle w:val="BodyText"/>
        <w:spacing w:before="138"/>
        <w:ind w:left="151"/>
      </w:pPr>
      <w:r>
        <w:rPr>
          <w:color w:val="231F20"/>
        </w:rPr>
        <w:t>(AEPA’s)  que  promueven  y  consolidan  el  trabajo  en  Red,  pues    permiten</w:t>
      </w:r>
    </w:p>
    <w:p>
      <w:pPr>
        <w:pStyle w:val="BodyText"/>
        <w:spacing w:line="360" w:lineRule="auto" w:before="138"/>
        <w:ind w:left="151" w:right="141"/>
        <w:jc w:val="both"/>
      </w:pPr>
      <w:r>
        <w:rPr>
          <w:color w:val="231F20"/>
        </w:rPr>
        <w:t>comprender de forma integrada la problemática de una cuenca: Ecosistemas y Biodiversidad (ECOBIO), Hidrología y usos del agua (HIDRO), Información y Generación de Conocimiento (IGC) y Desarrollo Social e Institucional (DSI) (Figura 4).</w:t>
      </w:r>
    </w:p>
    <w:p>
      <w:pPr>
        <w:pStyle w:val="BodyText"/>
        <w:rPr>
          <w:sz w:val="20"/>
        </w:rPr>
      </w:pPr>
    </w:p>
    <w:p>
      <w:pPr>
        <w:pStyle w:val="BodyText"/>
        <w:rPr>
          <w:sz w:val="20"/>
        </w:rPr>
      </w:pPr>
    </w:p>
    <w:p>
      <w:pPr>
        <w:pStyle w:val="BodyText"/>
        <w:spacing w:before="11"/>
        <w:rPr>
          <w:sz w:val="13"/>
        </w:rPr>
      </w:pPr>
      <w:r>
        <w:rPr/>
        <w:drawing>
          <wp:anchor distT="0" distB="0" distL="0" distR="0" allowOverlap="1" layoutInCell="1" locked="0" behindDoc="0" simplePos="0" relativeHeight="1096">
            <wp:simplePos x="0" y="0"/>
            <wp:positionH relativeFrom="page">
              <wp:posOffset>1473451</wp:posOffset>
            </wp:positionH>
            <wp:positionV relativeFrom="paragraph">
              <wp:posOffset>126941</wp:posOffset>
            </wp:positionV>
            <wp:extent cx="5099652" cy="3124009"/>
            <wp:effectExtent l="0" t="0" r="0" b="0"/>
            <wp:wrapTopAndBottom/>
            <wp:docPr id="5" name="image14.jpeg" descr=""/>
            <wp:cNvGraphicFramePr>
              <a:graphicFrameLocks noChangeAspect="1"/>
            </wp:cNvGraphicFramePr>
            <a:graphic>
              <a:graphicData uri="http://schemas.openxmlformats.org/drawingml/2006/picture">
                <pic:pic>
                  <pic:nvPicPr>
                    <pic:cNvPr id="6" name="image14.jpeg"/>
                    <pic:cNvPicPr/>
                  </pic:nvPicPr>
                  <pic:blipFill>
                    <a:blip r:embed="rId20" cstate="print"/>
                    <a:stretch>
                      <a:fillRect/>
                    </a:stretch>
                  </pic:blipFill>
                  <pic:spPr>
                    <a:xfrm>
                      <a:off x="0" y="0"/>
                      <a:ext cx="5099652" cy="3124009"/>
                    </a:xfrm>
                    <a:prstGeom prst="rect">
                      <a:avLst/>
                    </a:prstGeom>
                  </pic:spPr>
                </pic:pic>
              </a:graphicData>
            </a:graphic>
          </wp:anchor>
        </w:drawing>
      </w:r>
    </w:p>
    <w:p>
      <w:pPr>
        <w:pStyle w:val="BodyText"/>
        <w:spacing w:before="11"/>
        <w:rPr>
          <w:sz w:val="9"/>
        </w:rPr>
      </w:pPr>
    </w:p>
    <w:p>
      <w:pPr>
        <w:tabs>
          <w:tab w:pos="1232" w:val="left" w:leader="none"/>
        </w:tabs>
        <w:spacing w:before="75"/>
        <w:ind w:left="1231" w:right="155" w:hanging="1080"/>
        <w:jc w:val="left"/>
        <w:rPr>
          <w:b/>
          <w:sz w:val="20"/>
        </w:rPr>
      </w:pPr>
      <w:r>
        <w:rPr>
          <w:b/>
          <w:color w:val="231F20"/>
          <w:sz w:val="20"/>
        </w:rPr>
        <w:t>Figura</w:t>
      </w:r>
      <w:r>
        <w:rPr>
          <w:b/>
          <w:color w:val="231F20"/>
          <w:spacing w:val="-1"/>
          <w:sz w:val="20"/>
        </w:rPr>
        <w:t> </w:t>
      </w:r>
      <w:r>
        <w:rPr>
          <w:b/>
          <w:color w:val="231F20"/>
          <w:sz w:val="20"/>
        </w:rPr>
        <w:t>4.</w:t>
      </w:r>
      <w:r>
        <w:rPr>
          <w:rFonts w:ascii="Times New Roman"/>
          <w:color w:val="231F20"/>
          <w:sz w:val="20"/>
        </w:rPr>
        <w:tab/>
        <w:tab/>
      </w:r>
      <w:r>
        <w:rPr>
          <w:b/>
          <w:color w:val="231F20"/>
          <w:sz w:val="20"/>
        </w:rPr>
        <w:t>Trabajo </w:t>
      </w:r>
      <w:r>
        <w:rPr>
          <w:b/>
          <w:color w:val="231F20"/>
          <w:sz w:val="20"/>
        </w:rPr>
        <w:t>en </w:t>
      </w:r>
      <w:r>
        <w:rPr>
          <w:b/>
          <w:color w:val="231F20"/>
          <w:sz w:val="20"/>
        </w:rPr>
        <w:t>Red. </w:t>
      </w:r>
      <w:r>
        <w:rPr>
          <w:b/>
          <w:color w:val="231F20"/>
          <w:sz w:val="20"/>
        </w:rPr>
        <w:t>Forma </w:t>
      </w:r>
      <w:r>
        <w:rPr>
          <w:b/>
          <w:color w:val="231F20"/>
          <w:sz w:val="20"/>
        </w:rPr>
        <w:t>colectiva </w:t>
      </w:r>
      <w:r>
        <w:rPr>
          <w:b/>
          <w:color w:val="231F20"/>
          <w:sz w:val="20"/>
        </w:rPr>
        <w:t>de </w:t>
      </w:r>
      <w:r>
        <w:rPr>
          <w:b/>
          <w:color w:val="231F20"/>
          <w:sz w:val="20"/>
        </w:rPr>
        <w:t>trabajo </w:t>
      </w:r>
      <w:r>
        <w:rPr>
          <w:b/>
          <w:color w:val="231F20"/>
          <w:sz w:val="20"/>
        </w:rPr>
        <w:t>que </w:t>
      </w:r>
      <w:r>
        <w:rPr>
          <w:b/>
          <w:color w:val="231F20"/>
          <w:sz w:val="20"/>
        </w:rPr>
        <w:t>busca </w:t>
      </w:r>
      <w:r>
        <w:rPr>
          <w:b/>
          <w:color w:val="231F20"/>
          <w:sz w:val="20"/>
        </w:rPr>
        <w:t>usar</w:t>
      </w:r>
      <w:r>
        <w:rPr>
          <w:b/>
          <w:color w:val="231F20"/>
          <w:spacing w:val="-29"/>
          <w:sz w:val="20"/>
        </w:rPr>
        <w:t> </w:t>
      </w:r>
      <w:r>
        <w:rPr>
          <w:b/>
          <w:color w:val="231F20"/>
          <w:sz w:val="20"/>
        </w:rPr>
        <w:t>eficientemente</w:t>
      </w:r>
      <w:r>
        <w:rPr>
          <w:b/>
          <w:color w:val="231F20"/>
          <w:spacing w:val="-5"/>
          <w:sz w:val="20"/>
        </w:rPr>
        <w:t> </w:t>
      </w:r>
      <w:r>
        <w:rPr>
          <w:b/>
          <w:color w:val="231F20"/>
          <w:sz w:val="20"/>
        </w:rPr>
        <w:t>los</w:t>
      </w:r>
      <w:r>
        <w:rPr>
          <w:rFonts w:ascii="Times New Roman"/>
          <w:color w:val="231F20"/>
          <w:w w:val="100"/>
          <w:sz w:val="20"/>
        </w:rPr>
        <w:t> </w:t>
      </w:r>
      <w:r>
        <w:rPr>
          <w:b/>
          <w:color w:val="231F20"/>
          <w:sz w:val="20"/>
        </w:rPr>
        <w:t>recursos </w:t>
      </w:r>
      <w:r>
        <w:rPr>
          <w:b/>
          <w:color w:val="231F20"/>
          <w:sz w:val="20"/>
        </w:rPr>
        <w:t>y </w:t>
      </w:r>
      <w:r>
        <w:rPr>
          <w:b/>
          <w:color w:val="231F20"/>
          <w:sz w:val="20"/>
        </w:rPr>
        <w:t>permite </w:t>
      </w:r>
      <w:r>
        <w:rPr>
          <w:b/>
          <w:color w:val="231F20"/>
          <w:sz w:val="20"/>
        </w:rPr>
        <w:t>que </w:t>
      </w:r>
      <w:r>
        <w:rPr>
          <w:b/>
          <w:color w:val="231F20"/>
          <w:sz w:val="20"/>
        </w:rPr>
        <w:t>el </w:t>
      </w:r>
      <w:r>
        <w:rPr>
          <w:b/>
          <w:color w:val="231F20"/>
          <w:sz w:val="20"/>
        </w:rPr>
        <w:t>conocimiento </w:t>
      </w:r>
      <w:r>
        <w:rPr>
          <w:b/>
          <w:color w:val="231F20"/>
          <w:sz w:val="20"/>
        </w:rPr>
        <w:t>local </w:t>
      </w:r>
      <w:r>
        <w:rPr>
          <w:b/>
          <w:color w:val="231F20"/>
          <w:sz w:val="20"/>
        </w:rPr>
        <w:t>se </w:t>
      </w:r>
      <w:r>
        <w:rPr>
          <w:b/>
          <w:color w:val="231F20"/>
          <w:sz w:val="20"/>
        </w:rPr>
        <w:t>aproveche </w:t>
      </w:r>
      <w:r>
        <w:rPr>
          <w:b/>
          <w:color w:val="231F20"/>
          <w:sz w:val="20"/>
        </w:rPr>
        <w:t>en </w:t>
      </w:r>
      <w:r>
        <w:rPr>
          <w:b/>
          <w:color w:val="231F20"/>
          <w:sz w:val="20"/>
        </w:rPr>
        <w:t>otras</w:t>
      </w:r>
      <w:r>
        <w:rPr>
          <w:b/>
          <w:color w:val="231F20"/>
          <w:spacing w:val="-34"/>
          <w:sz w:val="20"/>
        </w:rPr>
        <w:t> </w:t>
      </w:r>
      <w:r>
        <w:rPr>
          <w:b/>
          <w:color w:val="231F20"/>
          <w:sz w:val="20"/>
        </w:rPr>
        <w:t>regiones.</w:t>
      </w:r>
    </w:p>
    <w:p>
      <w:pPr>
        <w:tabs>
          <w:tab w:pos="1231" w:val="left" w:leader="none"/>
        </w:tabs>
        <w:spacing w:before="119"/>
        <w:ind w:left="1231" w:right="397" w:hanging="1080"/>
        <w:jc w:val="left"/>
        <w:rPr>
          <w:b/>
          <w:sz w:val="20"/>
        </w:rPr>
      </w:pPr>
      <w:r>
        <w:rPr>
          <w:b/>
          <w:color w:val="231F20"/>
          <w:sz w:val="20"/>
        </w:rPr>
        <w:t>Figure</w:t>
      </w:r>
      <w:r>
        <w:rPr>
          <w:b/>
          <w:color w:val="231F20"/>
          <w:spacing w:val="-2"/>
          <w:sz w:val="20"/>
        </w:rPr>
        <w:t> </w:t>
      </w:r>
      <w:r>
        <w:rPr>
          <w:b/>
          <w:color w:val="231F20"/>
          <w:sz w:val="20"/>
        </w:rPr>
        <w:t>4.</w:t>
      </w:r>
      <w:r>
        <w:rPr>
          <w:rFonts w:ascii="Times New Roman"/>
          <w:color w:val="231F20"/>
          <w:sz w:val="20"/>
        </w:rPr>
        <w:tab/>
      </w:r>
      <w:r>
        <w:rPr>
          <w:b/>
          <w:color w:val="231F20"/>
          <w:sz w:val="20"/>
        </w:rPr>
        <w:t>NET-working. </w:t>
      </w:r>
      <w:r>
        <w:rPr>
          <w:b/>
          <w:color w:val="231F20"/>
          <w:sz w:val="20"/>
        </w:rPr>
        <w:t>Collective </w:t>
      </w:r>
      <w:r>
        <w:rPr>
          <w:b/>
          <w:color w:val="231F20"/>
          <w:sz w:val="20"/>
        </w:rPr>
        <w:t>form </w:t>
      </w:r>
      <w:r>
        <w:rPr>
          <w:b/>
          <w:color w:val="231F20"/>
          <w:sz w:val="20"/>
        </w:rPr>
        <w:t>of </w:t>
      </w:r>
      <w:r>
        <w:rPr>
          <w:b/>
          <w:color w:val="231F20"/>
          <w:sz w:val="20"/>
        </w:rPr>
        <w:t>work </w:t>
      </w:r>
      <w:r>
        <w:rPr>
          <w:b/>
          <w:color w:val="231F20"/>
          <w:sz w:val="20"/>
        </w:rPr>
        <w:t>that </w:t>
      </w:r>
      <w:r>
        <w:rPr>
          <w:b/>
          <w:color w:val="231F20"/>
          <w:sz w:val="20"/>
        </w:rPr>
        <w:t>seeks </w:t>
      </w:r>
      <w:r>
        <w:rPr>
          <w:b/>
          <w:color w:val="231F20"/>
          <w:sz w:val="20"/>
        </w:rPr>
        <w:t>to </w:t>
      </w:r>
      <w:r>
        <w:rPr>
          <w:b/>
          <w:color w:val="231F20"/>
          <w:sz w:val="20"/>
        </w:rPr>
        <w:t>efficiently</w:t>
      </w:r>
      <w:r>
        <w:rPr>
          <w:b/>
          <w:color w:val="231F20"/>
          <w:spacing w:val="-27"/>
          <w:sz w:val="20"/>
        </w:rPr>
        <w:t> </w:t>
      </w:r>
      <w:r>
        <w:rPr>
          <w:b/>
          <w:color w:val="231F20"/>
          <w:sz w:val="20"/>
        </w:rPr>
        <w:t>use</w:t>
      </w:r>
      <w:r>
        <w:rPr>
          <w:b/>
          <w:color w:val="231F20"/>
          <w:spacing w:val="-3"/>
          <w:sz w:val="20"/>
        </w:rPr>
        <w:t> </w:t>
      </w:r>
      <w:r>
        <w:rPr>
          <w:b/>
          <w:color w:val="231F20"/>
          <w:sz w:val="20"/>
        </w:rPr>
        <w:t>the</w:t>
      </w:r>
      <w:r>
        <w:rPr>
          <w:rFonts w:ascii="Times New Roman"/>
          <w:color w:val="231F20"/>
          <w:w w:val="100"/>
          <w:sz w:val="20"/>
        </w:rPr>
        <w:t> </w:t>
      </w:r>
      <w:r>
        <w:rPr>
          <w:b/>
          <w:color w:val="231F20"/>
          <w:sz w:val="20"/>
        </w:rPr>
        <w:t>available </w:t>
      </w:r>
      <w:r>
        <w:rPr>
          <w:b/>
          <w:color w:val="231F20"/>
          <w:sz w:val="20"/>
        </w:rPr>
        <w:t>resources, </w:t>
      </w:r>
      <w:r>
        <w:rPr>
          <w:b/>
          <w:color w:val="231F20"/>
          <w:sz w:val="20"/>
        </w:rPr>
        <w:t>allowing </w:t>
      </w:r>
      <w:r>
        <w:rPr>
          <w:b/>
          <w:color w:val="231F20"/>
          <w:sz w:val="20"/>
        </w:rPr>
        <w:t>the </w:t>
      </w:r>
      <w:r>
        <w:rPr>
          <w:b/>
          <w:color w:val="231F20"/>
          <w:sz w:val="20"/>
        </w:rPr>
        <w:t>local </w:t>
      </w:r>
      <w:r>
        <w:rPr>
          <w:b/>
          <w:color w:val="231F20"/>
          <w:sz w:val="20"/>
        </w:rPr>
        <w:t>knowledge </w:t>
      </w:r>
      <w:r>
        <w:rPr>
          <w:b/>
          <w:color w:val="231F20"/>
          <w:sz w:val="20"/>
        </w:rPr>
        <w:t>to </w:t>
      </w:r>
      <w:r>
        <w:rPr>
          <w:b/>
          <w:color w:val="231F20"/>
          <w:sz w:val="20"/>
        </w:rPr>
        <w:t>serve </w:t>
      </w:r>
      <w:r>
        <w:rPr>
          <w:b/>
          <w:color w:val="231F20"/>
          <w:sz w:val="20"/>
        </w:rPr>
        <w:t>in </w:t>
      </w:r>
      <w:r>
        <w:rPr>
          <w:b/>
          <w:color w:val="231F20"/>
          <w:sz w:val="20"/>
        </w:rPr>
        <w:t>other</w:t>
      </w:r>
      <w:r>
        <w:rPr>
          <w:b/>
          <w:color w:val="231F20"/>
          <w:spacing w:val="-32"/>
          <w:sz w:val="20"/>
        </w:rPr>
        <w:t> </w:t>
      </w:r>
      <w:r>
        <w:rPr>
          <w:b/>
          <w:color w:val="231F20"/>
          <w:sz w:val="20"/>
        </w:rPr>
        <w:t>regions.</w:t>
      </w:r>
    </w:p>
    <w:p>
      <w:pPr>
        <w:spacing w:after="0"/>
        <w:jc w:val="left"/>
        <w:rPr>
          <w:sz w:val="20"/>
        </w:rPr>
        <w:sectPr>
          <w:pgSz w:w="12240" w:h="15840"/>
          <w:pgMar w:header="0" w:footer="258" w:top="860" w:bottom="440" w:left="1720" w:right="1720"/>
        </w:sectPr>
      </w:pPr>
    </w:p>
    <w:p>
      <w:pPr>
        <w:pStyle w:val="Heading2"/>
        <w:spacing w:before="56"/>
      </w:pPr>
      <w:r>
        <w:rPr>
          <w:color w:val="231F20"/>
        </w:rPr>
        <w:t>Discusión</w:t>
      </w:r>
    </w:p>
    <w:p>
      <w:pPr>
        <w:pStyle w:val="BodyText"/>
        <w:spacing w:before="3"/>
        <w:rPr>
          <w:b/>
          <w:sz w:val="22"/>
        </w:rPr>
      </w:pPr>
    </w:p>
    <w:p>
      <w:pPr>
        <w:pStyle w:val="BodyText"/>
        <w:spacing w:line="360" w:lineRule="auto" w:before="1"/>
        <w:ind w:left="151" w:right="143"/>
        <w:jc w:val="both"/>
      </w:pPr>
      <w:r>
        <w:rPr>
          <w:color w:val="58595B"/>
        </w:rPr>
        <w:t>Con base en los trabajos desarrollados se está asesorando a la Secretaría del Medio Ambiente del Gobierno del Estado de México en la formulación de los Términos de Referencia y en el proceso de licitación del Plan Maestro para la cuenca del curso Alto del Río Lerma (CARL).</w:t>
      </w:r>
    </w:p>
    <w:p>
      <w:pPr>
        <w:pStyle w:val="BodyText"/>
        <w:spacing w:line="360" w:lineRule="auto" w:before="124"/>
        <w:ind w:left="151" w:right="143"/>
        <w:jc w:val="both"/>
      </w:pPr>
      <w:r>
        <w:rPr>
          <w:color w:val="58595B"/>
        </w:rPr>
        <w:t>Igualmente, con el proceso de planeación propuesto en la Guía y a partir de los proyectos identificados previamente, se participó en la definición de proyectos tácticos a desarrollarse durante 2008-2009 en la CARL, que tiene previsto realizar el Gobierno del Estado de México.</w:t>
      </w:r>
    </w:p>
    <w:p>
      <w:pPr>
        <w:pStyle w:val="BodyText"/>
        <w:spacing w:line="360" w:lineRule="auto" w:before="124"/>
        <w:ind w:left="151" w:right="142"/>
        <w:jc w:val="both"/>
      </w:pPr>
      <w:r>
        <w:rPr>
          <w:color w:val="231F20"/>
        </w:rPr>
        <w:t>Mediante el uso de las herramientas de planeación propuestas en la Guía, se ha construido en forma conjunta con la Secretaría del Medio Ambiente del Gobierno del Estado de México la conformación de una Mesa Técnica sobre Educación Ambiental y Participación Social. A nivel regional se plantea el reto de consolidar los procesos de integración de las unidades interdisciplinarias de trabajo (UIT’s) que ya fueron iniciados en los estados de México, Nayarit, Guanajuato y Michoacán.</w:t>
      </w:r>
    </w:p>
    <w:p>
      <w:pPr>
        <w:pStyle w:val="BodyText"/>
      </w:pPr>
    </w:p>
    <w:p>
      <w:pPr>
        <w:pStyle w:val="BodyText"/>
        <w:spacing w:before="3"/>
        <w:rPr>
          <w:sz w:val="33"/>
        </w:rPr>
      </w:pPr>
    </w:p>
    <w:p>
      <w:pPr>
        <w:pStyle w:val="Heading2"/>
      </w:pPr>
      <w:r>
        <w:rPr>
          <w:color w:val="58595B"/>
        </w:rPr>
        <w:t>Conclusiones</w:t>
      </w:r>
    </w:p>
    <w:p>
      <w:pPr>
        <w:pStyle w:val="BodyText"/>
        <w:spacing w:before="3"/>
        <w:rPr>
          <w:b/>
          <w:sz w:val="22"/>
        </w:rPr>
      </w:pPr>
    </w:p>
    <w:p>
      <w:pPr>
        <w:pStyle w:val="BodyText"/>
        <w:spacing w:line="360" w:lineRule="auto" w:before="1"/>
        <w:ind w:left="151" w:right="141"/>
        <w:jc w:val="both"/>
      </w:pPr>
      <w:r>
        <w:rPr>
          <w:color w:val="58595B"/>
        </w:rPr>
        <w:t>Esta Guía de Planeación constituye una herramienta indispensable para el diseño, la implementación y el seguimiento de acciones concretas encami- nadas a la recuperación y desarrollo sustentable de la cuenca Lerma-Chapala- Santiago. Finalmente, el esfuerzo invertido en la elaboración de la Guía, ha  sido reconocido en los ámbitos nacional e internacional, considerándose como base para la generación de una Guía genérica, con aplicabilidad en cuencas latinoamericanas y de países emergentes, por organizaciones como la Latin American Water Education Training Network</w:t>
      </w:r>
      <w:r>
        <w:rPr>
          <w:color w:val="58595B"/>
          <w:spacing w:val="-29"/>
        </w:rPr>
        <w:t> </w:t>
      </w:r>
      <w:r>
        <w:rPr>
          <w:color w:val="58595B"/>
        </w:rPr>
        <w:t>(LA-WetNet).</w:t>
      </w:r>
    </w:p>
    <w:p>
      <w:pPr>
        <w:spacing w:after="0" w:line="360" w:lineRule="auto"/>
        <w:jc w:val="both"/>
        <w:sectPr>
          <w:footerReference w:type="default" r:id="rId21"/>
          <w:pgSz w:w="12240" w:h="15840"/>
          <w:pgMar w:footer="258" w:header="0" w:top="860" w:bottom="440" w:left="1720" w:right="1720"/>
          <w:pgNumType w:start="30"/>
        </w:sectPr>
      </w:pPr>
    </w:p>
    <w:p>
      <w:pPr>
        <w:spacing w:before="57"/>
        <w:ind w:left="151" w:right="0" w:firstLine="0"/>
        <w:jc w:val="left"/>
        <w:rPr>
          <w:b/>
          <w:sz w:val="22"/>
        </w:rPr>
      </w:pPr>
      <w:r>
        <w:rPr>
          <w:b/>
          <w:color w:val="231F20"/>
          <w:sz w:val="22"/>
        </w:rPr>
        <w:t>Bibliografía</w:t>
      </w:r>
    </w:p>
    <w:p>
      <w:pPr>
        <w:pStyle w:val="ListParagraph"/>
        <w:numPr>
          <w:ilvl w:val="0"/>
          <w:numId w:val="3"/>
        </w:numPr>
        <w:tabs>
          <w:tab w:pos="577" w:val="left" w:leader="none"/>
        </w:tabs>
        <w:spacing w:line="240" w:lineRule="auto" w:before="118" w:after="0"/>
        <w:ind w:left="576" w:right="143" w:hanging="425"/>
        <w:jc w:val="both"/>
        <w:rPr>
          <w:sz w:val="22"/>
        </w:rPr>
      </w:pPr>
      <w:r>
        <w:rPr>
          <w:color w:val="231F20"/>
          <w:sz w:val="22"/>
        </w:rPr>
        <w:t>Maass </w:t>
      </w:r>
      <w:r>
        <w:rPr>
          <w:color w:val="231F20"/>
          <w:sz w:val="22"/>
        </w:rPr>
        <w:t>M.J., </w:t>
      </w:r>
      <w:r>
        <w:rPr>
          <w:color w:val="231F20"/>
          <w:sz w:val="22"/>
        </w:rPr>
        <w:t>2004: </w:t>
      </w:r>
      <w:r>
        <w:rPr>
          <w:color w:val="231F20"/>
          <w:sz w:val="22"/>
        </w:rPr>
        <w:t>La </w:t>
      </w:r>
      <w:r>
        <w:rPr>
          <w:color w:val="231F20"/>
          <w:sz w:val="22"/>
        </w:rPr>
        <w:t>investigación </w:t>
      </w:r>
      <w:r>
        <w:rPr>
          <w:color w:val="231F20"/>
          <w:sz w:val="22"/>
        </w:rPr>
        <w:t>de </w:t>
      </w:r>
      <w:r>
        <w:rPr>
          <w:color w:val="231F20"/>
          <w:sz w:val="22"/>
        </w:rPr>
        <w:t>procesos </w:t>
      </w:r>
      <w:r>
        <w:rPr>
          <w:color w:val="231F20"/>
          <w:sz w:val="22"/>
        </w:rPr>
        <w:t>ecológicos </w:t>
      </w:r>
      <w:r>
        <w:rPr>
          <w:color w:val="231F20"/>
          <w:sz w:val="22"/>
        </w:rPr>
        <w:t>y </w:t>
      </w:r>
      <w:r>
        <w:rPr>
          <w:color w:val="231F20"/>
          <w:sz w:val="22"/>
        </w:rPr>
        <w:t>el </w:t>
      </w:r>
      <w:r>
        <w:rPr>
          <w:color w:val="231F20"/>
          <w:sz w:val="22"/>
        </w:rPr>
        <w:t>manejo </w:t>
      </w:r>
      <w:r>
        <w:rPr>
          <w:color w:val="231F20"/>
          <w:sz w:val="22"/>
        </w:rPr>
        <w:t>integrado </w:t>
      </w:r>
      <w:r>
        <w:rPr>
          <w:color w:val="231F20"/>
          <w:sz w:val="22"/>
        </w:rPr>
        <w:t>de </w:t>
      </w:r>
      <w:r>
        <w:rPr>
          <w:color w:val="231F20"/>
          <w:sz w:val="22"/>
        </w:rPr>
        <w:t>cuencas </w:t>
      </w:r>
      <w:r>
        <w:rPr>
          <w:color w:val="231F20"/>
          <w:sz w:val="22"/>
        </w:rPr>
        <w:t>hidrográficas: </w:t>
      </w:r>
      <w:r>
        <w:rPr>
          <w:color w:val="231F20"/>
          <w:sz w:val="22"/>
        </w:rPr>
        <w:t>Un </w:t>
      </w:r>
      <w:r>
        <w:rPr>
          <w:color w:val="231F20"/>
          <w:sz w:val="22"/>
        </w:rPr>
        <w:t>análisis </w:t>
      </w:r>
      <w:r>
        <w:rPr>
          <w:color w:val="231F20"/>
          <w:sz w:val="22"/>
        </w:rPr>
        <w:t>del </w:t>
      </w:r>
      <w:r>
        <w:rPr>
          <w:color w:val="231F20"/>
          <w:sz w:val="22"/>
        </w:rPr>
        <w:t>problema </w:t>
      </w:r>
      <w:r>
        <w:rPr>
          <w:color w:val="231F20"/>
          <w:sz w:val="22"/>
        </w:rPr>
        <w:t>de </w:t>
      </w:r>
      <w:r>
        <w:rPr>
          <w:color w:val="231F20"/>
          <w:sz w:val="22"/>
        </w:rPr>
        <w:t>escala. </w:t>
      </w:r>
      <w:r>
        <w:rPr>
          <w:color w:val="231F20"/>
          <w:sz w:val="22"/>
        </w:rPr>
        <w:t>INE. </w:t>
      </w:r>
      <w:hyperlink r:id="rId22">
        <w:r>
          <w:rPr>
            <w:color w:val="231F20"/>
            <w:sz w:val="22"/>
          </w:rPr>
          <w:t>http://www.ine.gob.mx/ueajei/publicaciones/libros/452/maass.html</w:t>
        </w:r>
      </w:hyperlink>
    </w:p>
    <w:p>
      <w:pPr>
        <w:pStyle w:val="ListParagraph"/>
        <w:numPr>
          <w:ilvl w:val="0"/>
          <w:numId w:val="3"/>
        </w:numPr>
        <w:tabs>
          <w:tab w:pos="577" w:val="left" w:leader="none"/>
        </w:tabs>
        <w:spacing w:line="240" w:lineRule="auto" w:before="120" w:after="0"/>
        <w:ind w:left="576" w:right="142" w:hanging="425"/>
        <w:jc w:val="both"/>
        <w:rPr>
          <w:sz w:val="22"/>
        </w:rPr>
      </w:pPr>
      <w:r>
        <w:rPr>
          <w:color w:val="231F20"/>
          <w:sz w:val="22"/>
        </w:rPr>
        <w:t>Global </w:t>
      </w:r>
      <w:r>
        <w:rPr>
          <w:color w:val="231F20"/>
          <w:sz w:val="22"/>
        </w:rPr>
        <w:t>Water </w:t>
      </w:r>
      <w:r>
        <w:rPr>
          <w:color w:val="231F20"/>
          <w:sz w:val="22"/>
        </w:rPr>
        <w:t>Partnership </w:t>
      </w:r>
      <w:r>
        <w:rPr>
          <w:color w:val="231F20"/>
          <w:sz w:val="22"/>
        </w:rPr>
        <w:t>(GWP), </w:t>
      </w:r>
      <w:r>
        <w:rPr>
          <w:color w:val="231F20"/>
          <w:sz w:val="22"/>
        </w:rPr>
        <w:t>2000: </w:t>
      </w:r>
      <w:r>
        <w:rPr>
          <w:color w:val="231F20"/>
          <w:sz w:val="22"/>
        </w:rPr>
        <w:t>Integrated </w:t>
      </w:r>
      <w:r>
        <w:rPr>
          <w:color w:val="231F20"/>
          <w:sz w:val="22"/>
        </w:rPr>
        <w:t>Water </w:t>
      </w:r>
      <w:r>
        <w:rPr>
          <w:color w:val="231F20"/>
          <w:sz w:val="22"/>
        </w:rPr>
        <w:t>Resources  </w:t>
      </w:r>
      <w:r>
        <w:rPr>
          <w:color w:val="231F20"/>
          <w:sz w:val="22"/>
        </w:rPr>
        <w:t>Management. </w:t>
      </w:r>
      <w:r>
        <w:rPr>
          <w:color w:val="231F20"/>
          <w:sz w:val="22"/>
        </w:rPr>
        <w:t>Technical </w:t>
      </w:r>
      <w:r>
        <w:rPr>
          <w:color w:val="231F20"/>
          <w:sz w:val="22"/>
        </w:rPr>
        <w:t>Advisory </w:t>
      </w:r>
      <w:r>
        <w:rPr>
          <w:color w:val="231F20"/>
          <w:sz w:val="22"/>
        </w:rPr>
        <w:t>Committee </w:t>
      </w:r>
      <w:r>
        <w:rPr>
          <w:color w:val="231F20"/>
          <w:sz w:val="22"/>
        </w:rPr>
        <w:t>(TAC). </w:t>
      </w:r>
      <w:r>
        <w:rPr>
          <w:color w:val="231F20"/>
          <w:sz w:val="22"/>
        </w:rPr>
        <w:t>Background </w:t>
      </w:r>
      <w:r>
        <w:rPr>
          <w:color w:val="231F20"/>
          <w:sz w:val="22"/>
        </w:rPr>
        <w:t>papers </w:t>
      </w:r>
      <w:r>
        <w:rPr>
          <w:color w:val="231F20"/>
          <w:sz w:val="22"/>
        </w:rPr>
        <w:t>4: </w:t>
      </w:r>
      <w:r>
        <w:rPr>
          <w:color w:val="231F20"/>
          <w:sz w:val="22"/>
        </w:rPr>
        <w:t>71 </w:t>
      </w:r>
      <w:r>
        <w:rPr>
          <w:color w:val="231F20"/>
          <w:sz w:val="22"/>
        </w:rPr>
        <w:t>pp. </w:t>
      </w:r>
      <w:hyperlink r:id="rId23">
        <w:r>
          <w:rPr>
            <w:color w:val="231F20"/>
            <w:sz w:val="22"/>
          </w:rPr>
          <w:t>www.gwpforum.org/gwp/library/TACNO4.PDF</w:t>
        </w:r>
      </w:hyperlink>
    </w:p>
    <w:p>
      <w:pPr>
        <w:pStyle w:val="ListParagraph"/>
        <w:numPr>
          <w:ilvl w:val="0"/>
          <w:numId w:val="3"/>
        </w:numPr>
        <w:tabs>
          <w:tab w:pos="577" w:val="left" w:leader="none"/>
        </w:tabs>
        <w:spacing w:line="240" w:lineRule="auto" w:before="119" w:after="0"/>
        <w:ind w:left="576" w:right="142" w:hanging="425"/>
        <w:jc w:val="both"/>
        <w:rPr>
          <w:sz w:val="22"/>
        </w:rPr>
      </w:pPr>
      <w:r>
        <w:rPr>
          <w:color w:val="231F20"/>
          <w:sz w:val="22"/>
        </w:rPr>
        <w:t>Bohem </w:t>
      </w:r>
      <w:r>
        <w:rPr>
          <w:color w:val="231F20"/>
          <w:sz w:val="22"/>
        </w:rPr>
        <w:t>D.L.B.Y </w:t>
      </w:r>
      <w:r>
        <w:rPr>
          <w:color w:val="231F20"/>
          <w:sz w:val="22"/>
        </w:rPr>
        <w:t>y </w:t>
      </w:r>
      <w:r>
        <w:rPr>
          <w:color w:val="231F20"/>
          <w:sz w:val="22"/>
        </w:rPr>
        <w:t>Sandoval </w:t>
      </w:r>
      <w:r>
        <w:rPr>
          <w:color w:val="231F20"/>
          <w:sz w:val="22"/>
        </w:rPr>
        <w:t>M.M., </w:t>
      </w:r>
      <w:r>
        <w:rPr>
          <w:color w:val="231F20"/>
          <w:sz w:val="22"/>
        </w:rPr>
        <w:t>1999: </w:t>
      </w:r>
      <w:r>
        <w:rPr>
          <w:color w:val="231F20"/>
          <w:sz w:val="22"/>
        </w:rPr>
        <w:t>La </w:t>
      </w:r>
      <w:r>
        <w:rPr>
          <w:color w:val="231F20"/>
          <w:sz w:val="22"/>
        </w:rPr>
        <w:t>Sed </w:t>
      </w:r>
      <w:r>
        <w:rPr>
          <w:color w:val="231F20"/>
          <w:sz w:val="22"/>
        </w:rPr>
        <w:t>Saciada </w:t>
      </w:r>
      <w:r>
        <w:rPr>
          <w:color w:val="231F20"/>
          <w:sz w:val="22"/>
        </w:rPr>
        <w:t>de </w:t>
      </w:r>
      <w:r>
        <w:rPr>
          <w:color w:val="231F20"/>
          <w:sz w:val="22"/>
        </w:rPr>
        <w:t>la </w:t>
      </w:r>
      <w:r>
        <w:rPr>
          <w:color w:val="231F20"/>
          <w:sz w:val="22"/>
        </w:rPr>
        <w:t>Ciudad </w:t>
      </w:r>
      <w:r>
        <w:rPr>
          <w:color w:val="231F20"/>
          <w:sz w:val="22"/>
        </w:rPr>
        <w:t>de </w:t>
      </w:r>
      <w:r>
        <w:rPr>
          <w:color w:val="231F20"/>
          <w:sz w:val="22"/>
        </w:rPr>
        <w:t>México: </w:t>
      </w:r>
      <w:r>
        <w:rPr>
          <w:color w:val="231F20"/>
          <w:sz w:val="22"/>
        </w:rPr>
        <w:t>La </w:t>
      </w:r>
      <w:r>
        <w:rPr>
          <w:color w:val="231F20"/>
          <w:sz w:val="22"/>
        </w:rPr>
        <w:t>nueva </w:t>
      </w:r>
      <w:r>
        <w:rPr>
          <w:color w:val="231F20"/>
          <w:sz w:val="22"/>
        </w:rPr>
        <w:t>cuenca </w:t>
      </w:r>
      <w:r>
        <w:rPr>
          <w:color w:val="231F20"/>
          <w:sz w:val="22"/>
        </w:rPr>
        <w:t>Lerma-Chapala-Santiago. </w:t>
      </w:r>
      <w:r>
        <w:rPr>
          <w:color w:val="231F20"/>
          <w:sz w:val="22"/>
        </w:rPr>
        <w:t>Un </w:t>
      </w:r>
      <w:r>
        <w:rPr>
          <w:color w:val="231F20"/>
          <w:sz w:val="22"/>
        </w:rPr>
        <w:t>ensayo </w:t>
      </w:r>
      <w:r>
        <w:rPr>
          <w:color w:val="231F20"/>
          <w:sz w:val="22"/>
        </w:rPr>
        <w:t>metodológico </w:t>
      </w:r>
      <w:r>
        <w:rPr>
          <w:color w:val="231F20"/>
          <w:sz w:val="22"/>
        </w:rPr>
        <w:t>de </w:t>
      </w:r>
      <w:r>
        <w:rPr>
          <w:color w:val="231F20"/>
          <w:sz w:val="22"/>
        </w:rPr>
        <w:t>lectura </w:t>
      </w:r>
      <w:r>
        <w:rPr>
          <w:color w:val="231F20"/>
          <w:sz w:val="22"/>
        </w:rPr>
        <w:t>cartográfica. </w:t>
      </w:r>
      <w:r>
        <w:rPr>
          <w:color w:val="231F20"/>
          <w:sz w:val="22"/>
        </w:rPr>
        <w:t>Relaciones </w:t>
      </w:r>
      <w:r>
        <w:rPr>
          <w:color w:val="231F20"/>
          <w:sz w:val="22"/>
        </w:rPr>
        <w:t>80 </w:t>
      </w:r>
      <w:r>
        <w:rPr>
          <w:color w:val="231F20"/>
          <w:sz w:val="22"/>
        </w:rPr>
        <w:t>(XX):</w:t>
      </w:r>
      <w:r>
        <w:rPr>
          <w:color w:val="231F20"/>
          <w:spacing w:val="-10"/>
          <w:sz w:val="22"/>
        </w:rPr>
        <w:t> </w:t>
      </w:r>
      <w:r>
        <w:rPr>
          <w:color w:val="231F20"/>
          <w:sz w:val="22"/>
        </w:rPr>
        <w:t>17-18.</w:t>
      </w:r>
    </w:p>
    <w:p>
      <w:pPr>
        <w:pStyle w:val="ListParagraph"/>
        <w:numPr>
          <w:ilvl w:val="0"/>
          <w:numId w:val="3"/>
        </w:numPr>
        <w:tabs>
          <w:tab w:pos="577" w:val="left" w:leader="none"/>
        </w:tabs>
        <w:spacing w:line="240" w:lineRule="auto" w:before="120" w:after="0"/>
        <w:ind w:left="576" w:right="141" w:hanging="425"/>
        <w:jc w:val="both"/>
        <w:rPr>
          <w:sz w:val="22"/>
        </w:rPr>
      </w:pPr>
      <w:r>
        <w:rPr>
          <w:color w:val="231F20"/>
          <w:sz w:val="22"/>
        </w:rPr>
        <w:t>Díaz-Delgado, </w:t>
      </w:r>
      <w:r>
        <w:rPr>
          <w:color w:val="231F20"/>
          <w:sz w:val="22"/>
        </w:rPr>
        <w:t>C., </w:t>
      </w:r>
      <w:r>
        <w:rPr>
          <w:color w:val="231F20"/>
          <w:sz w:val="22"/>
        </w:rPr>
        <w:t>Esteller, </w:t>
      </w:r>
      <w:r>
        <w:rPr>
          <w:color w:val="231F20"/>
          <w:sz w:val="22"/>
        </w:rPr>
        <w:t>M.V., </w:t>
      </w:r>
      <w:r>
        <w:rPr>
          <w:color w:val="231F20"/>
          <w:sz w:val="22"/>
        </w:rPr>
        <w:t>Velasco-Chilpa, </w:t>
      </w:r>
      <w:r>
        <w:rPr>
          <w:color w:val="231F20"/>
          <w:sz w:val="22"/>
        </w:rPr>
        <w:t>A., </w:t>
      </w:r>
      <w:r>
        <w:rPr>
          <w:color w:val="231F20"/>
          <w:sz w:val="22"/>
        </w:rPr>
        <w:t>Martínez-Vilchis, </w:t>
      </w:r>
      <w:r>
        <w:rPr>
          <w:color w:val="231F20"/>
          <w:sz w:val="22"/>
        </w:rPr>
        <w:t>J., </w:t>
      </w:r>
      <w:r>
        <w:rPr>
          <w:color w:val="231F20"/>
          <w:sz w:val="22"/>
        </w:rPr>
        <w:t>Arriaga- </w:t>
      </w:r>
      <w:r>
        <w:rPr>
          <w:color w:val="231F20"/>
          <w:sz w:val="22"/>
        </w:rPr>
        <w:t>Jordán, </w:t>
      </w:r>
      <w:r>
        <w:rPr>
          <w:color w:val="231F20"/>
          <w:sz w:val="22"/>
        </w:rPr>
        <w:t>C.M., </w:t>
      </w:r>
      <w:r>
        <w:rPr>
          <w:color w:val="231F20"/>
          <w:sz w:val="22"/>
        </w:rPr>
        <w:t>Vilchis-Francés, </w:t>
      </w:r>
      <w:r>
        <w:rPr>
          <w:color w:val="231F20"/>
          <w:sz w:val="22"/>
        </w:rPr>
        <w:t>A.Y., </w:t>
      </w:r>
      <w:r>
        <w:rPr>
          <w:color w:val="231F20"/>
          <w:sz w:val="22"/>
        </w:rPr>
        <w:t>Manzano-Solís, </w:t>
      </w:r>
      <w:r>
        <w:rPr>
          <w:color w:val="231F20"/>
          <w:sz w:val="22"/>
        </w:rPr>
        <w:t>L.R., </w:t>
      </w:r>
      <w:r>
        <w:rPr>
          <w:color w:val="231F20"/>
          <w:sz w:val="22"/>
        </w:rPr>
        <w:t>Colín-Mercado, </w:t>
      </w:r>
      <w:r>
        <w:rPr>
          <w:color w:val="231F20"/>
          <w:sz w:val="22"/>
        </w:rPr>
        <w:t>M., </w:t>
      </w:r>
      <w:r>
        <w:rPr>
          <w:color w:val="231F20"/>
          <w:sz w:val="22"/>
        </w:rPr>
        <w:t>Miranda-Juárez, </w:t>
      </w:r>
      <w:r>
        <w:rPr>
          <w:color w:val="231F20"/>
          <w:sz w:val="22"/>
        </w:rPr>
        <w:t>S., </w:t>
      </w:r>
      <w:r>
        <w:rPr>
          <w:color w:val="231F20"/>
          <w:sz w:val="22"/>
        </w:rPr>
        <w:t>Uribe-Caballero, </w:t>
      </w:r>
      <w:r>
        <w:rPr>
          <w:color w:val="231F20"/>
          <w:sz w:val="22"/>
        </w:rPr>
        <w:t>M.L.W. </w:t>
      </w:r>
      <w:r>
        <w:rPr>
          <w:color w:val="231F20"/>
          <w:sz w:val="22"/>
        </w:rPr>
        <w:t>y </w:t>
      </w:r>
      <w:r>
        <w:rPr>
          <w:color w:val="231F20"/>
          <w:sz w:val="22"/>
        </w:rPr>
        <w:t>Peña-Hinojosa, </w:t>
      </w:r>
      <w:r>
        <w:rPr>
          <w:color w:val="231F20"/>
          <w:sz w:val="22"/>
        </w:rPr>
        <w:t>A., </w:t>
      </w:r>
      <w:r>
        <w:rPr>
          <w:color w:val="231F20"/>
          <w:sz w:val="22"/>
        </w:rPr>
        <w:t>2009: </w:t>
      </w:r>
      <w:r>
        <w:rPr>
          <w:color w:val="231F20"/>
          <w:sz w:val="22"/>
        </w:rPr>
        <w:t>Guía </w:t>
      </w:r>
      <w:r>
        <w:rPr>
          <w:color w:val="231F20"/>
          <w:sz w:val="22"/>
        </w:rPr>
        <w:t>de </w:t>
      </w:r>
      <w:r>
        <w:rPr>
          <w:color w:val="231F20"/>
          <w:sz w:val="22"/>
        </w:rPr>
        <w:t>planeación </w:t>
      </w:r>
      <w:r>
        <w:rPr>
          <w:color w:val="231F20"/>
          <w:sz w:val="22"/>
        </w:rPr>
        <w:t>estratégica </w:t>
      </w:r>
      <w:r>
        <w:rPr>
          <w:color w:val="231F20"/>
          <w:sz w:val="22"/>
        </w:rPr>
        <w:t>participativa </w:t>
      </w:r>
      <w:r>
        <w:rPr>
          <w:color w:val="231F20"/>
          <w:sz w:val="22"/>
        </w:rPr>
        <w:t>para </w:t>
      </w:r>
      <w:r>
        <w:rPr>
          <w:color w:val="231F20"/>
          <w:sz w:val="22"/>
        </w:rPr>
        <w:t>la </w:t>
      </w:r>
      <w:r>
        <w:rPr>
          <w:color w:val="231F20"/>
          <w:sz w:val="22"/>
        </w:rPr>
        <w:t>gestión </w:t>
      </w:r>
      <w:r>
        <w:rPr>
          <w:color w:val="231F20"/>
          <w:sz w:val="22"/>
        </w:rPr>
        <w:t>integrada </w:t>
      </w:r>
      <w:r>
        <w:rPr>
          <w:color w:val="231F20"/>
          <w:sz w:val="22"/>
        </w:rPr>
        <w:t>de </w:t>
      </w:r>
      <w:r>
        <w:rPr>
          <w:color w:val="231F20"/>
          <w:sz w:val="22"/>
        </w:rPr>
        <w:t>los </w:t>
      </w:r>
      <w:r>
        <w:rPr>
          <w:color w:val="231F20"/>
          <w:sz w:val="22"/>
        </w:rPr>
        <w:t>recursos </w:t>
      </w:r>
      <w:r>
        <w:rPr>
          <w:color w:val="231F20"/>
          <w:sz w:val="22"/>
        </w:rPr>
        <w:t>hídricos </w:t>
      </w:r>
      <w:r>
        <w:rPr>
          <w:color w:val="231F20"/>
          <w:sz w:val="22"/>
        </w:rPr>
        <w:t>de </w:t>
      </w:r>
      <w:r>
        <w:rPr>
          <w:color w:val="231F20"/>
          <w:sz w:val="22"/>
        </w:rPr>
        <w:t>la </w:t>
      </w:r>
      <w:r>
        <w:rPr>
          <w:color w:val="231F20"/>
          <w:sz w:val="22"/>
        </w:rPr>
        <w:t>cuenca </w:t>
      </w:r>
      <w:r>
        <w:rPr>
          <w:color w:val="231F20"/>
          <w:sz w:val="22"/>
        </w:rPr>
        <w:t>del </w:t>
      </w:r>
      <w:r>
        <w:rPr>
          <w:color w:val="231F20"/>
          <w:sz w:val="22"/>
        </w:rPr>
        <w:t>río </w:t>
      </w:r>
      <w:r>
        <w:rPr>
          <w:color w:val="231F20"/>
          <w:sz w:val="22"/>
        </w:rPr>
        <w:t>Lerma-Chapala-Santiago, </w:t>
      </w:r>
      <w:r>
        <w:rPr>
          <w:color w:val="231F20"/>
          <w:sz w:val="22"/>
        </w:rPr>
        <w:t>Capítulo </w:t>
      </w:r>
      <w:r>
        <w:rPr>
          <w:color w:val="231F20"/>
          <w:sz w:val="22"/>
        </w:rPr>
        <w:t>Estado </w:t>
      </w:r>
      <w:r>
        <w:rPr>
          <w:color w:val="231F20"/>
          <w:sz w:val="22"/>
        </w:rPr>
        <w:t>de  </w:t>
      </w:r>
      <w:r>
        <w:rPr>
          <w:color w:val="231F20"/>
          <w:sz w:val="22"/>
        </w:rPr>
        <w:t>México. </w:t>
      </w:r>
      <w:r>
        <w:rPr>
          <w:color w:val="231F20"/>
          <w:sz w:val="22"/>
        </w:rPr>
        <w:t>Centro </w:t>
      </w:r>
      <w:r>
        <w:rPr>
          <w:color w:val="231F20"/>
          <w:sz w:val="22"/>
        </w:rPr>
        <w:t>Interamericano </w:t>
      </w:r>
      <w:r>
        <w:rPr>
          <w:color w:val="231F20"/>
          <w:sz w:val="22"/>
        </w:rPr>
        <w:t>de </w:t>
      </w:r>
      <w:r>
        <w:rPr>
          <w:color w:val="231F20"/>
          <w:sz w:val="22"/>
        </w:rPr>
        <w:t>Recursos </w:t>
      </w:r>
      <w:r>
        <w:rPr>
          <w:color w:val="231F20"/>
          <w:sz w:val="22"/>
        </w:rPr>
        <w:t>del </w:t>
      </w:r>
      <w:r>
        <w:rPr>
          <w:color w:val="231F20"/>
          <w:sz w:val="22"/>
        </w:rPr>
        <w:t>Agua, </w:t>
      </w:r>
      <w:r>
        <w:rPr>
          <w:color w:val="231F20"/>
          <w:sz w:val="22"/>
        </w:rPr>
        <w:t>Facultad </w:t>
      </w:r>
      <w:r>
        <w:rPr>
          <w:color w:val="231F20"/>
          <w:sz w:val="22"/>
        </w:rPr>
        <w:t>de </w:t>
      </w:r>
      <w:r>
        <w:rPr>
          <w:color w:val="231F20"/>
          <w:sz w:val="22"/>
        </w:rPr>
        <w:t>Ingeniería </w:t>
      </w:r>
      <w:r>
        <w:rPr>
          <w:color w:val="231F20"/>
          <w:sz w:val="22"/>
        </w:rPr>
        <w:t>de  </w:t>
      </w:r>
      <w:r>
        <w:rPr>
          <w:color w:val="231F20"/>
          <w:sz w:val="22"/>
        </w:rPr>
        <w:t>la </w:t>
      </w:r>
      <w:r>
        <w:rPr>
          <w:color w:val="231F20"/>
          <w:sz w:val="22"/>
        </w:rPr>
        <w:t>UAEMex </w:t>
      </w:r>
      <w:r>
        <w:rPr>
          <w:color w:val="231F20"/>
          <w:sz w:val="22"/>
        </w:rPr>
        <w:t>y </w:t>
      </w:r>
      <w:r>
        <w:rPr>
          <w:color w:val="231F20"/>
          <w:sz w:val="22"/>
        </w:rPr>
        <w:t>Red </w:t>
      </w:r>
      <w:r>
        <w:rPr>
          <w:color w:val="231F20"/>
          <w:sz w:val="22"/>
        </w:rPr>
        <w:t>Lerma. </w:t>
      </w:r>
      <w:r>
        <w:rPr>
          <w:color w:val="231F20"/>
          <w:sz w:val="22"/>
        </w:rPr>
        <w:t>245</w:t>
      </w:r>
      <w:r>
        <w:rPr>
          <w:color w:val="231F20"/>
          <w:spacing w:val="-7"/>
          <w:sz w:val="22"/>
        </w:rPr>
        <w:t> </w:t>
      </w:r>
      <w:r>
        <w:rPr>
          <w:color w:val="231F20"/>
          <w:sz w:val="22"/>
        </w:rPr>
        <w:t>pp.</w:t>
      </w:r>
    </w:p>
    <w:p>
      <w:pPr>
        <w:pStyle w:val="ListParagraph"/>
        <w:numPr>
          <w:ilvl w:val="0"/>
          <w:numId w:val="3"/>
        </w:numPr>
        <w:tabs>
          <w:tab w:pos="577" w:val="left" w:leader="none"/>
        </w:tabs>
        <w:spacing w:line="240" w:lineRule="auto" w:before="120" w:after="0"/>
        <w:ind w:left="576" w:right="143" w:hanging="425"/>
        <w:jc w:val="both"/>
        <w:rPr>
          <w:sz w:val="22"/>
        </w:rPr>
      </w:pPr>
      <w:r>
        <w:rPr>
          <w:color w:val="231F20"/>
          <w:sz w:val="22"/>
        </w:rPr>
        <w:t>Morrisey </w:t>
      </w:r>
      <w:r>
        <w:rPr>
          <w:color w:val="231F20"/>
          <w:sz w:val="22"/>
        </w:rPr>
        <w:t>G.J., </w:t>
      </w:r>
      <w:r>
        <w:rPr>
          <w:color w:val="231F20"/>
          <w:sz w:val="22"/>
        </w:rPr>
        <w:t>1996: </w:t>
      </w:r>
      <w:r>
        <w:rPr>
          <w:color w:val="231F20"/>
          <w:sz w:val="22"/>
        </w:rPr>
        <w:t>Pensamiento </w:t>
      </w:r>
      <w:r>
        <w:rPr>
          <w:color w:val="231F20"/>
          <w:sz w:val="22"/>
        </w:rPr>
        <w:t>Estratégico. </w:t>
      </w:r>
      <w:r>
        <w:rPr>
          <w:color w:val="231F20"/>
          <w:sz w:val="22"/>
        </w:rPr>
        <w:t>Construya </w:t>
      </w:r>
      <w:r>
        <w:rPr>
          <w:color w:val="231F20"/>
          <w:sz w:val="22"/>
        </w:rPr>
        <w:t>los </w:t>
      </w:r>
      <w:r>
        <w:rPr>
          <w:color w:val="231F20"/>
          <w:sz w:val="22"/>
        </w:rPr>
        <w:t>cimientos </w:t>
      </w:r>
      <w:r>
        <w:rPr>
          <w:color w:val="231F20"/>
          <w:sz w:val="22"/>
        </w:rPr>
        <w:t>de </w:t>
      </w:r>
      <w:r>
        <w:rPr>
          <w:color w:val="231F20"/>
          <w:sz w:val="22"/>
        </w:rPr>
        <w:t>su </w:t>
      </w:r>
      <w:r>
        <w:rPr>
          <w:color w:val="231F20"/>
          <w:sz w:val="22"/>
        </w:rPr>
        <w:t>planeación. </w:t>
      </w:r>
      <w:r>
        <w:rPr>
          <w:color w:val="231F20"/>
          <w:sz w:val="22"/>
        </w:rPr>
        <w:t>Ed. </w:t>
      </w:r>
      <w:r>
        <w:rPr>
          <w:color w:val="231F20"/>
          <w:sz w:val="22"/>
        </w:rPr>
        <w:t>Prentice-Hall </w:t>
      </w:r>
      <w:r>
        <w:rPr>
          <w:color w:val="231F20"/>
          <w:sz w:val="22"/>
        </w:rPr>
        <w:t>Hispanoamericana, </w:t>
      </w:r>
      <w:r>
        <w:rPr>
          <w:color w:val="231F20"/>
          <w:sz w:val="22"/>
        </w:rPr>
        <w:t>S. </w:t>
      </w:r>
      <w:r>
        <w:rPr>
          <w:color w:val="231F20"/>
          <w:sz w:val="22"/>
        </w:rPr>
        <w:t>A. </w:t>
      </w:r>
      <w:r>
        <w:rPr>
          <w:color w:val="231F20"/>
          <w:sz w:val="22"/>
        </w:rPr>
        <w:t>México. </w:t>
      </w:r>
      <w:r>
        <w:rPr>
          <w:color w:val="231F20"/>
          <w:sz w:val="22"/>
        </w:rPr>
        <w:t>120</w:t>
      </w:r>
      <w:r>
        <w:rPr>
          <w:color w:val="231F20"/>
          <w:spacing w:val="-13"/>
          <w:sz w:val="22"/>
        </w:rPr>
        <w:t> </w:t>
      </w:r>
      <w:r>
        <w:rPr>
          <w:color w:val="231F20"/>
          <w:sz w:val="22"/>
        </w:rPr>
        <w:t>pp.</w:t>
      </w:r>
    </w:p>
    <w:p>
      <w:pPr>
        <w:pStyle w:val="ListParagraph"/>
        <w:numPr>
          <w:ilvl w:val="0"/>
          <w:numId w:val="3"/>
        </w:numPr>
        <w:tabs>
          <w:tab w:pos="577" w:val="left" w:leader="none"/>
        </w:tabs>
        <w:spacing w:line="240" w:lineRule="auto" w:before="120" w:after="0"/>
        <w:ind w:left="576" w:right="144" w:hanging="425"/>
        <w:jc w:val="both"/>
        <w:rPr>
          <w:sz w:val="22"/>
        </w:rPr>
      </w:pPr>
      <w:r>
        <w:rPr>
          <w:color w:val="231F20"/>
          <w:sz w:val="22"/>
        </w:rPr>
        <w:t>Morrisey </w:t>
      </w:r>
      <w:r>
        <w:rPr>
          <w:color w:val="231F20"/>
          <w:sz w:val="22"/>
        </w:rPr>
        <w:t>G.J., </w:t>
      </w:r>
      <w:r>
        <w:rPr>
          <w:color w:val="231F20"/>
          <w:sz w:val="22"/>
        </w:rPr>
        <w:t>1996: </w:t>
      </w:r>
      <w:r>
        <w:rPr>
          <w:color w:val="231F20"/>
          <w:sz w:val="22"/>
        </w:rPr>
        <w:t>Planeación </w:t>
      </w:r>
      <w:r>
        <w:rPr>
          <w:color w:val="231F20"/>
          <w:sz w:val="22"/>
        </w:rPr>
        <w:t>a </w:t>
      </w:r>
      <w:r>
        <w:rPr>
          <w:color w:val="231F20"/>
          <w:sz w:val="22"/>
        </w:rPr>
        <w:t>largo </w:t>
      </w:r>
      <w:r>
        <w:rPr>
          <w:color w:val="231F20"/>
          <w:sz w:val="22"/>
        </w:rPr>
        <w:t>plazo. </w:t>
      </w:r>
      <w:r>
        <w:rPr>
          <w:color w:val="231F20"/>
          <w:sz w:val="22"/>
        </w:rPr>
        <w:t>Creando </w:t>
      </w:r>
      <w:r>
        <w:rPr>
          <w:color w:val="231F20"/>
          <w:sz w:val="22"/>
        </w:rPr>
        <w:t>su </w:t>
      </w:r>
      <w:r>
        <w:rPr>
          <w:color w:val="231F20"/>
          <w:sz w:val="22"/>
        </w:rPr>
        <w:t>propia </w:t>
      </w:r>
      <w:r>
        <w:rPr>
          <w:color w:val="231F20"/>
          <w:sz w:val="22"/>
        </w:rPr>
        <w:t>estrategia. </w:t>
      </w:r>
      <w:r>
        <w:rPr>
          <w:color w:val="231F20"/>
          <w:sz w:val="22"/>
        </w:rPr>
        <w:t>Ed. </w:t>
      </w:r>
      <w:r>
        <w:rPr>
          <w:color w:val="231F20"/>
          <w:sz w:val="22"/>
        </w:rPr>
        <w:t>Prentice-Hall </w:t>
      </w:r>
      <w:r>
        <w:rPr>
          <w:color w:val="231F20"/>
          <w:sz w:val="22"/>
        </w:rPr>
        <w:t>Hispanoamericana, </w:t>
      </w:r>
      <w:r>
        <w:rPr>
          <w:color w:val="231F20"/>
          <w:sz w:val="22"/>
        </w:rPr>
        <w:t>S. </w:t>
      </w:r>
      <w:r>
        <w:rPr>
          <w:color w:val="231F20"/>
          <w:sz w:val="22"/>
        </w:rPr>
        <w:t>A. </w:t>
      </w:r>
      <w:r>
        <w:rPr>
          <w:color w:val="231F20"/>
          <w:sz w:val="22"/>
        </w:rPr>
        <w:t>México. </w:t>
      </w:r>
      <w:r>
        <w:rPr>
          <w:color w:val="231F20"/>
          <w:sz w:val="22"/>
        </w:rPr>
        <w:t>110</w:t>
      </w:r>
      <w:r>
        <w:rPr>
          <w:color w:val="231F20"/>
          <w:spacing w:val="-10"/>
          <w:sz w:val="22"/>
        </w:rPr>
        <w:t> </w:t>
      </w:r>
      <w:r>
        <w:rPr>
          <w:color w:val="231F20"/>
          <w:sz w:val="22"/>
        </w:rPr>
        <w:t>pp.</w:t>
      </w:r>
    </w:p>
    <w:p>
      <w:pPr>
        <w:pStyle w:val="ListParagraph"/>
        <w:numPr>
          <w:ilvl w:val="0"/>
          <w:numId w:val="3"/>
        </w:numPr>
        <w:tabs>
          <w:tab w:pos="577" w:val="left" w:leader="none"/>
        </w:tabs>
        <w:spacing w:line="240" w:lineRule="auto" w:before="120" w:after="0"/>
        <w:ind w:left="576" w:right="145" w:hanging="425"/>
        <w:jc w:val="both"/>
        <w:rPr>
          <w:sz w:val="22"/>
        </w:rPr>
      </w:pPr>
      <w:r>
        <w:rPr>
          <w:color w:val="231F20"/>
          <w:sz w:val="22"/>
        </w:rPr>
        <w:t>Morrisey </w:t>
      </w:r>
      <w:r>
        <w:rPr>
          <w:color w:val="231F20"/>
          <w:sz w:val="22"/>
        </w:rPr>
        <w:t>G.J., </w:t>
      </w:r>
      <w:r>
        <w:rPr>
          <w:color w:val="231F20"/>
          <w:sz w:val="22"/>
        </w:rPr>
        <w:t>1996: </w:t>
      </w:r>
      <w:r>
        <w:rPr>
          <w:color w:val="231F20"/>
          <w:sz w:val="22"/>
        </w:rPr>
        <w:t>Planeación </w:t>
      </w:r>
      <w:r>
        <w:rPr>
          <w:color w:val="231F20"/>
          <w:sz w:val="22"/>
        </w:rPr>
        <w:t>táctica. </w:t>
      </w:r>
      <w:r>
        <w:rPr>
          <w:color w:val="231F20"/>
          <w:sz w:val="22"/>
        </w:rPr>
        <w:t>Produciendo </w:t>
      </w:r>
      <w:r>
        <w:rPr>
          <w:color w:val="231F20"/>
          <w:sz w:val="22"/>
        </w:rPr>
        <w:t>resultados </w:t>
      </w:r>
      <w:r>
        <w:rPr>
          <w:color w:val="231F20"/>
          <w:sz w:val="22"/>
        </w:rPr>
        <w:t>en </w:t>
      </w:r>
      <w:r>
        <w:rPr>
          <w:color w:val="231F20"/>
          <w:sz w:val="22"/>
        </w:rPr>
        <w:t>corto </w:t>
      </w:r>
      <w:r>
        <w:rPr>
          <w:color w:val="231F20"/>
          <w:sz w:val="22"/>
        </w:rPr>
        <w:t>plazo. </w:t>
      </w:r>
      <w:r>
        <w:rPr>
          <w:color w:val="231F20"/>
          <w:sz w:val="22"/>
        </w:rPr>
        <w:t>Ed. </w:t>
      </w:r>
      <w:r>
        <w:rPr>
          <w:color w:val="231F20"/>
          <w:sz w:val="22"/>
        </w:rPr>
        <w:t>Prentice-Hall </w:t>
      </w:r>
      <w:r>
        <w:rPr>
          <w:color w:val="231F20"/>
          <w:sz w:val="22"/>
        </w:rPr>
        <w:t>Hispanoamericana, </w:t>
      </w:r>
      <w:r>
        <w:rPr>
          <w:color w:val="231F20"/>
          <w:sz w:val="22"/>
        </w:rPr>
        <w:t>S. </w:t>
      </w:r>
      <w:r>
        <w:rPr>
          <w:color w:val="231F20"/>
          <w:sz w:val="22"/>
        </w:rPr>
        <w:t>A. </w:t>
      </w:r>
      <w:r>
        <w:rPr>
          <w:color w:val="231F20"/>
          <w:sz w:val="22"/>
        </w:rPr>
        <w:t>México. </w:t>
      </w:r>
      <w:r>
        <w:rPr>
          <w:color w:val="231F20"/>
          <w:sz w:val="22"/>
        </w:rPr>
        <w:t>134</w:t>
      </w:r>
      <w:r>
        <w:rPr>
          <w:color w:val="231F20"/>
          <w:spacing w:val="-11"/>
          <w:sz w:val="22"/>
        </w:rPr>
        <w:t> </w:t>
      </w:r>
      <w:r>
        <w:rPr>
          <w:color w:val="231F20"/>
          <w:sz w:val="22"/>
        </w:rPr>
        <w:t>pp.</w:t>
      </w:r>
    </w:p>
    <w:p>
      <w:pPr>
        <w:pStyle w:val="ListParagraph"/>
        <w:numPr>
          <w:ilvl w:val="0"/>
          <w:numId w:val="3"/>
        </w:numPr>
        <w:tabs>
          <w:tab w:pos="577" w:val="left" w:leader="none"/>
        </w:tabs>
        <w:spacing w:line="240" w:lineRule="auto" w:before="119" w:after="0"/>
        <w:ind w:left="576" w:right="143" w:hanging="425"/>
        <w:jc w:val="both"/>
        <w:rPr>
          <w:sz w:val="22"/>
        </w:rPr>
      </w:pPr>
      <w:r>
        <w:rPr>
          <w:color w:val="231F20"/>
          <w:sz w:val="22"/>
        </w:rPr>
        <w:t>Organization </w:t>
      </w:r>
      <w:r>
        <w:rPr>
          <w:color w:val="231F20"/>
          <w:sz w:val="22"/>
        </w:rPr>
        <w:t>for </w:t>
      </w:r>
      <w:r>
        <w:rPr>
          <w:color w:val="231F20"/>
          <w:sz w:val="22"/>
        </w:rPr>
        <w:t>Economic </w:t>
      </w:r>
      <w:r>
        <w:rPr>
          <w:color w:val="231F20"/>
          <w:sz w:val="22"/>
        </w:rPr>
        <w:t>Cooperation </w:t>
      </w:r>
      <w:r>
        <w:rPr>
          <w:color w:val="231F20"/>
          <w:sz w:val="22"/>
        </w:rPr>
        <w:t>and </w:t>
      </w:r>
      <w:r>
        <w:rPr>
          <w:color w:val="231F20"/>
          <w:sz w:val="22"/>
        </w:rPr>
        <w:t>Development </w:t>
      </w:r>
      <w:r>
        <w:rPr>
          <w:color w:val="231F20"/>
          <w:sz w:val="22"/>
        </w:rPr>
        <w:t>(OECD), </w:t>
      </w:r>
      <w:r>
        <w:rPr>
          <w:color w:val="231F20"/>
          <w:sz w:val="22"/>
        </w:rPr>
        <w:t>1993: </w:t>
      </w:r>
      <w:r>
        <w:rPr>
          <w:color w:val="231F20"/>
          <w:sz w:val="22"/>
        </w:rPr>
        <w:t>Core </w:t>
      </w:r>
      <w:r>
        <w:rPr>
          <w:color w:val="231F20"/>
          <w:sz w:val="22"/>
        </w:rPr>
        <w:t>set </w:t>
      </w:r>
      <w:r>
        <w:rPr>
          <w:color w:val="231F20"/>
          <w:sz w:val="22"/>
        </w:rPr>
        <w:t>of </w:t>
      </w:r>
      <w:r>
        <w:rPr>
          <w:color w:val="231F20"/>
          <w:sz w:val="22"/>
        </w:rPr>
        <w:t>indicators </w:t>
      </w:r>
      <w:r>
        <w:rPr>
          <w:color w:val="231F20"/>
          <w:sz w:val="22"/>
        </w:rPr>
        <w:t>for </w:t>
      </w:r>
      <w:r>
        <w:rPr>
          <w:color w:val="231F20"/>
          <w:sz w:val="22"/>
        </w:rPr>
        <w:t>environmental </w:t>
      </w:r>
      <w:r>
        <w:rPr>
          <w:color w:val="231F20"/>
          <w:sz w:val="22"/>
        </w:rPr>
        <w:t>performance </w:t>
      </w:r>
      <w:r>
        <w:rPr>
          <w:color w:val="231F20"/>
          <w:sz w:val="22"/>
        </w:rPr>
        <w:t>reviews. </w:t>
      </w:r>
      <w:r>
        <w:rPr>
          <w:color w:val="231F20"/>
          <w:sz w:val="22"/>
        </w:rPr>
        <w:t>A </w:t>
      </w:r>
      <w:r>
        <w:rPr>
          <w:color w:val="231F20"/>
          <w:sz w:val="22"/>
        </w:rPr>
        <w:t>synthesis </w:t>
      </w:r>
      <w:r>
        <w:rPr>
          <w:color w:val="231F20"/>
          <w:sz w:val="22"/>
        </w:rPr>
        <w:t>report </w:t>
      </w:r>
      <w:r>
        <w:rPr>
          <w:color w:val="231F20"/>
          <w:sz w:val="22"/>
        </w:rPr>
        <w:t>by </w:t>
      </w:r>
      <w:r>
        <w:rPr>
          <w:color w:val="231F20"/>
          <w:sz w:val="22"/>
        </w:rPr>
        <w:t>the </w:t>
      </w:r>
      <w:r>
        <w:rPr>
          <w:color w:val="231F20"/>
          <w:sz w:val="22"/>
        </w:rPr>
        <w:t>Group </w:t>
      </w:r>
      <w:r>
        <w:rPr>
          <w:color w:val="231F20"/>
          <w:sz w:val="22"/>
        </w:rPr>
        <w:t>on </w:t>
      </w:r>
      <w:r>
        <w:rPr>
          <w:color w:val="231F20"/>
          <w:sz w:val="22"/>
        </w:rPr>
        <w:t>the </w:t>
      </w:r>
      <w:r>
        <w:rPr>
          <w:color w:val="231F20"/>
          <w:sz w:val="22"/>
        </w:rPr>
        <w:t>State </w:t>
      </w:r>
      <w:r>
        <w:rPr>
          <w:color w:val="231F20"/>
          <w:sz w:val="22"/>
        </w:rPr>
        <w:t>of </w:t>
      </w:r>
      <w:r>
        <w:rPr>
          <w:color w:val="231F20"/>
          <w:sz w:val="22"/>
        </w:rPr>
        <w:t>the </w:t>
      </w:r>
      <w:r>
        <w:rPr>
          <w:color w:val="231F20"/>
          <w:sz w:val="22"/>
        </w:rPr>
        <w:t>Environment. </w:t>
      </w:r>
      <w:r>
        <w:rPr>
          <w:color w:val="231F20"/>
          <w:sz w:val="22"/>
        </w:rPr>
        <w:t>Environment </w:t>
      </w:r>
      <w:r>
        <w:rPr>
          <w:color w:val="231F20"/>
          <w:sz w:val="22"/>
        </w:rPr>
        <w:t>monographs </w:t>
      </w:r>
      <w:r>
        <w:rPr>
          <w:color w:val="231F20"/>
          <w:sz w:val="22"/>
        </w:rPr>
        <w:t>83. </w:t>
      </w:r>
      <w:r>
        <w:rPr>
          <w:color w:val="231F20"/>
          <w:sz w:val="22"/>
        </w:rPr>
        <w:t>OECD/GD(93)179, </w:t>
      </w:r>
      <w:r>
        <w:rPr>
          <w:color w:val="231F20"/>
          <w:sz w:val="22"/>
        </w:rPr>
        <w:t>39</w:t>
      </w:r>
      <w:r>
        <w:rPr>
          <w:color w:val="231F20"/>
          <w:spacing w:val="-4"/>
          <w:sz w:val="22"/>
        </w:rPr>
        <w:t> </w:t>
      </w:r>
      <w:r>
        <w:rPr>
          <w:color w:val="231F20"/>
          <w:sz w:val="22"/>
        </w:rPr>
        <w:t>pp.</w:t>
      </w:r>
    </w:p>
    <w:sectPr>
      <w:pgSz w:w="12240" w:h="15840"/>
      <w:pgMar w:header="0" w:footer="258" w:top="860" w:bottom="44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97.439667pt;margin-top:768.095947pt;width:17.350pt;height:14pt;mso-position-horizontal-relative:page;mso-position-vertical-relative:page;z-index:-6376" type="#_x0000_t202" filled="false" stroked="false">
          <v:textbox inset="0,0,0,0">
            <w:txbxContent>
              <w:p>
                <w:pPr>
                  <w:pStyle w:val="BodyText"/>
                  <w:spacing w:line="265" w:lineRule="exact"/>
                  <w:ind w:left="40"/>
                </w:pPr>
                <w:r>
                  <w:rPr/>
                  <w:fldChar w:fldCharType="begin"/>
                </w:r>
                <w:r>
                  <w:rPr>
                    <w:color w:val="231F20"/>
                  </w:rPr>
                  <w:instrText> PAGE </w:instrText>
                </w:r>
                <w:r>
                  <w:rPr/>
                  <w:fldChar w:fldCharType="separate"/>
                </w:r>
                <w:r>
                  <w:rPr/>
                  <w:t>24</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439667pt;margin-top:768.095947pt;width:17.350pt;height:14pt;mso-position-horizontal-relative:page;mso-position-vertical-relative:page;z-index:-6352" type="#_x0000_t202" filled="false" stroked="false">
          <v:textbox inset="0,0,0,0">
            <w:txbxContent>
              <w:p>
                <w:pPr>
                  <w:pStyle w:val="BodyText"/>
                  <w:spacing w:line="265" w:lineRule="exact"/>
                  <w:ind w:left="40"/>
                </w:pPr>
                <w:r>
                  <w:rPr/>
                  <w:fldChar w:fldCharType="begin"/>
                </w:r>
                <w:r>
                  <w:rPr>
                    <w:color w:val="231F20"/>
                  </w:rPr>
                  <w:instrText> PAGE </w:instrText>
                </w:r>
                <w:r>
                  <w:rPr/>
                  <w:fldChar w:fldCharType="separate"/>
                </w:r>
                <w:r>
                  <w:rPr/>
                  <w:t>30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decimal"/>
      <w:lvlText w:val="(%1)"/>
      <w:lvlJc w:val="left"/>
      <w:pPr>
        <w:ind w:left="576" w:hanging="426"/>
        <w:jc w:val="left"/>
      </w:pPr>
      <w:rPr>
        <w:rFonts w:hint="default" w:ascii="Arial" w:hAnsi="Arial" w:eastAsia="Arial" w:cs="Arial"/>
        <w:color w:val="231F20"/>
        <w:w w:val="99"/>
        <w:sz w:val="22"/>
        <w:szCs w:val="22"/>
      </w:rPr>
    </w:lvl>
    <w:lvl w:ilvl="1">
      <w:start w:val="1"/>
      <w:numFmt w:val="bullet"/>
      <w:lvlText w:val="•"/>
      <w:lvlJc w:val="left"/>
      <w:pPr>
        <w:ind w:left="1402" w:hanging="426"/>
      </w:pPr>
      <w:rPr>
        <w:rFonts w:hint="default"/>
      </w:rPr>
    </w:lvl>
    <w:lvl w:ilvl="2">
      <w:start w:val="1"/>
      <w:numFmt w:val="bullet"/>
      <w:lvlText w:val="•"/>
      <w:lvlJc w:val="left"/>
      <w:pPr>
        <w:ind w:left="2224" w:hanging="426"/>
      </w:pPr>
      <w:rPr>
        <w:rFonts w:hint="default"/>
      </w:rPr>
    </w:lvl>
    <w:lvl w:ilvl="3">
      <w:start w:val="1"/>
      <w:numFmt w:val="bullet"/>
      <w:lvlText w:val="•"/>
      <w:lvlJc w:val="left"/>
      <w:pPr>
        <w:ind w:left="3046" w:hanging="426"/>
      </w:pPr>
      <w:rPr>
        <w:rFonts w:hint="default"/>
      </w:rPr>
    </w:lvl>
    <w:lvl w:ilvl="4">
      <w:start w:val="1"/>
      <w:numFmt w:val="bullet"/>
      <w:lvlText w:val="•"/>
      <w:lvlJc w:val="left"/>
      <w:pPr>
        <w:ind w:left="3868" w:hanging="426"/>
      </w:pPr>
      <w:rPr>
        <w:rFonts w:hint="default"/>
      </w:rPr>
    </w:lvl>
    <w:lvl w:ilvl="5">
      <w:start w:val="1"/>
      <w:numFmt w:val="bullet"/>
      <w:lvlText w:val="•"/>
      <w:lvlJc w:val="left"/>
      <w:pPr>
        <w:ind w:left="4690" w:hanging="426"/>
      </w:pPr>
      <w:rPr>
        <w:rFonts w:hint="default"/>
      </w:rPr>
    </w:lvl>
    <w:lvl w:ilvl="6">
      <w:start w:val="1"/>
      <w:numFmt w:val="bullet"/>
      <w:lvlText w:val="•"/>
      <w:lvlJc w:val="left"/>
      <w:pPr>
        <w:ind w:left="5512" w:hanging="426"/>
      </w:pPr>
      <w:rPr>
        <w:rFonts w:hint="default"/>
      </w:rPr>
    </w:lvl>
    <w:lvl w:ilvl="7">
      <w:start w:val="1"/>
      <w:numFmt w:val="bullet"/>
      <w:lvlText w:val="•"/>
      <w:lvlJc w:val="left"/>
      <w:pPr>
        <w:ind w:left="6334" w:hanging="426"/>
      </w:pPr>
      <w:rPr>
        <w:rFonts w:hint="default"/>
      </w:rPr>
    </w:lvl>
    <w:lvl w:ilvl="8">
      <w:start w:val="1"/>
      <w:numFmt w:val="bullet"/>
      <w:lvlText w:val="•"/>
      <w:lvlJc w:val="left"/>
      <w:pPr>
        <w:ind w:left="7156" w:hanging="426"/>
      </w:pPr>
      <w:rPr>
        <w:rFonts w:hint="default"/>
      </w:rPr>
    </w:lvl>
  </w:abstractNum>
  <w:abstractNum w:abstractNumId="1">
    <w:multiLevelType w:val="hybridMultilevel"/>
    <w:lvl w:ilvl="0">
      <w:start w:val="1"/>
      <w:numFmt w:val="lowerRoman"/>
      <w:lvlText w:val="(%1)"/>
      <w:lvlJc w:val="left"/>
      <w:pPr>
        <w:ind w:left="1231" w:hanging="720"/>
        <w:jc w:val="left"/>
      </w:pPr>
      <w:rPr>
        <w:rFonts w:hint="default" w:ascii="Arial" w:hAnsi="Arial" w:eastAsia="Arial" w:cs="Arial"/>
        <w:color w:val="141415"/>
        <w:spacing w:val="-1"/>
        <w:w w:val="100"/>
        <w:sz w:val="24"/>
        <w:szCs w:val="24"/>
      </w:rPr>
    </w:lvl>
    <w:lvl w:ilvl="1">
      <w:start w:val="1"/>
      <w:numFmt w:val="bullet"/>
      <w:lvlText w:val="•"/>
      <w:lvlJc w:val="left"/>
      <w:pPr>
        <w:ind w:left="1996" w:hanging="720"/>
      </w:pPr>
      <w:rPr>
        <w:rFonts w:hint="default"/>
      </w:rPr>
    </w:lvl>
    <w:lvl w:ilvl="2">
      <w:start w:val="1"/>
      <w:numFmt w:val="bullet"/>
      <w:lvlText w:val="•"/>
      <w:lvlJc w:val="left"/>
      <w:pPr>
        <w:ind w:left="2752" w:hanging="720"/>
      </w:pPr>
      <w:rPr>
        <w:rFonts w:hint="default"/>
      </w:rPr>
    </w:lvl>
    <w:lvl w:ilvl="3">
      <w:start w:val="1"/>
      <w:numFmt w:val="bullet"/>
      <w:lvlText w:val="•"/>
      <w:lvlJc w:val="left"/>
      <w:pPr>
        <w:ind w:left="3508" w:hanging="720"/>
      </w:pPr>
      <w:rPr>
        <w:rFonts w:hint="default"/>
      </w:rPr>
    </w:lvl>
    <w:lvl w:ilvl="4">
      <w:start w:val="1"/>
      <w:numFmt w:val="bullet"/>
      <w:lvlText w:val="•"/>
      <w:lvlJc w:val="left"/>
      <w:pPr>
        <w:ind w:left="4264" w:hanging="720"/>
      </w:pPr>
      <w:rPr>
        <w:rFonts w:hint="default"/>
      </w:rPr>
    </w:lvl>
    <w:lvl w:ilvl="5">
      <w:start w:val="1"/>
      <w:numFmt w:val="bullet"/>
      <w:lvlText w:val="•"/>
      <w:lvlJc w:val="left"/>
      <w:pPr>
        <w:ind w:left="5020" w:hanging="720"/>
      </w:pPr>
      <w:rPr>
        <w:rFonts w:hint="default"/>
      </w:rPr>
    </w:lvl>
    <w:lvl w:ilvl="6">
      <w:start w:val="1"/>
      <w:numFmt w:val="bullet"/>
      <w:lvlText w:val="•"/>
      <w:lvlJc w:val="left"/>
      <w:pPr>
        <w:ind w:left="5776" w:hanging="720"/>
      </w:pPr>
      <w:rPr>
        <w:rFonts w:hint="default"/>
      </w:rPr>
    </w:lvl>
    <w:lvl w:ilvl="7">
      <w:start w:val="1"/>
      <w:numFmt w:val="bullet"/>
      <w:lvlText w:val="•"/>
      <w:lvlJc w:val="left"/>
      <w:pPr>
        <w:ind w:left="6532" w:hanging="720"/>
      </w:pPr>
      <w:rPr>
        <w:rFonts w:hint="default"/>
      </w:rPr>
    </w:lvl>
    <w:lvl w:ilvl="8">
      <w:start w:val="1"/>
      <w:numFmt w:val="bullet"/>
      <w:lvlText w:val="•"/>
      <w:lvlJc w:val="left"/>
      <w:pPr>
        <w:ind w:left="7288" w:hanging="720"/>
      </w:pPr>
      <w:rPr>
        <w:rFonts w:hint="default"/>
      </w:rPr>
    </w:lvl>
  </w:abstractNum>
  <w:abstractNum w:abstractNumId="0">
    <w:multiLevelType w:val="hybridMultilevel"/>
    <w:lvl w:ilvl="0">
      <w:start w:val="3"/>
      <w:numFmt w:val="upperLetter"/>
      <w:lvlText w:val="%1."/>
      <w:lvlJc w:val="left"/>
      <w:pPr>
        <w:ind w:left="643" w:hanging="308"/>
        <w:jc w:val="left"/>
      </w:pPr>
      <w:rPr>
        <w:rFonts w:hint="default" w:ascii="Arial" w:hAnsi="Arial" w:eastAsia="Arial" w:cs="Arial"/>
        <w:i/>
        <w:color w:val="231F20"/>
        <w:spacing w:val="-1"/>
        <w:w w:val="100"/>
        <w:sz w:val="24"/>
        <w:szCs w:val="24"/>
      </w:rPr>
    </w:lvl>
    <w:lvl w:ilvl="1">
      <w:start w:val="10"/>
      <w:numFmt w:val="upperLetter"/>
      <w:lvlText w:val="%2."/>
      <w:lvlJc w:val="left"/>
      <w:pPr>
        <w:ind w:left="1310" w:hanging="255"/>
        <w:jc w:val="left"/>
      </w:pPr>
      <w:rPr>
        <w:rFonts w:hint="default" w:ascii="Arial" w:hAnsi="Arial" w:eastAsia="Arial" w:cs="Arial"/>
        <w:i/>
        <w:color w:val="231F20"/>
        <w:w w:val="100"/>
        <w:sz w:val="24"/>
        <w:szCs w:val="24"/>
      </w:rPr>
    </w:lvl>
    <w:lvl w:ilvl="2">
      <w:start w:val="1"/>
      <w:numFmt w:val="upperLetter"/>
      <w:lvlText w:val="%2.%3."/>
      <w:lvlJc w:val="left"/>
      <w:pPr>
        <w:ind w:left="3820" w:hanging="481"/>
        <w:jc w:val="left"/>
      </w:pPr>
      <w:rPr>
        <w:rFonts w:hint="default" w:ascii="Arial" w:hAnsi="Arial" w:eastAsia="Arial" w:cs="Arial"/>
        <w:i/>
        <w:color w:val="231F20"/>
        <w:spacing w:val="-1"/>
        <w:w w:val="100"/>
        <w:sz w:val="24"/>
        <w:szCs w:val="24"/>
      </w:rPr>
    </w:lvl>
    <w:lvl w:ilvl="3">
      <w:start w:val="1"/>
      <w:numFmt w:val="bullet"/>
      <w:lvlText w:val="•"/>
      <w:lvlJc w:val="left"/>
      <w:pPr>
        <w:ind w:left="4462" w:hanging="481"/>
      </w:pPr>
      <w:rPr>
        <w:rFonts w:hint="default"/>
      </w:rPr>
    </w:lvl>
    <w:lvl w:ilvl="4">
      <w:start w:val="1"/>
      <w:numFmt w:val="bullet"/>
      <w:lvlText w:val="•"/>
      <w:lvlJc w:val="left"/>
      <w:pPr>
        <w:ind w:left="5105" w:hanging="481"/>
      </w:pPr>
      <w:rPr>
        <w:rFonts w:hint="default"/>
      </w:rPr>
    </w:lvl>
    <w:lvl w:ilvl="5">
      <w:start w:val="1"/>
      <w:numFmt w:val="bullet"/>
      <w:lvlText w:val="•"/>
      <w:lvlJc w:val="left"/>
      <w:pPr>
        <w:ind w:left="5747" w:hanging="481"/>
      </w:pPr>
      <w:rPr>
        <w:rFonts w:hint="default"/>
      </w:rPr>
    </w:lvl>
    <w:lvl w:ilvl="6">
      <w:start w:val="1"/>
      <w:numFmt w:val="bullet"/>
      <w:lvlText w:val="•"/>
      <w:lvlJc w:val="left"/>
      <w:pPr>
        <w:ind w:left="6390" w:hanging="481"/>
      </w:pPr>
      <w:rPr>
        <w:rFonts w:hint="default"/>
      </w:rPr>
    </w:lvl>
    <w:lvl w:ilvl="7">
      <w:start w:val="1"/>
      <w:numFmt w:val="bullet"/>
      <w:lvlText w:val="•"/>
      <w:lvlJc w:val="left"/>
      <w:pPr>
        <w:ind w:left="7032" w:hanging="481"/>
      </w:pPr>
      <w:rPr>
        <w:rFonts w:hint="default"/>
      </w:rPr>
    </w:lvl>
    <w:lvl w:ilvl="8">
      <w:start w:val="1"/>
      <w:numFmt w:val="bullet"/>
      <w:lvlText w:val="•"/>
      <w:lvlJc w:val="left"/>
      <w:pPr>
        <w:ind w:left="7675" w:hanging="481"/>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4"/>
      <w:ind w:left="1171" w:right="1162" w:hanging="1"/>
      <w:jc w:val="center"/>
      <w:outlineLvl w:val="1"/>
    </w:pPr>
    <w:rPr>
      <w:rFonts w:ascii="Arial" w:hAnsi="Arial" w:eastAsia="Arial" w:cs="Arial"/>
      <w:b/>
      <w:bCs/>
      <w:sz w:val="28"/>
      <w:szCs w:val="28"/>
    </w:rPr>
  </w:style>
  <w:style w:styleId="Heading2" w:type="paragraph">
    <w:name w:val="Heading 2"/>
    <w:basedOn w:val="Normal"/>
    <w:uiPriority w:val="1"/>
    <w:qFormat/>
    <w:pPr>
      <w:ind w:left="151"/>
      <w:jc w:val="both"/>
      <w:outlineLvl w:val="2"/>
    </w:pPr>
    <w:rPr>
      <w:rFonts w:ascii="Arial" w:hAnsi="Arial" w:eastAsia="Arial" w:cs="Arial"/>
      <w:b/>
      <w:bCs/>
      <w:sz w:val="24"/>
      <w:szCs w:val="24"/>
    </w:rPr>
  </w:style>
  <w:style w:styleId="ListParagraph" w:type="paragraph">
    <w:name w:val="List Paragraph"/>
    <w:basedOn w:val="Normal"/>
    <w:uiPriority w:val="1"/>
    <w:qFormat/>
    <w:pPr>
      <w:spacing w:before="120"/>
      <w:ind w:left="576" w:hanging="425"/>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cdiazd@uaemex.mx" TargetMode="Externa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jpeg"/><Relationship Id="rId13" Type="http://schemas.openxmlformats.org/officeDocument/2006/relationships/image" Target="media/image7.png"/><Relationship Id="rId14" Type="http://schemas.openxmlformats.org/officeDocument/2006/relationships/image" Target="media/image8.jpeg"/><Relationship Id="rId15" Type="http://schemas.openxmlformats.org/officeDocument/2006/relationships/image" Target="media/image9.jpeg"/><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image" Target="media/image12.png"/><Relationship Id="rId19" Type="http://schemas.openxmlformats.org/officeDocument/2006/relationships/image" Target="media/image13.jpeg"/><Relationship Id="rId20" Type="http://schemas.openxmlformats.org/officeDocument/2006/relationships/image" Target="media/image14.jpeg"/><Relationship Id="rId21" Type="http://schemas.openxmlformats.org/officeDocument/2006/relationships/footer" Target="footer2.xml"/><Relationship Id="rId22" Type="http://schemas.openxmlformats.org/officeDocument/2006/relationships/hyperlink" Target="http://www.ine.gob.mx/ueajei/publicaciones/libros/452/maass.html" TargetMode="External"/><Relationship Id="rId23" Type="http://schemas.openxmlformats.org/officeDocument/2006/relationships/hyperlink" Target="http://www.gwpforum.org/gwp/library/TACNO4.PDF" TargetMode="External"/><Relationship Id="rId2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dc:title>ININ_BTU_WorkshopProceed_2010.pdf</dc:title>
  <dcterms:created xsi:type="dcterms:W3CDTF">2017-05-26T19:41:18Z</dcterms:created>
  <dcterms:modified xsi:type="dcterms:W3CDTF">2017-05-26T19:41:18Z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2016-10-27T00:00:00Z</vt:filetime>
  </property>
  <property fmtid="{D5CDD505-2E9C-101B-9397-08002B2CF9AE}" pid="3" name="Creator">
    <vt:lpwstr>Adobe Acrobat 11.0.18</vt:lpwstr>
  </property>
  <property fmtid="{D5CDD505-2E9C-101B-9397-08002B2CF9AE}" pid="4" name="LastSaved">
    <vt:filetime>2017-05-26T00:00:00Z</vt:filetime>
  </property>
</Properties>
</file>